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color w:val="auto"/>
          <w:sz w:val="44"/>
          <w:szCs w:val="44"/>
          <w:highlight w:val="none"/>
        </w:rPr>
      </w:pPr>
    </w:p>
    <w:p>
      <w:pPr>
        <w:jc w:val="center"/>
        <w:rPr>
          <w:rFonts w:hint="eastAsia"/>
          <w:color w:val="auto"/>
          <w:sz w:val="44"/>
          <w:szCs w:val="44"/>
          <w:highlight w:val="none"/>
        </w:rPr>
      </w:pPr>
    </w:p>
    <w:p>
      <w:pPr>
        <w:jc w:val="center"/>
        <w:rPr>
          <w:rFonts w:hint="eastAsia"/>
          <w:color w:val="auto"/>
          <w:sz w:val="44"/>
          <w:szCs w:val="44"/>
          <w:highlight w:val="none"/>
        </w:rPr>
      </w:pPr>
    </w:p>
    <w:p>
      <w:pPr>
        <w:jc w:val="center"/>
        <w:rPr>
          <w:rFonts w:hint="eastAsia"/>
          <w:b/>
          <w:bCs/>
          <w:color w:val="auto"/>
          <w:sz w:val="52"/>
          <w:szCs w:val="52"/>
          <w:highlight w:val="none"/>
        </w:rPr>
      </w:pPr>
      <w:r>
        <w:rPr>
          <w:rFonts w:hint="eastAsia"/>
          <w:b/>
          <w:bCs/>
          <w:color w:val="auto"/>
          <w:sz w:val="52"/>
          <w:szCs w:val="52"/>
          <w:highlight w:val="none"/>
        </w:rPr>
        <w:t>大庆市安肇新河人工湿地水质净化工程</w:t>
      </w:r>
    </w:p>
    <w:p>
      <w:pPr>
        <w:jc w:val="center"/>
        <w:rPr>
          <w:rFonts w:hint="eastAsia"/>
          <w:b/>
          <w:bCs/>
          <w:color w:val="auto"/>
          <w:sz w:val="84"/>
          <w:szCs w:val="84"/>
          <w:highlight w:val="none"/>
        </w:rPr>
      </w:pPr>
      <w:r>
        <w:rPr>
          <w:rFonts w:hint="eastAsia"/>
          <w:b/>
          <w:bCs/>
          <w:color w:val="auto"/>
          <w:sz w:val="84"/>
          <w:szCs w:val="84"/>
          <w:highlight w:val="none"/>
        </w:rPr>
        <w:t>环境影响报告书</w:t>
      </w:r>
    </w:p>
    <w:p>
      <w:pPr>
        <w:jc w:val="center"/>
        <w:rPr>
          <w:rFonts w:hint="eastAsia"/>
          <w:b/>
          <w:bCs/>
          <w:color w:val="auto"/>
          <w:sz w:val="84"/>
          <w:szCs w:val="84"/>
          <w:highlight w:val="none"/>
        </w:rPr>
      </w:pPr>
    </w:p>
    <w:p>
      <w:pPr>
        <w:jc w:val="center"/>
        <w:rPr>
          <w:rFonts w:hint="eastAsia"/>
          <w:b/>
          <w:bCs/>
          <w:color w:val="auto"/>
          <w:sz w:val="84"/>
          <w:szCs w:val="84"/>
          <w:highlight w:val="none"/>
        </w:rPr>
      </w:pPr>
    </w:p>
    <w:p>
      <w:pPr>
        <w:jc w:val="center"/>
        <w:rPr>
          <w:rFonts w:hint="eastAsia"/>
          <w:b/>
          <w:bCs/>
          <w:color w:val="auto"/>
          <w:sz w:val="84"/>
          <w:szCs w:val="84"/>
          <w:highlight w:val="none"/>
        </w:rPr>
      </w:pPr>
    </w:p>
    <w:p>
      <w:pPr>
        <w:jc w:val="center"/>
        <w:rPr>
          <w:rFonts w:hint="eastAsia"/>
          <w:b/>
          <w:bCs/>
          <w:color w:val="auto"/>
          <w:sz w:val="84"/>
          <w:szCs w:val="84"/>
          <w:highlight w:val="none"/>
        </w:rPr>
      </w:pPr>
    </w:p>
    <w:p>
      <w:pPr>
        <w:ind w:firstLine="602" w:firstLineChars="200"/>
        <w:jc w:val="both"/>
        <w:rPr>
          <w:rFonts w:hint="eastAsia"/>
          <w:b/>
          <w:bCs/>
          <w:color w:val="auto"/>
          <w:sz w:val="30"/>
          <w:szCs w:val="30"/>
          <w:highlight w:val="none"/>
          <w:lang w:val="en-US" w:eastAsia="zh-CN"/>
        </w:rPr>
      </w:pPr>
      <w:r>
        <w:rPr>
          <w:rFonts w:hint="eastAsia"/>
          <w:b/>
          <w:bCs/>
          <w:color w:val="auto"/>
          <w:sz w:val="30"/>
          <w:szCs w:val="30"/>
          <w:highlight w:val="none"/>
          <w:lang w:val="en-US" w:eastAsia="zh-CN"/>
        </w:rPr>
        <w:t>建设单位：大庆市城发自然生态保护管理有限公司</w:t>
      </w:r>
    </w:p>
    <w:p>
      <w:pPr>
        <w:ind w:firstLine="602" w:firstLineChars="200"/>
        <w:jc w:val="both"/>
        <w:rPr>
          <w:rFonts w:hint="eastAsia"/>
          <w:b/>
          <w:bCs/>
          <w:color w:val="auto"/>
          <w:sz w:val="30"/>
          <w:szCs w:val="30"/>
          <w:highlight w:val="none"/>
          <w:lang w:val="en-US" w:eastAsia="zh-CN"/>
        </w:rPr>
      </w:pPr>
      <w:r>
        <w:rPr>
          <w:rFonts w:hint="eastAsia"/>
          <w:b/>
          <w:bCs/>
          <w:color w:val="auto"/>
          <w:sz w:val="30"/>
          <w:szCs w:val="30"/>
          <w:highlight w:val="none"/>
          <w:lang w:val="en-US" w:eastAsia="zh-CN"/>
        </w:rPr>
        <w:t>编制单位：黑龙江永青环保科技有限公司</w:t>
      </w:r>
    </w:p>
    <w:p>
      <w:pPr>
        <w:ind w:firstLine="602" w:firstLineChars="200"/>
        <w:jc w:val="both"/>
        <w:rPr>
          <w:rFonts w:hint="eastAsia"/>
          <w:b/>
          <w:bCs/>
          <w:color w:val="auto"/>
          <w:sz w:val="30"/>
          <w:szCs w:val="30"/>
          <w:highlight w:val="none"/>
          <w:lang w:val="en-US" w:eastAsia="zh-CN"/>
        </w:rPr>
      </w:pPr>
      <w:r>
        <w:rPr>
          <w:rFonts w:hint="eastAsia"/>
          <w:b/>
          <w:bCs/>
          <w:color w:val="auto"/>
          <w:sz w:val="30"/>
          <w:szCs w:val="30"/>
          <w:highlight w:val="none"/>
          <w:lang w:val="en-US" w:eastAsia="zh-CN"/>
        </w:rPr>
        <w:t>编制时间：二零二二年十二月</w:t>
      </w:r>
    </w:p>
    <w:p>
      <w:pPr>
        <w:jc w:val="both"/>
        <w:rPr>
          <w:rFonts w:hint="default" w:ascii="Times New Roman" w:hAnsi="Times New Roman" w:cs="Times New Roman"/>
          <w:b/>
          <w:bCs/>
          <w:color w:val="auto"/>
          <w:sz w:val="30"/>
          <w:szCs w:val="30"/>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rPr>
          <w:rFonts w:hint="default" w:ascii="Times New Roman" w:hAnsi="Times New Roman" w:cs="Times New Roman"/>
          <w:b/>
          <w:bCs/>
          <w:color w:val="auto"/>
          <w:sz w:val="30"/>
          <w:szCs w:val="30"/>
          <w:highlight w:val="none"/>
          <w:lang w:val="en-US" w:eastAsia="zh-CN"/>
        </w:rPr>
      </w:pPr>
      <w:r>
        <w:rPr>
          <w:rFonts w:hint="default" w:ascii="Times New Roman" w:hAnsi="Times New Roman" w:cs="Times New Roman"/>
          <w:b/>
          <w:bCs/>
          <w:color w:val="auto"/>
          <w:sz w:val="30"/>
          <w:szCs w:val="30"/>
          <w:highlight w:val="none"/>
          <w:lang w:val="en-US" w:eastAsia="zh-CN"/>
        </w:rPr>
        <w:drawing>
          <wp:inline distT="0" distB="0" distL="114300" distR="114300">
            <wp:extent cx="5268595" cy="6812280"/>
            <wp:effectExtent l="0" t="0" r="8255" b="7620"/>
            <wp:docPr id="10" name="图片 10" descr="af6d69403c86f1abf1c15e931c5ba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f6d69403c86f1abf1c15e931c5ba2d"/>
                    <pic:cNvPicPr>
                      <a:picLocks noChangeAspect="1"/>
                    </pic:cNvPicPr>
                  </pic:nvPicPr>
                  <pic:blipFill>
                    <a:blip r:embed="rId7"/>
                    <a:stretch>
                      <a:fillRect/>
                    </a:stretch>
                  </pic:blipFill>
                  <pic:spPr>
                    <a:xfrm>
                      <a:off x="0" y="0"/>
                      <a:ext cx="5268595" cy="6812280"/>
                    </a:xfrm>
                    <a:prstGeom prst="rect">
                      <a:avLst/>
                    </a:prstGeom>
                  </pic:spPr>
                </pic:pic>
              </a:graphicData>
            </a:graphic>
          </wp:inline>
        </w:drawing>
      </w:r>
    </w:p>
    <w:p>
      <w:pPr>
        <w:pStyle w:val="8"/>
        <w:ind w:left="0" w:leftChars="0" w:firstLine="0" w:firstLineChars="0"/>
        <w:rPr>
          <w:rFonts w:hint="default"/>
          <w:lang w:val="en-US" w:eastAsia="zh-CN"/>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rPr>
          <w:rFonts w:hint="default"/>
          <w:lang w:val="en-US" w:eastAsia="zh-CN"/>
        </w:rPr>
      </w:pPr>
    </w:p>
    <w:p>
      <w:pPr>
        <w:jc w:val="both"/>
        <w:rPr>
          <w:rFonts w:hint="default" w:ascii="Times New Roman" w:hAnsi="Times New Roman" w:cs="Times New Roman"/>
          <w:b/>
          <w:bCs/>
          <w:color w:val="auto"/>
          <w:sz w:val="30"/>
          <w:szCs w:val="30"/>
          <w:highlight w:val="none"/>
          <w:lang w:val="en-US" w:eastAsia="zh-CN"/>
        </w:rPr>
      </w:pPr>
      <w:r>
        <w:rPr>
          <w:rFonts w:hint="default" w:ascii="Times New Roman" w:hAnsi="Times New Roman" w:cs="Times New Roman"/>
          <w:b/>
          <w:bCs/>
          <w:color w:val="auto"/>
          <w:sz w:val="30"/>
          <w:szCs w:val="30"/>
          <w:highlight w:val="none"/>
          <w:lang w:val="en-US" w:eastAsia="zh-CN"/>
        </w:rPr>
        <w:drawing>
          <wp:inline distT="0" distB="0" distL="114300" distR="114300">
            <wp:extent cx="5269230" cy="7439660"/>
            <wp:effectExtent l="0" t="0" r="7620" b="8890"/>
            <wp:docPr id="12" name="图片 12" descr="629604c7f66802d8afe7cde33acd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29604c7f66802d8afe7cde33acd329"/>
                    <pic:cNvPicPr>
                      <a:picLocks noChangeAspect="1"/>
                    </pic:cNvPicPr>
                  </pic:nvPicPr>
                  <pic:blipFill>
                    <a:blip r:embed="rId8"/>
                    <a:stretch>
                      <a:fillRect/>
                    </a:stretch>
                  </pic:blipFill>
                  <pic:spPr>
                    <a:xfrm>
                      <a:off x="0" y="0"/>
                      <a:ext cx="5269230" cy="7439660"/>
                    </a:xfrm>
                    <a:prstGeom prst="rect">
                      <a:avLst/>
                    </a:prstGeom>
                  </pic:spPr>
                </pic:pic>
              </a:graphicData>
            </a:graphic>
          </wp:inline>
        </w:drawing>
      </w:r>
    </w:p>
    <w:p>
      <w:pPr>
        <w:rPr>
          <w:rFonts w:hint="default" w:ascii="Times New Roman" w:hAnsi="Times New Roman" w:cs="Times New Roman"/>
          <w:b/>
          <w:bCs/>
          <w:color w:val="auto"/>
          <w:sz w:val="30"/>
          <w:szCs w:val="30"/>
          <w:highlight w:val="none"/>
          <w:lang w:val="en-US" w:eastAsia="zh-CN"/>
        </w:rPr>
      </w:pPr>
      <w:r>
        <w:rPr>
          <w:rFonts w:hint="default" w:ascii="Times New Roman" w:hAnsi="Times New Roman" w:cs="Times New Roman"/>
          <w:b/>
          <w:bCs/>
          <w:color w:val="auto"/>
          <w:sz w:val="30"/>
          <w:szCs w:val="30"/>
          <w:highlight w:val="none"/>
          <w:lang w:val="en-US" w:eastAsia="zh-CN"/>
        </w:rPr>
        <w:br w:type="page"/>
      </w:r>
    </w:p>
    <w:p>
      <w:pPr>
        <w:jc w:val="center"/>
        <w:rPr>
          <w:rFonts w:hint="eastAsia"/>
          <w:b/>
          <w:bCs/>
          <w:sz w:val="28"/>
          <w:szCs w:val="28"/>
          <w:lang w:val="en-US" w:eastAsia="zh-CN"/>
        </w:rPr>
      </w:pPr>
      <w:r>
        <w:rPr>
          <w:rFonts w:hint="eastAsia"/>
          <w:b/>
          <w:bCs/>
          <w:sz w:val="28"/>
          <w:szCs w:val="28"/>
          <w:lang w:val="en-US" w:eastAsia="zh-CN"/>
        </w:rPr>
        <w:t>目    录</w:t>
      </w:r>
    </w:p>
    <w:p>
      <w:pPr>
        <w:pStyle w:val="7"/>
        <w:tabs>
          <w:tab w:val="right" w:leader="dot" w:pos="8306"/>
        </w:tabs>
        <w:rPr>
          <w:rFonts w:hint="default" w:ascii="Times New Roman" w:hAnsi="Times New Roman" w:cs="Times New Roman"/>
        </w:rPr>
      </w:pPr>
      <w:r>
        <w:rPr>
          <w:rFonts w:hint="default" w:ascii="Times New Roman" w:hAnsi="Times New Roman" w:cs="Times New Roman"/>
          <w:b/>
          <w:bCs/>
          <w:sz w:val="28"/>
          <w:szCs w:val="28"/>
          <w:lang w:val="en-US" w:eastAsia="zh-CN"/>
        </w:rPr>
        <w:fldChar w:fldCharType="begin"/>
      </w:r>
      <w:r>
        <w:rPr>
          <w:rFonts w:hint="default" w:ascii="Times New Roman" w:hAnsi="Times New Roman" w:cs="Times New Roman"/>
          <w:b/>
          <w:bCs/>
          <w:sz w:val="28"/>
          <w:szCs w:val="28"/>
          <w:lang w:val="en-US" w:eastAsia="zh-CN"/>
        </w:rPr>
        <w:instrText xml:space="preserve">TOC \o "1-3" \h \u </w:instrText>
      </w:r>
      <w:r>
        <w:rPr>
          <w:rFonts w:hint="default" w:ascii="Times New Roman" w:hAnsi="Times New Roman" w:cs="Times New Roman"/>
          <w:b/>
          <w:bCs/>
          <w:sz w:val="28"/>
          <w:szCs w:val="28"/>
          <w:lang w:val="en-US" w:eastAsia="zh-CN"/>
        </w:rPr>
        <w:fldChar w:fldCharType="separate"/>
      </w: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_Toc9929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1  概述</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_Toc9929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_Toc9489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1.1  项目由来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_Toc9489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_Toc225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1.2项目特点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_Toc225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_Toc7784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1.3评价过程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_Toc7784 \h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_Toc21535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1.4相关情况分析判定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_Toc21535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_Toc25733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bCs w:val="0"/>
          <w:snapToGrid/>
          <w:szCs w:val="28"/>
          <w:highlight w:val="none"/>
          <w:lang w:val="en-US" w:eastAsia="zh-CN" w:bidi="ar-SA"/>
        </w:rPr>
        <w:t>1.4.3选址合理性分析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_Toc25733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_Toc18788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1.5关注的主要环境问题</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_Toc18788 \h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_Toc6281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1.6环境影响评价报告书的主要结论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_Toc6281 \h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_Toc12803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2  总则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_Toc12803 \h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_Toc4169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2.1编制依据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_Toc4169 \h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_Toc30471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2.2评价原则及目的</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_Toc30471 \h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_Toc30985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2.3环境影响识别与评价因子筛选</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_Toc30985 \h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_Toc24452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2.4评价内容与重点</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_Toc24452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_Toc30972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2.5环境功能区划与评价标准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_Toc30972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_Toc4740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2.6评价工作等级及评价范围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_Toc4740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_Toc32287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2.7环境保护目标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_Toc32287 \h </w:instrText>
      </w:r>
      <w:r>
        <w:rPr>
          <w:rFonts w:hint="default" w:ascii="Times New Roman" w:hAnsi="Times New Roman" w:cs="Times New Roman"/>
        </w:rPr>
        <w:fldChar w:fldCharType="separate"/>
      </w:r>
      <w:r>
        <w:rPr>
          <w:rFonts w:hint="default" w:ascii="Times New Roman" w:hAnsi="Times New Roman" w:cs="Times New Roman"/>
        </w:rPr>
        <w:t>34</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_Toc21816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3项目概况及工程分析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_Toc21816 \h </w:instrText>
      </w:r>
      <w:r>
        <w:rPr>
          <w:rFonts w:hint="default" w:ascii="Times New Roman" w:hAnsi="Times New Roman" w:cs="Times New Roman"/>
        </w:rPr>
        <w:fldChar w:fldCharType="separate"/>
      </w:r>
      <w:r>
        <w:rPr>
          <w:rFonts w:hint="default" w:ascii="Times New Roman" w:hAnsi="Times New Roman" w:cs="Times New Roman"/>
        </w:rPr>
        <w:t>36</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_Toc26149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3.1治理水体现状调查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_Toc26149 \h </w:instrText>
      </w:r>
      <w:r>
        <w:rPr>
          <w:rFonts w:hint="default" w:ascii="Times New Roman" w:hAnsi="Times New Roman" w:cs="Times New Roman"/>
        </w:rPr>
        <w:fldChar w:fldCharType="separate"/>
      </w:r>
      <w:r>
        <w:rPr>
          <w:rFonts w:hint="default" w:ascii="Times New Roman" w:hAnsi="Times New Roman" w:cs="Times New Roman"/>
        </w:rPr>
        <w:t>36</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_Toc1255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3.2建设项目概况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_Toc1255 \h </w:instrText>
      </w:r>
      <w:r>
        <w:rPr>
          <w:rFonts w:hint="default" w:ascii="Times New Roman" w:hAnsi="Times New Roman" w:cs="Times New Roman"/>
        </w:rPr>
        <w:fldChar w:fldCharType="separate"/>
      </w:r>
      <w:r>
        <w:rPr>
          <w:rFonts w:hint="default" w:ascii="Times New Roman" w:hAnsi="Times New Roman" w:cs="Times New Roman"/>
        </w:rPr>
        <w:t>37</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_Toc14194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3.3建设项目总体布置及设计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_Toc14194 \h </w:instrText>
      </w:r>
      <w:r>
        <w:rPr>
          <w:rFonts w:hint="default" w:ascii="Times New Roman" w:hAnsi="Times New Roman" w:cs="Times New Roman"/>
        </w:rPr>
        <w:fldChar w:fldCharType="separate"/>
      </w:r>
      <w:r>
        <w:rPr>
          <w:rFonts w:hint="default" w:ascii="Times New Roman" w:hAnsi="Times New Roman" w:cs="Times New Roman"/>
        </w:rPr>
        <w:t>46</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_Toc10509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3.5施工组织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_Toc10509 \h </w:instrText>
      </w:r>
      <w:r>
        <w:rPr>
          <w:rFonts w:hint="default" w:ascii="Times New Roman" w:hAnsi="Times New Roman" w:cs="Times New Roman"/>
        </w:rPr>
        <w:fldChar w:fldCharType="separate"/>
      </w:r>
      <w:r>
        <w:rPr>
          <w:rFonts w:hint="default" w:ascii="Times New Roman" w:hAnsi="Times New Roman" w:cs="Times New Roman"/>
        </w:rPr>
        <w:t>57</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_Toc22395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3.6污染源分析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_Toc22395 \h </w:instrText>
      </w:r>
      <w:r>
        <w:rPr>
          <w:rFonts w:hint="default" w:ascii="Times New Roman" w:hAnsi="Times New Roman" w:cs="Times New Roman"/>
        </w:rPr>
        <w:fldChar w:fldCharType="separate"/>
      </w:r>
      <w:r>
        <w:rPr>
          <w:rFonts w:hint="default" w:ascii="Times New Roman" w:hAnsi="Times New Roman" w:cs="Times New Roman"/>
        </w:rPr>
        <w:t>67</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_Toc9634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3.7污染物总量控制分析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_Toc9634 \h </w:instrText>
      </w:r>
      <w:r>
        <w:rPr>
          <w:rFonts w:hint="default" w:ascii="Times New Roman" w:hAnsi="Times New Roman" w:cs="Times New Roman"/>
        </w:rPr>
        <w:fldChar w:fldCharType="separate"/>
      </w:r>
      <w:r>
        <w:rPr>
          <w:rFonts w:hint="default" w:ascii="Times New Roman" w:hAnsi="Times New Roman" w:cs="Times New Roman"/>
        </w:rPr>
        <w:t>76</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_Toc17733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4.环境现状调查与评价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_Toc17733 \h </w:instrText>
      </w:r>
      <w:r>
        <w:rPr>
          <w:rFonts w:hint="default" w:ascii="Times New Roman" w:hAnsi="Times New Roman" w:cs="Times New Roman"/>
        </w:rPr>
        <w:fldChar w:fldCharType="separate"/>
      </w:r>
      <w:r>
        <w:rPr>
          <w:rFonts w:hint="default" w:ascii="Times New Roman" w:hAnsi="Times New Roman" w:cs="Times New Roman"/>
        </w:rPr>
        <w:t>77</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_Toc17606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4.1自然环境现状调查与评价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_Toc17606 \h </w:instrText>
      </w:r>
      <w:r>
        <w:rPr>
          <w:rFonts w:hint="default" w:ascii="Times New Roman" w:hAnsi="Times New Roman" w:cs="Times New Roman"/>
        </w:rPr>
        <w:fldChar w:fldCharType="separate"/>
      </w:r>
      <w:r>
        <w:rPr>
          <w:rFonts w:hint="default" w:ascii="Times New Roman" w:hAnsi="Times New Roman" w:cs="Times New Roman"/>
        </w:rPr>
        <w:t>77</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_Toc29941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4.2环境质量现状监测与评价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_Toc29941 \h </w:instrText>
      </w:r>
      <w:r>
        <w:rPr>
          <w:rFonts w:hint="default" w:ascii="Times New Roman" w:hAnsi="Times New Roman" w:cs="Times New Roman"/>
        </w:rPr>
        <w:fldChar w:fldCharType="separate"/>
      </w:r>
      <w:r>
        <w:rPr>
          <w:rFonts w:hint="default" w:ascii="Times New Roman" w:hAnsi="Times New Roman" w:cs="Times New Roman"/>
        </w:rPr>
        <w:t>85</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_Toc24497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4.3区域污染源调查与评价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_Toc24497 \h </w:instrText>
      </w:r>
      <w:r>
        <w:rPr>
          <w:rFonts w:hint="default" w:ascii="Times New Roman" w:hAnsi="Times New Roman" w:cs="Times New Roman"/>
        </w:rPr>
        <w:fldChar w:fldCharType="separate"/>
      </w:r>
      <w:r>
        <w:rPr>
          <w:rFonts w:hint="default" w:ascii="Times New Roman" w:hAnsi="Times New Roman" w:cs="Times New Roman"/>
        </w:rPr>
        <w:t>122</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_Toc22225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5环境影响预测与评价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_Toc22225 \h </w:instrText>
      </w:r>
      <w:r>
        <w:rPr>
          <w:rFonts w:hint="default" w:ascii="Times New Roman" w:hAnsi="Times New Roman" w:cs="Times New Roman"/>
        </w:rPr>
        <w:fldChar w:fldCharType="separate"/>
      </w:r>
      <w:r>
        <w:rPr>
          <w:rFonts w:hint="default" w:ascii="Times New Roman" w:hAnsi="Times New Roman" w:cs="Times New Roman"/>
        </w:rPr>
        <w:t>123</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_Toc7879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5.1施工期环境影响预测与评价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_Toc7879 \h </w:instrText>
      </w:r>
      <w:r>
        <w:rPr>
          <w:rFonts w:hint="default" w:ascii="Times New Roman" w:hAnsi="Times New Roman" w:cs="Times New Roman"/>
        </w:rPr>
        <w:fldChar w:fldCharType="separate"/>
      </w:r>
      <w:r>
        <w:rPr>
          <w:rFonts w:hint="default" w:ascii="Times New Roman" w:hAnsi="Times New Roman" w:cs="Times New Roman"/>
        </w:rPr>
        <w:t>123</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_Toc4502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5.1.1施工期大气环境影响预测与评价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_Toc4502 \h </w:instrText>
      </w:r>
      <w:r>
        <w:rPr>
          <w:rFonts w:hint="default" w:ascii="Times New Roman" w:hAnsi="Times New Roman" w:cs="Times New Roman"/>
        </w:rPr>
        <w:fldChar w:fldCharType="separate"/>
      </w:r>
      <w:r>
        <w:rPr>
          <w:rFonts w:hint="default" w:ascii="Times New Roman" w:hAnsi="Times New Roman" w:cs="Times New Roman"/>
        </w:rPr>
        <w:t>123</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_Toc8454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5.1.2施工期地表水环境影响预测与评价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_Toc8454 \h </w:instrText>
      </w:r>
      <w:r>
        <w:rPr>
          <w:rFonts w:hint="default" w:ascii="Times New Roman" w:hAnsi="Times New Roman" w:cs="Times New Roman"/>
        </w:rPr>
        <w:fldChar w:fldCharType="separate"/>
      </w:r>
      <w:r>
        <w:rPr>
          <w:rFonts w:hint="default" w:ascii="Times New Roman" w:hAnsi="Times New Roman" w:cs="Times New Roman"/>
        </w:rPr>
        <w:t>127</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_Toc9041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5.1.3施工期地下水环境影响预测与评价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_Toc9041 \h </w:instrText>
      </w:r>
      <w:r>
        <w:rPr>
          <w:rFonts w:hint="default" w:ascii="Times New Roman" w:hAnsi="Times New Roman" w:cs="Times New Roman"/>
        </w:rPr>
        <w:fldChar w:fldCharType="separate"/>
      </w:r>
      <w:r>
        <w:rPr>
          <w:rFonts w:hint="default" w:ascii="Times New Roman" w:hAnsi="Times New Roman" w:cs="Times New Roman"/>
        </w:rPr>
        <w:t>128</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_Toc4621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5.1.4施工期声环境影响预测与评价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_Toc4621 \h </w:instrText>
      </w:r>
      <w:r>
        <w:rPr>
          <w:rFonts w:hint="default" w:ascii="Times New Roman" w:hAnsi="Times New Roman" w:cs="Times New Roman"/>
        </w:rPr>
        <w:fldChar w:fldCharType="separate"/>
      </w:r>
      <w:r>
        <w:rPr>
          <w:rFonts w:hint="default" w:ascii="Times New Roman" w:hAnsi="Times New Roman" w:cs="Times New Roman"/>
        </w:rPr>
        <w:t>128</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_Toc3758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5.1.5施工期固体废物影响预测与评价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_Toc3758 \h </w:instrText>
      </w:r>
      <w:r>
        <w:rPr>
          <w:rFonts w:hint="default" w:ascii="Times New Roman" w:hAnsi="Times New Roman" w:cs="Times New Roman"/>
        </w:rPr>
        <w:fldChar w:fldCharType="separate"/>
      </w:r>
      <w:r>
        <w:rPr>
          <w:rFonts w:hint="default" w:ascii="Times New Roman" w:hAnsi="Times New Roman" w:cs="Times New Roman"/>
        </w:rPr>
        <w:t>131</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_Toc320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5.1.6施工期生态环境影响预测及评价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_Toc320 \h </w:instrText>
      </w:r>
      <w:r>
        <w:rPr>
          <w:rFonts w:hint="default" w:ascii="Times New Roman" w:hAnsi="Times New Roman" w:cs="Times New Roman"/>
        </w:rPr>
        <w:fldChar w:fldCharType="separate"/>
      </w:r>
      <w:r>
        <w:rPr>
          <w:rFonts w:hint="default" w:ascii="Times New Roman" w:hAnsi="Times New Roman" w:cs="Times New Roman"/>
        </w:rPr>
        <w:t>131</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_Toc26461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5.1.7施工期环境风险分析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_Toc26461 \h </w:instrText>
      </w:r>
      <w:r>
        <w:rPr>
          <w:rFonts w:hint="default" w:ascii="Times New Roman" w:hAnsi="Times New Roman" w:cs="Times New Roman"/>
        </w:rPr>
        <w:fldChar w:fldCharType="separate"/>
      </w:r>
      <w:r>
        <w:rPr>
          <w:rFonts w:hint="default" w:ascii="Times New Roman" w:hAnsi="Times New Roman" w:cs="Times New Roman"/>
        </w:rPr>
        <w:t>135</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_Toc22010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5.2运营期环境影响预测与评价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_Toc22010 \h </w:instrText>
      </w:r>
      <w:r>
        <w:rPr>
          <w:rFonts w:hint="default" w:ascii="Times New Roman" w:hAnsi="Times New Roman" w:cs="Times New Roman"/>
        </w:rPr>
        <w:fldChar w:fldCharType="separate"/>
      </w:r>
      <w:r>
        <w:rPr>
          <w:rFonts w:hint="default" w:ascii="Times New Roman" w:hAnsi="Times New Roman" w:cs="Times New Roman"/>
        </w:rPr>
        <w:t>138</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_Toc22517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5.2.1环境空气影响评价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_Toc22517 \h </w:instrText>
      </w:r>
      <w:r>
        <w:rPr>
          <w:rFonts w:hint="default" w:ascii="Times New Roman" w:hAnsi="Times New Roman" w:cs="Times New Roman"/>
        </w:rPr>
        <w:fldChar w:fldCharType="separate"/>
      </w:r>
      <w:r>
        <w:rPr>
          <w:rFonts w:hint="default" w:ascii="Times New Roman" w:hAnsi="Times New Roman" w:cs="Times New Roman"/>
        </w:rPr>
        <w:t>138</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_Toc5758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5.2.2地表水环境影响评价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_Toc5758 \h </w:instrText>
      </w:r>
      <w:r>
        <w:rPr>
          <w:rFonts w:hint="default" w:ascii="Times New Roman" w:hAnsi="Times New Roman" w:cs="Times New Roman"/>
        </w:rPr>
        <w:fldChar w:fldCharType="separate"/>
      </w:r>
      <w:r>
        <w:rPr>
          <w:rFonts w:hint="default" w:ascii="Times New Roman" w:hAnsi="Times New Roman" w:cs="Times New Roman"/>
        </w:rPr>
        <w:t>141</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_Toc17323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5.2.3地下水环境影响评价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_Toc17323 \h </w:instrText>
      </w:r>
      <w:r>
        <w:rPr>
          <w:rFonts w:hint="default" w:ascii="Times New Roman" w:hAnsi="Times New Roman" w:cs="Times New Roman"/>
        </w:rPr>
        <w:fldChar w:fldCharType="separate"/>
      </w:r>
      <w:r>
        <w:rPr>
          <w:rFonts w:hint="default" w:ascii="Times New Roman" w:hAnsi="Times New Roman" w:cs="Times New Roman"/>
        </w:rPr>
        <w:t>141</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_Toc7993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5.2.4声环境影响预测与评价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_Toc7993 \h </w:instrText>
      </w:r>
      <w:r>
        <w:rPr>
          <w:rFonts w:hint="default" w:ascii="Times New Roman" w:hAnsi="Times New Roman" w:cs="Times New Roman"/>
        </w:rPr>
        <w:fldChar w:fldCharType="separate"/>
      </w:r>
      <w:r>
        <w:rPr>
          <w:rFonts w:hint="default" w:ascii="Times New Roman" w:hAnsi="Times New Roman" w:cs="Times New Roman"/>
        </w:rPr>
        <w:t>142</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_Toc19198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5.2.5运营期固废影响预测与评价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_Toc19198 \h </w:instrText>
      </w:r>
      <w:r>
        <w:rPr>
          <w:rFonts w:hint="default" w:ascii="Times New Roman" w:hAnsi="Times New Roman" w:cs="Times New Roman"/>
        </w:rPr>
        <w:fldChar w:fldCharType="separate"/>
      </w:r>
      <w:r>
        <w:rPr>
          <w:rFonts w:hint="default" w:ascii="Times New Roman" w:hAnsi="Times New Roman" w:cs="Times New Roman"/>
        </w:rPr>
        <w:t>146</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_Toc5462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5.2.6运营期生态影响预测及评价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_Toc5462 \h </w:instrText>
      </w:r>
      <w:r>
        <w:rPr>
          <w:rFonts w:hint="default" w:ascii="Times New Roman" w:hAnsi="Times New Roman" w:cs="Times New Roman"/>
        </w:rPr>
        <w:fldChar w:fldCharType="separate"/>
      </w:r>
      <w:r>
        <w:rPr>
          <w:rFonts w:hint="default" w:ascii="Times New Roman" w:hAnsi="Times New Roman" w:cs="Times New Roman"/>
        </w:rPr>
        <w:t>147</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_Toc29320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6.1施工期污染防治措施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_Toc29320 \h </w:instrText>
      </w:r>
      <w:r>
        <w:rPr>
          <w:rFonts w:hint="default" w:ascii="Times New Roman" w:hAnsi="Times New Roman" w:cs="Times New Roman"/>
        </w:rPr>
        <w:fldChar w:fldCharType="separate"/>
      </w:r>
      <w:r>
        <w:rPr>
          <w:rFonts w:hint="default" w:ascii="Times New Roman" w:hAnsi="Times New Roman" w:cs="Times New Roman"/>
        </w:rPr>
        <w:t>148</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_Toc30389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6.1.1大气污染防治措施可行性论证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_Toc30389 \h </w:instrText>
      </w:r>
      <w:r>
        <w:rPr>
          <w:rFonts w:hint="default" w:ascii="Times New Roman" w:hAnsi="Times New Roman" w:cs="Times New Roman"/>
        </w:rPr>
        <w:fldChar w:fldCharType="separate"/>
      </w:r>
      <w:r>
        <w:rPr>
          <w:rFonts w:hint="default" w:ascii="Times New Roman" w:hAnsi="Times New Roman" w:cs="Times New Roman"/>
        </w:rPr>
        <w:t>148</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_Toc26003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6.1.2废水污染防治措施可行性论证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_Toc26003 \h </w:instrText>
      </w:r>
      <w:r>
        <w:rPr>
          <w:rFonts w:hint="default" w:ascii="Times New Roman" w:hAnsi="Times New Roman" w:cs="Times New Roman"/>
        </w:rPr>
        <w:fldChar w:fldCharType="separate"/>
      </w:r>
      <w:r>
        <w:rPr>
          <w:rFonts w:hint="default" w:ascii="Times New Roman" w:hAnsi="Times New Roman" w:cs="Times New Roman"/>
        </w:rPr>
        <w:t>149</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_Toc31420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6.1.4固废处置可行性分析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_Toc31420 \h </w:instrText>
      </w:r>
      <w:r>
        <w:rPr>
          <w:rFonts w:hint="default" w:ascii="Times New Roman" w:hAnsi="Times New Roman" w:cs="Times New Roman"/>
        </w:rPr>
        <w:fldChar w:fldCharType="separate"/>
      </w:r>
      <w:r>
        <w:rPr>
          <w:rFonts w:hint="default" w:ascii="Times New Roman" w:hAnsi="Times New Roman" w:cs="Times New Roman"/>
        </w:rPr>
        <w:t>150</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_Toc23079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6.1.5地表水环境保护措施可行性论证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_Toc23079 \h </w:instrText>
      </w:r>
      <w:r>
        <w:rPr>
          <w:rFonts w:hint="default" w:ascii="Times New Roman" w:hAnsi="Times New Roman" w:cs="Times New Roman"/>
        </w:rPr>
        <w:fldChar w:fldCharType="separate"/>
      </w:r>
      <w:r>
        <w:rPr>
          <w:rFonts w:hint="default" w:ascii="Times New Roman" w:hAnsi="Times New Roman" w:cs="Times New Roman"/>
        </w:rPr>
        <w:t>150</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_Toc21155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6.1.6生态环境保护措施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_Toc21155 \h </w:instrText>
      </w:r>
      <w:r>
        <w:rPr>
          <w:rFonts w:hint="default" w:ascii="Times New Roman" w:hAnsi="Times New Roman" w:cs="Times New Roman"/>
        </w:rPr>
        <w:fldChar w:fldCharType="separate"/>
      </w:r>
      <w:r>
        <w:rPr>
          <w:rFonts w:hint="default" w:ascii="Times New Roman" w:hAnsi="Times New Roman" w:cs="Times New Roman"/>
        </w:rPr>
        <w:t>150</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_Toc2727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6.1.7水土流失影响对策措施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_Toc2727 \h </w:instrText>
      </w:r>
      <w:r>
        <w:rPr>
          <w:rFonts w:hint="default" w:ascii="Times New Roman" w:hAnsi="Times New Roman" w:cs="Times New Roman"/>
        </w:rPr>
        <w:fldChar w:fldCharType="separate"/>
      </w:r>
      <w:r>
        <w:rPr>
          <w:rFonts w:hint="default" w:ascii="Times New Roman" w:hAnsi="Times New Roman" w:cs="Times New Roman"/>
        </w:rPr>
        <w:t>151</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_Toc3365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6.2运营期污染防治措施可行性论证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_Toc3365 \h </w:instrText>
      </w:r>
      <w:r>
        <w:rPr>
          <w:rFonts w:hint="default" w:ascii="Times New Roman" w:hAnsi="Times New Roman" w:cs="Times New Roman"/>
        </w:rPr>
        <w:fldChar w:fldCharType="separate"/>
      </w:r>
      <w:r>
        <w:rPr>
          <w:rFonts w:hint="default" w:ascii="Times New Roman" w:hAnsi="Times New Roman" w:cs="Times New Roman"/>
        </w:rPr>
        <w:t>152</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_Toc6457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6.2.1地表水污染防治措施可行性论证</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_Toc6457 \h </w:instrText>
      </w:r>
      <w:r>
        <w:rPr>
          <w:rFonts w:hint="default" w:ascii="Times New Roman" w:hAnsi="Times New Roman" w:cs="Times New Roman"/>
        </w:rPr>
        <w:fldChar w:fldCharType="separate"/>
      </w:r>
      <w:r>
        <w:rPr>
          <w:rFonts w:hint="default" w:ascii="Times New Roman" w:hAnsi="Times New Roman" w:cs="Times New Roman"/>
        </w:rPr>
        <w:t>152</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_Toc16578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6.2.2大气污染防治措施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_Toc16578 \h </w:instrText>
      </w:r>
      <w:r>
        <w:rPr>
          <w:rFonts w:hint="default" w:ascii="Times New Roman" w:hAnsi="Times New Roman" w:cs="Times New Roman"/>
        </w:rPr>
        <w:fldChar w:fldCharType="separate"/>
      </w:r>
      <w:r>
        <w:rPr>
          <w:rFonts w:hint="default" w:ascii="Times New Roman" w:hAnsi="Times New Roman" w:cs="Times New Roman"/>
        </w:rPr>
        <w:t>155</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_Toc5004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6.2.3声环境保护措施</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_Toc5004 \h </w:instrText>
      </w:r>
      <w:r>
        <w:rPr>
          <w:rFonts w:hint="default" w:ascii="Times New Roman" w:hAnsi="Times New Roman" w:cs="Times New Roman"/>
        </w:rPr>
        <w:fldChar w:fldCharType="separate"/>
      </w:r>
      <w:r>
        <w:rPr>
          <w:rFonts w:hint="default" w:ascii="Times New Roman" w:hAnsi="Times New Roman" w:cs="Times New Roman"/>
        </w:rPr>
        <w:t>155</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_Toc30957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6.2.4固体废物</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_Toc30957 \h </w:instrText>
      </w:r>
      <w:r>
        <w:rPr>
          <w:rFonts w:hint="default" w:ascii="Times New Roman" w:hAnsi="Times New Roman" w:cs="Times New Roman"/>
        </w:rPr>
        <w:fldChar w:fldCharType="separate"/>
      </w:r>
      <w:r>
        <w:rPr>
          <w:rFonts w:hint="default" w:ascii="Times New Roman" w:hAnsi="Times New Roman" w:cs="Times New Roman"/>
        </w:rPr>
        <w:t>156</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_Toc16829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6.2.5湿地运维方案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_Toc16829 \h </w:instrText>
      </w:r>
      <w:r>
        <w:rPr>
          <w:rFonts w:hint="default" w:ascii="Times New Roman" w:hAnsi="Times New Roman" w:cs="Times New Roman"/>
        </w:rPr>
        <w:fldChar w:fldCharType="separate"/>
      </w:r>
      <w:r>
        <w:rPr>
          <w:rFonts w:hint="default" w:ascii="Times New Roman" w:hAnsi="Times New Roman" w:cs="Times New Roman"/>
        </w:rPr>
        <w:t>156</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_Toc1505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7.1环保投资估算</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_Toc1505 \h </w:instrText>
      </w:r>
      <w:r>
        <w:rPr>
          <w:rFonts w:hint="default" w:ascii="Times New Roman" w:hAnsi="Times New Roman" w:cs="Times New Roman"/>
        </w:rPr>
        <w:fldChar w:fldCharType="separate"/>
      </w:r>
      <w:r>
        <w:rPr>
          <w:rFonts w:hint="default" w:ascii="Times New Roman" w:hAnsi="Times New Roman" w:cs="Times New Roman"/>
        </w:rPr>
        <w:t>158</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_Toc358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7.2环境经济损益分析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_Toc358 \h </w:instrText>
      </w:r>
      <w:r>
        <w:rPr>
          <w:rFonts w:hint="default" w:ascii="Times New Roman" w:hAnsi="Times New Roman" w:cs="Times New Roman"/>
        </w:rPr>
        <w:fldChar w:fldCharType="separate"/>
      </w:r>
      <w:r>
        <w:rPr>
          <w:rFonts w:hint="default" w:ascii="Times New Roman" w:hAnsi="Times New Roman" w:cs="Times New Roman"/>
        </w:rPr>
        <w:t>159</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_Toc3062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8环境管理与监测计划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_Toc3062 \h </w:instrText>
      </w:r>
      <w:r>
        <w:rPr>
          <w:rFonts w:hint="default" w:ascii="Times New Roman" w:hAnsi="Times New Roman" w:cs="Times New Roman"/>
        </w:rPr>
        <w:fldChar w:fldCharType="separate"/>
      </w:r>
      <w:r>
        <w:rPr>
          <w:rFonts w:hint="default" w:ascii="Times New Roman" w:hAnsi="Times New Roman" w:cs="Times New Roman"/>
        </w:rPr>
        <w:t>161</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_Toc13850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8.1环境管理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_Toc13850 \h </w:instrText>
      </w:r>
      <w:r>
        <w:rPr>
          <w:rFonts w:hint="default" w:ascii="Times New Roman" w:hAnsi="Times New Roman" w:cs="Times New Roman"/>
        </w:rPr>
        <w:fldChar w:fldCharType="separate"/>
      </w:r>
      <w:r>
        <w:rPr>
          <w:rFonts w:hint="default" w:ascii="Times New Roman" w:hAnsi="Times New Roman" w:cs="Times New Roman"/>
        </w:rPr>
        <w:t>161</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_Toc22179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8.2环境监理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_Toc22179 \h </w:instrText>
      </w:r>
      <w:r>
        <w:rPr>
          <w:rFonts w:hint="default" w:ascii="Times New Roman" w:hAnsi="Times New Roman" w:cs="Times New Roman"/>
        </w:rPr>
        <w:fldChar w:fldCharType="separate"/>
      </w:r>
      <w:r>
        <w:rPr>
          <w:rFonts w:hint="default" w:ascii="Times New Roman" w:hAnsi="Times New Roman" w:cs="Times New Roman"/>
        </w:rPr>
        <w:t>163</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_Toc25312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8.3环境监测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_Toc25312 \h </w:instrText>
      </w:r>
      <w:r>
        <w:rPr>
          <w:rFonts w:hint="default" w:ascii="Times New Roman" w:hAnsi="Times New Roman" w:cs="Times New Roman"/>
        </w:rPr>
        <w:fldChar w:fldCharType="separate"/>
      </w:r>
      <w:r>
        <w:rPr>
          <w:rFonts w:hint="default" w:ascii="Times New Roman" w:hAnsi="Times New Roman" w:cs="Times New Roman"/>
        </w:rPr>
        <w:t>164</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_Toc21651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9.1结论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_Toc21651 \h </w:instrText>
      </w:r>
      <w:r>
        <w:rPr>
          <w:rFonts w:hint="default" w:ascii="Times New Roman" w:hAnsi="Times New Roman" w:cs="Times New Roman"/>
        </w:rPr>
        <w:fldChar w:fldCharType="separate"/>
      </w:r>
      <w:r>
        <w:rPr>
          <w:rFonts w:hint="default" w:ascii="Times New Roman" w:hAnsi="Times New Roman" w:cs="Times New Roman"/>
        </w:rPr>
        <w:t>169</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_Toc23659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9.1.1项目概况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_Toc23659 \h </w:instrText>
      </w:r>
      <w:r>
        <w:rPr>
          <w:rFonts w:hint="default" w:ascii="Times New Roman" w:hAnsi="Times New Roman" w:cs="Times New Roman"/>
        </w:rPr>
        <w:fldChar w:fldCharType="separate"/>
      </w:r>
      <w:r>
        <w:rPr>
          <w:rFonts w:hint="default" w:ascii="Times New Roman" w:hAnsi="Times New Roman" w:cs="Times New Roman"/>
        </w:rPr>
        <w:t>169</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_Toc3455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9.1.2  产业政策符合性</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_Toc3455 \h </w:instrText>
      </w:r>
      <w:r>
        <w:rPr>
          <w:rFonts w:hint="default" w:ascii="Times New Roman" w:hAnsi="Times New Roman" w:cs="Times New Roman"/>
        </w:rPr>
        <w:fldChar w:fldCharType="separate"/>
      </w:r>
      <w:r>
        <w:rPr>
          <w:rFonts w:hint="default" w:ascii="Times New Roman" w:hAnsi="Times New Roman" w:cs="Times New Roman"/>
        </w:rPr>
        <w:t>170</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_Toc16925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9.1.3环境质量现状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_Toc16925 \h </w:instrText>
      </w:r>
      <w:r>
        <w:rPr>
          <w:rFonts w:hint="default" w:ascii="Times New Roman" w:hAnsi="Times New Roman" w:cs="Times New Roman"/>
        </w:rPr>
        <w:fldChar w:fldCharType="separate"/>
      </w:r>
      <w:r>
        <w:rPr>
          <w:rFonts w:hint="default" w:ascii="Times New Roman" w:hAnsi="Times New Roman" w:cs="Times New Roman"/>
        </w:rPr>
        <w:t>170</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_Toc10148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9.1.4  污染防治措施及其可行性结论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_Toc10148 \h </w:instrText>
      </w:r>
      <w:r>
        <w:rPr>
          <w:rFonts w:hint="default" w:ascii="Times New Roman" w:hAnsi="Times New Roman" w:cs="Times New Roman"/>
        </w:rPr>
        <w:fldChar w:fldCharType="separate"/>
      </w:r>
      <w:r>
        <w:rPr>
          <w:rFonts w:hint="default" w:ascii="Times New Roman" w:hAnsi="Times New Roman" w:cs="Times New Roman"/>
        </w:rPr>
        <w:t>171</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_Toc7194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9.1.5  总量控制分析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_Toc7194 \h </w:instrText>
      </w:r>
      <w:r>
        <w:rPr>
          <w:rFonts w:hint="default" w:ascii="Times New Roman" w:hAnsi="Times New Roman" w:cs="Times New Roman"/>
        </w:rPr>
        <w:fldChar w:fldCharType="separate"/>
      </w:r>
      <w:r>
        <w:rPr>
          <w:rFonts w:hint="default" w:ascii="Times New Roman" w:hAnsi="Times New Roman" w:cs="Times New Roman"/>
        </w:rPr>
        <w:t>172</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_Toc522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9.1.6公众意见采纳情况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_Toc522 \h </w:instrText>
      </w:r>
      <w:r>
        <w:rPr>
          <w:rFonts w:hint="default" w:ascii="Times New Roman" w:hAnsi="Times New Roman" w:cs="Times New Roman"/>
        </w:rPr>
        <w:fldChar w:fldCharType="separate"/>
      </w:r>
      <w:r>
        <w:rPr>
          <w:rFonts w:hint="default" w:ascii="Times New Roman" w:hAnsi="Times New Roman" w:cs="Times New Roman"/>
        </w:rPr>
        <w:t>173</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_Toc12018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9.1.7  环境影响经济损益分析</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_Toc12018 \h </w:instrText>
      </w:r>
      <w:r>
        <w:rPr>
          <w:rFonts w:hint="default" w:ascii="Times New Roman" w:hAnsi="Times New Roman" w:cs="Times New Roman"/>
        </w:rPr>
        <w:fldChar w:fldCharType="separate"/>
      </w:r>
      <w:r>
        <w:rPr>
          <w:rFonts w:hint="default" w:ascii="Times New Roman" w:hAnsi="Times New Roman" w:cs="Times New Roman"/>
        </w:rPr>
        <w:t>173</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_Toc20994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9.1.8  环境管理与监测计划</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_Toc20994 \h </w:instrText>
      </w:r>
      <w:r>
        <w:rPr>
          <w:rFonts w:hint="default" w:ascii="Times New Roman" w:hAnsi="Times New Roman" w:cs="Times New Roman"/>
        </w:rPr>
        <w:fldChar w:fldCharType="separate"/>
      </w:r>
      <w:r>
        <w:rPr>
          <w:rFonts w:hint="default" w:ascii="Times New Roman" w:hAnsi="Times New Roman" w:cs="Times New Roman"/>
        </w:rPr>
        <w:t>173</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_Toc22960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9.1.9  项目建设可行性结论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_Toc22960 \h </w:instrText>
      </w:r>
      <w:r>
        <w:rPr>
          <w:rFonts w:hint="default" w:ascii="Times New Roman" w:hAnsi="Times New Roman" w:cs="Times New Roman"/>
        </w:rPr>
        <w:fldChar w:fldCharType="separate"/>
      </w:r>
      <w:r>
        <w:rPr>
          <w:rFonts w:hint="default" w:ascii="Times New Roman" w:hAnsi="Times New Roman" w:cs="Times New Roman"/>
        </w:rPr>
        <w:t>174</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pStyle w:val="7"/>
        <w:tabs>
          <w:tab w:val="right" w:leader="dot" w:pos="8306"/>
        </w:tabs>
        <w:rPr>
          <w:rFonts w:hint="default" w:ascii="Times New Roman" w:hAnsi="Times New Roman" w:cs="Times New Roman"/>
        </w:rPr>
      </w:pPr>
      <w:r>
        <w:rPr>
          <w:rFonts w:hint="default" w:ascii="Times New Roman" w:hAnsi="Times New Roman" w:cs="Times New Roman"/>
          <w:bCs/>
          <w:szCs w:val="28"/>
          <w:lang w:val="en-US" w:eastAsia="zh-CN"/>
        </w:rPr>
        <w:fldChar w:fldCharType="begin"/>
      </w:r>
      <w:r>
        <w:rPr>
          <w:rFonts w:hint="default" w:ascii="Times New Roman" w:hAnsi="Times New Roman" w:cs="Times New Roman"/>
          <w:bCs/>
          <w:szCs w:val="28"/>
          <w:lang w:val="en-US" w:eastAsia="zh-CN"/>
        </w:rPr>
        <w:instrText xml:space="preserve"> HYPERLINK \l _Toc25977 </w:instrText>
      </w:r>
      <w:r>
        <w:rPr>
          <w:rFonts w:hint="default" w:ascii="Times New Roman" w:hAnsi="Times New Roman" w:cs="Times New Roman"/>
          <w:bCs/>
          <w:szCs w:val="28"/>
          <w:lang w:val="en-US" w:eastAsia="zh-CN"/>
        </w:rPr>
        <w:fldChar w:fldCharType="separate"/>
      </w:r>
      <w:r>
        <w:rPr>
          <w:rFonts w:hint="default" w:ascii="Times New Roman" w:hAnsi="Times New Roman" w:eastAsia="宋体" w:cs="Times New Roman"/>
          <w:snapToGrid/>
          <w:highlight w:val="none"/>
          <w:lang w:val="en-US" w:eastAsia="zh-CN" w:bidi="ar-SA"/>
        </w:rPr>
        <w:t>9.2  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_Toc25977 \h </w:instrText>
      </w:r>
      <w:r>
        <w:rPr>
          <w:rFonts w:hint="default" w:ascii="Times New Roman" w:hAnsi="Times New Roman" w:cs="Times New Roman"/>
        </w:rPr>
        <w:fldChar w:fldCharType="separate"/>
      </w:r>
      <w:r>
        <w:rPr>
          <w:rFonts w:hint="default" w:ascii="Times New Roman" w:hAnsi="Times New Roman" w:cs="Times New Roman"/>
        </w:rPr>
        <w:t>174</w:t>
      </w:r>
      <w:r>
        <w:rPr>
          <w:rFonts w:hint="default" w:ascii="Times New Roman" w:hAnsi="Times New Roman" w:cs="Times New Roman"/>
        </w:rPr>
        <w:fldChar w:fldCharType="end"/>
      </w:r>
      <w:r>
        <w:rPr>
          <w:rFonts w:hint="default" w:ascii="Times New Roman" w:hAnsi="Times New Roman" w:cs="Times New Roman"/>
          <w:bCs/>
          <w:szCs w:val="28"/>
          <w:lang w:val="en-US" w:eastAsia="zh-CN"/>
        </w:rPr>
        <w:fldChar w:fldCharType="end"/>
      </w:r>
    </w:p>
    <w:p>
      <w:pPr>
        <w:rPr>
          <w:rFonts w:hint="eastAsia"/>
          <w:b/>
          <w:bCs/>
          <w:sz w:val="28"/>
          <w:szCs w:val="28"/>
          <w:lang w:val="en-US" w:eastAsia="zh-CN"/>
        </w:rPr>
      </w:pPr>
      <w:r>
        <w:rPr>
          <w:rFonts w:hint="default" w:ascii="Times New Roman" w:hAnsi="Times New Roman" w:cs="Times New Roman"/>
          <w:bCs/>
          <w:szCs w:val="28"/>
          <w:lang w:val="en-US" w:eastAsia="zh-CN"/>
        </w:rPr>
        <w:fldChar w:fldCharType="end"/>
      </w:r>
    </w:p>
    <w:p>
      <w:pPr>
        <w:pStyle w:val="8"/>
        <w:rPr>
          <w:rFonts w:hint="default"/>
          <w:lang w:val="en-US" w:eastAsia="zh-CN"/>
        </w:rPr>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0" w:name="_Toc25707"/>
      <w:bookmarkStart w:id="1" w:name="_Toc9929"/>
      <w:r>
        <w:rPr>
          <w:rFonts w:hint="default" w:ascii="Times New Roman" w:hAnsi="Times New Roman" w:eastAsia="宋体" w:cs="Times New Roman"/>
          <w:snapToGrid/>
          <w:color w:val="auto"/>
          <w:sz w:val="32"/>
          <w:highlight w:val="none"/>
          <w:lang w:val="en-US" w:eastAsia="zh-CN" w:bidi="ar-SA"/>
        </w:rPr>
        <w:t>1  概述</w:t>
      </w:r>
      <w:bookmarkEnd w:id="0"/>
      <w:bookmarkEnd w:id="1"/>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2" w:name="_Toc7158"/>
      <w:bookmarkStart w:id="3" w:name="_Toc9489"/>
      <w:bookmarkStart w:id="745" w:name="_GoBack"/>
      <w:r>
        <w:rPr>
          <w:rFonts w:hint="default" w:ascii="Times New Roman" w:hAnsi="Times New Roman" w:eastAsia="宋体" w:cs="Times New Roman"/>
          <w:snapToGrid/>
          <w:color w:val="auto"/>
          <w:sz w:val="32"/>
          <w:highlight w:val="none"/>
          <w:lang w:val="en-US" w:eastAsia="zh-CN" w:bidi="ar-SA"/>
        </w:rPr>
        <w:t>1.1  项目由来</w:t>
      </w:r>
      <w:bookmarkEnd w:id="2"/>
      <w:bookmarkEnd w:id="3"/>
    </w:p>
    <w:bookmarkEnd w:id="745"/>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生态文明是当代人类文明发展的新形态，是中国特色社会主义与和谐社会建设的重要组成部分。党的二十大指出，推动绿色发展，促进人与自然和谐共生。尊重自然、顺应自然、保护自然，是全面建设社会主义现代化国家的内在要求；持续深入打好蓝天、碧水、净土保卫战。统筹水资源、水环境、水生态治理，推动重要河湖库生态保护治理。</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大庆市</w:t>
      </w:r>
      <w:r>
        <w:rPr>
          <w:rFonts w:hint="eastAsia" w:ascii="Times New Roman" w:hAnsi="Times New Roman" w:eastAsia="宋体" w:cs="Times New Roman"/>
          <w:caps w:val="0"/>
          <w:smallCaps w:val="0"/>
          <w:color w:val="auto"/>
          <w:spacing w:val="0"/>
          <w:w w:val="100"/>
          <w:kern w:val="0"/>
          <w:sz w:val="24"/>
          <w:szCs w:val="24"/>
          <w:highlight w:val="none"/>
          <w:lang w:val="en-US" w:eastAsia="zh-CN"/>
        </w:rPr>
        <w:t>积极实施</w:t>
      </w:r>
      <w:r>
        <w:rPr>
          <w:rFonts w:hint="default" w:ascii="Times New Roman" w:hAnsi="Times New Roman" w:eastAsia="宋体" w:cs="Times New Roman"/>
          <w:caps w:val="0"/>
          <w:smallCaps w:val="0"/>
          <w:color w:val="auto"/>
          <w:spacing w:val="0"/>
          <w:w w:val="100"/>
          <w:kern w:val="0"/>
          <w:sz w:val="24"/>
          <w:szCs w:val="24"/>
          <w:highlight w:val="none"/>
          <w:lang w:val="en-US" w:eastAsia="zh-CN"/>
        </w:rPr>
        <w:t>河湖库生态保护治理工作，制定《大庆市人民政府关于印发大庆市</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十四五</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生态环境保护规划的通知》（庆政规〔2022〕7号），指出大庆市</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十四五</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时期生态环境保护存在的问题</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..PM2.5空气污染、黑臭水体、安肇新河流域治理问题仍未能完全消除。...</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，总体目标提出</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...水生态环境质量稳步提升，基本消除天然河湖国控劣V类断面和城市建成区黑臭水体，水生态功能初步得到恢复。...</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重点谋划古恰闸口和白沙滩断面汇水区域内项目。明确6大国控断面汇水区域内污染源排放强度，计算水环境容量，明确污染物削减量和环境改善目标可达性之间关系。</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大庆市内主要江河为</w:t>
      </w:r>
      <w:r>
        <w:rPr>
          <w:rFonts w:hint="default" w:ascii="Times New Roman" w:hAnsi="Times New Roman" w:eastAsia="宋体" w:cs="Times New Roman"/>
          <w:caps w:val="0"/>
          <w:smallCaps w:val="0"/>
          <w:color w:val="auto"/>
          <w:spacing w:val="0"/>
          <w:w w:val="100"/>
          <w:kern w:val="0"/>
          <w:sz w:val="24"/>
          <w:szCs w:val="24"/>
          <w:highlight w:val="none"/>
          <w:lang w:val="en-US" w:eastAsia="zh-CN"/>
        </w:rPr>
        <w:t>嫩江</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松花江</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乌裕尔河</w:t>
      </w:r>
      <w:r>
        <w:rPr>
          <w:rFonts w:hint="eastAsia" w:ascii="Times New Roman" w:hAnsi="Times New Roman" w:eastAsia="宋体" w:cs="Times New Roman"/>
          <w:caps w:val="0"/>
          <w:smallCaps w:val="0"/>
          <w:color w:val="auto"/>
          <w:spacing w:val="0"/>
          <w:w w:val="100"/>
          <w:kern w:val="0"/>
          <w:sz w:val="24"/>
          <w:szCs w:val="24"/>
          <w:highlight w:val="none"/>
          <w:lang w:val="en-US" w:eastAsia="zh-CN"/>
        </w:rPr>
        <w:t>及</w:t>
      </w:r>
      <w:r>
        <w:rPr>
          <w:rFonts w:hint="default" w:ascii="Times New Roman" w:hAnsi="Times New Roman" w:eastAsia="宋体" w:cs="Times New Roman"/>
          <w:caps w:val="0"/>
          <w:smallCaps w:val="0"/>
          <w:color w:val="auto"/>
          <w:spacing w:val="0"/>
          <w:w w:val="100"/>
          <w:kern w:val="0"/>
          <w:sz w:val="24"/>
          <w:szCs w:val="24"/>
          <w:highlight w:val="none"/>
          <w:lang w:val="en-US" w:eastAsia="zh-CN"/>
        </w:rPr>
        <w:t>双阳河</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；主要排水干渠为</w:t>
      </w:r>
      <w:r>
        <w:rPr>
          <w:rFonts w:hint="default" w:ascii="Times New Roman" w:hAnsi="Times New Roman" w:eastAsia="宋体" w:cs="Times New Roman"/>
          <w:caps w:val="0"/>
          <w:smallCaps w:val="0"/>
          <w:color w:val="auto"/>
          <w:spacing w:val="0"/>
          <w:w w:val="100"/>
          <w:kern w:val="0"/>
          <w:sz w:val="24"/>
          <w:szCs w:val="24"/>
          <w:highlight w:val="none"/>
          <w:lang w:val="en-US" w:eastAsia="zh-CN"/>
        </w:rPr>
        <w:t>安肇新河</w:t>
      </w:r>
      <w:r>
        <w:rPr>
          <w:rFonts w:hint="eastAsia" w:ascii="Times New Roman" w:hAnsi="Times New Roman" w:eastAsia="宋体" w:cs="Times New Roman"/>
          <w:caps w:val="0"/>
          <w:smallCaps w:val="0"/>
          <w:color w:val="auto"/>
          <w:spacing w:val="0"/>
          <w:w w:val="100"/>
          <w:kern w:val="0"/>
          <w:sz w:val="24"/>
          <w:szCs w:val="24"/>
          <w:highlight w:val="none"/>
          <w:lang w:val="en-US" w:eastAsia="zh-CN"/>
        </w:rPr>
        <w:t>、西排干、东二排干、中央排干及北引供水干渠。其中</w:t>
      </w:r>
      <w:r>
        <w:rPr>
          <w:rFonts w:hint="default" w:ascii="Times New Roman" w:hAnsi="Times New Roman" w:eastAsia="宋体" w:cs="Times New Roman"/>
          <w:caps w:val="0"/>
          <w:smallCaps w:val="0"/>
          <w:color w:val="auto"/>
          <w:spacing w:val="0"/>
          <w:w w:val="100"/>
          <w:kern w:val="0"/>
          <w:sz w:val="24"/>
          <w:szCs w:val="24"/>
          <w:highlight w:val="none"/>
          <w:lang w:val="en-US" w:eastAsia="zh-CN"/>
        </w:rPr>
        <w:t>安肇新河</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为人工开凿干渠。</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库里泡</w:t>
      </w:r>
      <w:r>
        <w:rPr>
          <w:rFonts w:hint="eastAsia" w:ascii="Times New Roman" w:hAnsi="Times New Roman" w:eastAsia="宋体" w:cs="Times New Roman"/>
          <w:caps w:val="0"/>
          <w:smallCaps w:val="0"/>
          <w:color w:val="auto"/>
          <w:spacing w:val="0"/>
          <w:w w:val="100"/>
          <w:kern w:val="0"/>
          <w:sz w:val="24"/>
          <w:szCs w:val="24"/>
          <w:highlight w:val="none"/>
          <w:lang w:val="en-US" w:eastAsia="zh-CN"/>
        </w:rPr>
        <w:t>接收</w:t>
      </w:r>
      <w:r>
        <w:rPr>
          <w:rFonts w:hint="default" w:ascii="Times New Roman" w:hAnsi="Times New Roman" w:eastAsia="宋体" w:cs="Times New Roman"/>
          <w:caps w:val="0"/>
          <w:smallCaps w:val="0"/>
          <w:color w:val="auto"/>
          <w:spacing w:val="0"/>
          <w:w w:val="100"/>
          <w:kern w:val="0"/>
          <w:sz w:val="24"/>
          <w:szCs w:val="24"/>
          <w:highlight w:val="none"/>
          <w:lang w:val="en-US" w:eastAsia="zh-CN"/>
        </w:rPr>
        <w:t>安肇新河上游来水，是串联在安肇新河下游较大的泡沼泄洪区</w:t>
      </w:r>
      <w:r>
        <w:rPr>
          <w:rFonts w:hint="eastAsia" w:ascii="Times New Roman" w:hAnsi="Times New Roman" w:eastAsia="宋体" w:cs="Times New Roman"/>
          <w:caps w:val="0"/>
          <w:smallCaps w:val="0"/>
          <w:color w:val="auto"/>
          <w:spacing w:val="0"/>
          <w:w w:val="100"/>
          <w:kern w:val="0"/>
          <w:sz w:val="24"/>
          <w:szCs w:val="24"/>
          <w:highlight w:val="none"/>
          <w:lang w:val="en-US" w:eastAsia="zh-CN"/>
        </w:rPr>
        <w:t>，库里泡出水水质常年为地表水</w:t>
      </w:r>
      <w:r>
        <w:rPr>
          <w:rFonts w:hint="default" w:ascii="Times New Roman" w:hAnsi="Times New Roman" w:eastAsia="宋体" w:cs="Times New Roman"/>
          <w:caps w:val="0"/>
          <w:smallCaps w:val="0"/>
          <w:color w:val="auto"/>
          <w:spacing w:val="0"/>
          <w:w w:val="100"/>
          <w:kern w:val="0"/>
          <w:sz w:val="24"/>
          <w:szCs w:val="24"/>
          <w:highlight w:val="none"/>
          <w:lang w:val="en-US" w:eastAsia="zh-CN"/>
        </w:rPr>
        <w:t>劣Ⅴ类，</w:t>
      </w:r>
      <w:r>
        <w:rPr>
          <w:rFonts w:hint="eastAsia" w:ascii="Times New Roman" w:hAnsi="Times New Roman" w:eastAsia="宋体" w:cs="Times New Roman"/>
          <w:caps w:val="0"/>
          <w:smallCaps w:val="0"/>
          <w:color w:val="auto"/>
          <w:spacing w:val="0"/>
          <w:w w:val="100"/>
          <w:kern w:val="0"/>
          <w:sz w:val="24"/>
          <w:szCs w:val="24"/>
          <w:highlight w:val="none"/>
          <w:lang w:val="en-US" w:eastAsia="zh-CN"/>
        </w:rPr>
        <w:t>通过</w:t>
      </w:r>
      <w:r>
        <w:rPr>
          <w:rFonts w:hint="default" w:ascii="Times New Roman" w:hAnsi="Times New Roman" w:eastAsia="宋体" w:cs="Times New Roman"/>
          <w:caps w:val="0"/>
          <w:smallCaps w:val="0"/>
          <w:color w:val="auto"/>
          <w:spacing w:val="0"/>
          <w:w w:val="100"/>
          <w:kern w:val="0"/>
          <w:sz w:val="24"/>
          <w:szCs w:val="24"/>
          <w:highlight w:val="none"/>
          <w:lang w:val="en-US" w:eastAsia="zh-CN"/>
        </w:rPr>
        <w:t>古恰闸口</w:t>
      </w:r>
      <w:r>
        <w:rPr>
          <w:rFonts w:hint="eastAsia" w:ascii="Times New Roman" w:hAnsi="Times New Roman" w:eastAsia="宋体" w:cs="Times New Roman"/>
          <w:caps w:val="0"/>
          <w:smallCaps w:val="0"/>
          <w:color w:val="auto"/>
          <w:spacing w:val="0"/>
          <w:w w:val="100"/>
          <w:kern w:val="0"/>
          <w:sz w:val="24"/>
          <w:szCs w:val="24"/>
          <w:highlight w:val="none"/>
          <w:lang w:val="en-US" w:eastAsia="zh-CN"/>
        </w:rPr>
        <w:t>进入松花江。</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为改善</w:t>
      </w:r>
      <w:r>
        <w:rPr>
          <w:rFonts w:hint="eastAsia" w:ascii="Times New Roman" w:hAnsi="Times New Roman" w:eastAsia="宋体" w:cs="Times New Roman"/>
          <w:caps w:val="0"/>
          <w:smallCaps w:val="0"/>
          <w:color w:val="auto"/>
          <w:spacing w:val="0"/>
          <w:w w:val="100"/>
          <w:kern w:val="0"/>
          <w:sz w:val="24"/>
          <w:szCs w:val="24"/>
          <w:highlight w:val="none"/>
          <w:lang w:val="en-US" w:eastAsia="zh-CN"/>
        </w:rPr>
        <w:t>库里泡</w:t>
      </w:r>
      <w:r>
        <w:rPr>
          <w:rFonts w:hint="default" w:ascii="Times New Roman" w:hAnsi="Times New Roman" w:eastAsia="宋体" w:cs="Times New Roman"/>
          <w:caps w:val="0"/>
          <w:smallCaps w:val="0"/>
          <w:color w:val="auto"/>
          <w:spacing w:val="0"/>
          <w:w w:val="100"/>
          <w:kern w:val="0"/>
          <w:sz w:val="24"/>
          <w:szCs w:val="24"/>
          <w:highlight w:val="none"/>
          <w:lang w:val="en-US" w:eastAsia="zh-CN"/>
        </w:rPr>
        <w:t>区域水体质量，落实二十大及大庆市</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十四五</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生态环境保护规划主要任务，本次对安肇新河汇入库里泡</w:t>
      </w:r>
      <w:r>
        <w:rPr>
          <w:rFonts w:hint="eastAsia" w:ascii="Times New Roman" w:hAnsi="Times New Roman" w:eastAsia="宋体" w:cs="Times New Roman"/>
          <w:caps w:val="0"/>
          <w:smallCaps w:val="0"/>
          <w:color w:val="auto"/>
          <w:spacing w:val="0"/>
          <w:w w:val="100"/>
          <w:kern w:val="0"/>
          <w:sz w:val="24"/>
          <w:szCs w:val="24"/>
          <w:highlight w:val="none"/>
          <w:lang w:val="en-US" w:eastAsia="zh-CN"/>
        </w:rPr>
        <w:t>排水</w:t>
      </w:r>
      <w:r>
        <w:rPr>
          <w:rFonts w:hint="default" w:ascii="Times New Roman" w:hAnsi="Times New Roman" w:eastAsia="宋体" w:cs="Times New Roman"/>
          <w:caps w:val="0"/>
          <w:smallCaps w:val="0"/>
          <w:color w:val="auto"/>
          <w:spacing w:val="0"/>
          <w:w w:val="100"/>
          <w:kern w:val="0"/>
          <w:sz w:val="24"/>
          <w:szCs w:val="24"/>
          <w:highlight w:val="none"/>
          <w:lang w:val="en-US" w:eastAsia="zh-CN"/>
        </w:rPr>
        <w:t>口</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上游处建设人工湿地，进行污水治理。可拦截、降低进入</w:t>
      </w:r>
      <w:r>
        <w:rPr>
          <w:rFonts w:hint="default" w:ascii="Times New Roman" w:hAnsi="Times New Roman" w:eastAsia="宋体" w:cs="Times New Roman"/>
          <w:caps w:val="0"/>
          <w:smallCaps w:val="0"/>
          <w:color w:val="auto"/>
          <w:spacing w:val="0"/>
          <w:w w:val="100"/>
          <w:kern w:val="0"/>
          <w:sz w:val="24"/>
          <w:szCs w:val="24"/>
          <w:highlight w:val="none"/>
          <w:lang w:val="en-US" w:eastAsia="zh-CN"/>
        </w:rPr>
        <w:t>库里泡的污染物，</w:t>
      </w:r>
      <w:r>
        <w:rPr>
          <w:rFonts w:hint="eastAsia" w:ascii="Times New Roman" w:hAnsi="Times New Roman" w:eastAsia="宋体" w:cs="Times New Roman"/>
          <w:caps w:val="0"/>
          <w:smallCaps w:val="0"/>
          <w:color w:val="auto"/>
          <w:spacing w:val="0"/>
          <w:w w:val="100"/>
          <w:kern w:val="0"/>
          <w:sz w:val="24"/>
          <w:szCs w:val="24"/>
          <w:highlight w:val="none"/>
          <w:lang w:val="en-US" w:eastAsia="zh-CN"/>
        </w:rPr>
        <w:t>改善</w:t>
      </w:r>
      <w:r>
        <w:rPr>
          <w:rFonts w:hint="default" w:ascii="Times New Roman" w:hAnsi="Times New Roman" w:eastAsia="宋体" w:cs="Times New Roman"/>
          <w:caps w:val="0"/>
          <w:smallCaps w:val="0"/>
          <w:color w:val="auto"/>
          <w:spacing w:val="0"/>
          <w:w w:val="100"/>
          <w:kern w:val="0"/>
          <w:sz w:val="24"/>
          <w:szCs w:val="24"/>
          <w:highlight w:val="none"/>
          <w:lang w:val="en-US" w:eastAsia="zh-CN"/>
        </w:rPr>
        <w:t>库里泡</w:t>
      </w:r>
      <w:r>
        <w:rPr>
          <w:rFonts w:hint="eastAsia" w:ascii="Times New Roman" w:hAnsi="Times New Roman" w:eastAsia="宋体" w:cs="Times New Roman"/>
          <w:caps w:val="0"/>
          <w:smallCaps w:val="0"/>
          <w:color w:val="auto"/>
          <w:spacing w:val="0"/>
          <w:w w:val="100"/>
          <w:kern w:val="0"/>
          <w:sz w:val="24"/>
          <w:szCs w:val="24"/>
          <w:highlight w:val="none"/>
          <w:lang w:val="en-US" w:eastAsia="zh-CN"/>
        </w:rPr>
        <w:t>区域</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地表水</w:t>
      </w:r>
      <w:r>
        <w:rPr>
          <w:rFonts w:hint="eastAsia" w:ascii="Times New Roman" w:hAnsi="Times New Roman" w:eastAsia="宋体" w:cs="Times New Roman"/>
          <w:caps w:val="0"/>
          <w:smallCaps w:val="0"/>
          <w:color w:val="auto"/>
          <w:spacing w:val="0"/>
          <w:w w:val="100"/>
          <w:kern w:val="0"/>
          <w:sz w:val="24"/>
          <w:szCs w:val="24"/>
          <w:highlight w:val="none"/>
          <w:lang w:val="en-US" w:eastAsia="zh-CN"/>
        </w:rPr>
        <w:t>水质质量</w:t>
      </w:r>
      <w:r>
        <w:rPr>
          <w:rFonts w:hint="default" w:ascii="Times New Roman" w:hAnsi="Times New Roman" w:eastAsia="宋体" w:cs="Times New Roman"/>
          <w:caps w:val="0"/>
          <w:smallCaps w:val="0"/>
          <w:color w:val="auto"/>
          <w:spacing w:val="0"/>
          <w:w w:val="100"/>
          <w:kern w:val="0"/>
          <w:sz w:val="24"/>
          <w:szCs w:val="24"/>
          <w:highlight w:val="none"/>
          <w:lang w:val="en-US" w:eastAsia="zh-CN"/>
        </w:rPr>
        <w:t>；同时提升古恰闸口区域水质，</w:t>
      </w:r>
      <w:r>
        <w:rPr>
          <w:rFonts w:hint="eastAsia" w:ascii="Times New Roman" w:hAnsi="Times New Roman" w:eastAsia="宋体" w:cs="Times New Roman"/>
          <w:caps w:val="0"/>
          <w:smallCaps w:val="0"/>
          <w:color w:val="auto"/>
          <w:spacing w:val="0"/>
          <w:w w:val="100"/>
          <w:kern w:val="0"/>
          <w:sz w:val="24"/>
          <w:szCs w:val="24"/>
          <w:highlight w:val="none"/>
          <w:lang w:val="en-US" w:eastAsia="zh-CN"/>
        </w:rPr>
        <w:t>改善入松花江水体水质，</w:t>
      </w:r>
      <w:r>
        <w:rPr>
          <w:rFonts w:hint="default" w:ascii="Times New Roman" w:hAnsi="Times New Roman" w:eastAsia="宋体" w:cs="Times New Roman"/>
          <w:caps w:val="0"/>
          <w:smallCaps w:val="0"/>
          <w:color w:val="auto"/>
          <w:spacing w:val="0"/>
          <w:w w:val="100"/>
          <w:kern w:val="0"/>
          <w:sz w:val="24"/>
          <w:szCs w:val="24"/>
          <w:highlight w:val="none"/>
          <w:lang w:val="en-US" w:eastAsia="zh-CN"/>
        </w:rPr>
        <w:t>构建优美生态环境</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ascii="Times New Roman" w:hAnsi="Times New Roman" w:eastAsia="宋体" w:cs="Times New Roman"/>
          <w:color w:val="auto"/>
          <w:kern w:val="0"/>
          <w:sz w:val="24"/>
          <w:highlight w:val="none"/>
        </w:rPr>
        <w:t>实现</w:t>
      </w:r>
      <w:r>
        <w:rPr>
          <w:rFonts w:hint="eastAsia" w:ascii="Times New Roman" w:hAnsi="Times New Roman" w:eastAsia="宋体" w:cs="Times New Roman"/>
          <w:color w:val="auto"/>
          <w:kern w:val="0"/>
          <w:sz w:val="24"/>
          <w:highlight w:val="none"/>
        </w:rPr>
        <w:t>环境改善目标</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2021年8月，大庆市城发自然生态保护管理有限公司组织编制了《大庆市安肇新河人工湿地水质净化工程可行性研究报告》，并通过大庆市发展与改革委员会批复（</w:t>
      </w:r>
      <w:r>
        <w:rPr>
          <w:rFonts w:hint="eastAsia" w:ascii="Times New Roman" w:hAnsi="Times New Roman" w:eastAsia="宋体" w:cs="Times New Roman"/>
          <w:caps w:val="0"/>
          <w:smallCaps w:val="0"/>
          <w:color w:val="auto"/>
          <w:spacing w:val="0"/>
          <w:w w:val="100"/>
          <w:kern w:val="0"/>
          <w:sz w:val="24"/>
          <w:szCs w:val="24"/>
          <w:highlight w:val="none"/>
          <w:lang w:val="en-US" w:eastAsia="zh-CN"/>
        </w:rPr>
        <w:t>庆发改发〔2022〕163号）。</w:t>
      </w:r>
      <w:r>
        <w:rPr>
          <w:rFonts w:hint="default" w:ascii="Times New Roman" w:hAnsi="Times New Roman" w:eastAsia="宋体" w:cs="Times New Roman"/>
          <w:caps w:val="0"/>
          <w:smallCaps w:val="0"/>
          <w:color w:val="auto"/>
          <w:spacing w:val="0"/>
          <w:w w:val="100"/>
          <w:kern w:val="0"/>
          <w:sz w:val="24"/>
          <w:szCs w:val="24"/>
          <w:highlight w:val="none"/>
          <w:lang w:val="en-US" w:eastAsia="zh-CN"/>
        </w:rPr>
        <w:t>项目主要建设内容及规模为：建设处理能力30万m3/d人工湿地净化系统，包括建设生态稳定塘、生态砾石床、表流湿地、垂直潜流湿地、半自然湿地等系列工程，恢复水生植物共计</w:t>
      </w:r>
      <w:r>
        <w:rPr>
          <w:rFonts w:hint="eastAsia" w:ascii="Times New Roman" w:hAnsi="Times New Roman" w:eastAsia="宋体" w:cs="Times New Roman"/>
          <w:caps w:val="0"/>
          <w:smallCaps w:val="0"/>
          <w:color w:val="auto"/>
          <w:spacing w:val="0"/>
          <w:w w:val="100"/>
          <w:kern w:val="0"/>
          <w:sz w:val="24"/>
          <w:szCs w:val="24"/>
          <w:highlight w:val="none"/>
          <w:lang w:val="en-US" w:eastAsia="zh-CN"/>
        </w:rPr>
        <w:t>767013</w:t>
      </w:r>
      <w:r>
        <w:rPr>
          <w:rFonts w:hint="default" w:ascii="Times New Roman" w:hAnsi="Times New Roman" w:eastAsia="宋体" w:cs="Times New Roman"/>
          <w:caps w:val="0"/>
          <w:smallCaps w:val="0"/>
          <w:color w:val="auto"/>
          <w:spacing w:val="0"/>
          <w:w w:val="100"/>
          <w:kern w:val="0"/>
          <w:sz w:val="24"/>
          <w:szCs w:val="24"/>
          <w:highlight w:val="none"/>
          <w:lang w:val="en-US" w:eastAsia="zh-CN"/>
        </w:rPr>
        <w:t>m2，项目占地13</w:t>
      </w:r>
      <w:r>
        <w:rPr>
          <w:rFonts w:hint="eastAsia" w:ascii="Times New Roman" w:hAnsi="Times New Roman" w:eastAsia="宋体" w:cs="Times New Roman"/>
          <w:caps w:val="0"/>
          <w:smallCaps w:val="0"/>
          <w:color w:val="auto"/>
          <w:spacing w:val="0"/>
          <w:w w:val="100"/>
          <w:kern w:val="0"/>
          <w:sz w:val="24"/>
          <w:szCs w:val="24"/>
          <w:highlight w:val="none"/>
          <w:lang w:val="en-US" w:eastAsia="zh-CN"/>
        </w:rPr>
        <w:t>60</w:t>
      </w:r>
      <w:r>
        <w:rPr>
          <w:rFonts w:hint="default" w:ascii="Times New Roman" w:hAnsi="Times New Roman" w:eastAsia="宋体" w:cs="Times New Roman"/>
          <w:caps w:val="0"/>
          <w:smallCaps w:val="0"/>
          <w:color w:val="auto"/>
          <w:spacing w:val="0"/>
          <w:w w:val="100"/>
          <w:kern w:val="0"/>
          <w:sz w:val="24"/>
          <w:szCs w:val="24"/>
          <w:highlight w:val="none"/>
          <w:lang w:val="en-US" w:eastAsia="zh-CN"/>
        </w:rPr>
        <w:t>亩</w:t>
      </w:r>
      <w:r>
        <w:rPr>
          <w:rFonts w:hint="eastAsia" w:ascii="Times New Roman" w:hAnsi="Times New Roman" w:eastAsia="宋体" w:cs="Times New Roman"/>
          <w:caps w:val="0"/>
          <w:smallCaps w:val="0"/>
          <w:color w:val="auto"/>
          <w:spacing w:val="0"/>
          <w:w w:val="100"/>
          <w:kern w:val="0"/>
          <w:sz w:val="24"/>
          <w:szCs w:val="24"/>
          <w:highlight w:val="none"/>
          <w:lang w:val="en-US" w:eastAsia="zh-CN"/>
        </w:rPr>
        <w:t>，其中生态净化区占地1310亩，进场道路50亩</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4" w:name="_Toc24229"/>
      <w:bookmarkStart w:id="5" w:name="_Toc225"/>
      <w:r>
        <w:rPr>
          <w:rFonts w:hint="default" w:ascii="Times New Roman" w:hAnsi="Times New Roman" w:eastAsia="宋体" w:cs="Times New Roman"/>
          <w:snapToGrid/>
          <w:color w:val="auto"/>
          <w:sz w:val="32"/>
          <w:highlight w:val="none"/>
          <w:lang w:val="en-US" w:eastAsia="zh-CN" w:bidi="ar-SA"/>
        </w:rPr>
        <w:t>1.</w:t>
      </w:r>
      <w:r>
        <w:rPr>
          <w:rFonts w:hint="eastAsia" w:ascii="Times New Roman" w:hAnsi="Times New Roman" w:eastAsia="宋体" w:cs="Times New Roman"/>
          <w:snapToGrid/>
          <w:color w:val="auto"/>
          <w:sz w:val="32"/>
          <w:highlight w:val="none"/>
          <w:lang w:val="en-US" w:eastAsia="zh-CN" w:bidi="ar-SA"/>
        </w:rPr>
        <w:t>2</w:t>
      </w:r>
      <w:r>
        <w:rPr>
          <w:rFonts w:hint="default" w:ascii="Times New Roman" w:hAnsi="Times New Roman" w:eastAsia="宋体" w:cs="Times New Roman"/>
          <w:snapToGrid/>
          <w:color w:val="auto"/>
          <w:sz w:val="32"/>
          <w:highlight w:val="none"/>
          <w:lang w:val="en-US" w:eastAsia="zh-CN" w:bidi="ar-SA"/>
        </w:rPr>
        <w:t>项目</w:t>
      </w:r>
      <w:r>
        <w:rPr>
          <w:rFonts w:hint="eastAsia" w:ascii="Times New Roman" w:hAnsi="Times New Roman" w:eastAsia="宋体" w:cs="Times New Roman"/>
          <w:snapToGrid/>
          <w:color w:val="auto"/>
          <w:sz w:val="32"/>
          <w:highlight w:val="none"/>
          <w:lang w:val="en-US" w:eastAsia="zh-CN" w:bidi="ar-SA"/>
        </w:rPr>
        <w:t>特点</w:t>
      </w:r>
      <w:bookmarkEnd w:id="4"/>
      <w:bookmarkEnd w:id="5"/>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本项目属于排水干渠污水治理项目；采取“生态稳定塘—生态砾石床—表流湿地—潜流湿地—半自然湿地”的复合工艺对安肇新河污水体进行净化。项目建设完成后，可有效降低排入库里泡污染物的量。间接减少古恰闸口汇入松花江水体的污染物量，改善肇源松花江国控断面水质状况。</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（2）工程位于安肇新河左岸处，左岸区域原为自然形成的河塘，与安肇新河不相连。本次征用河塘为本项目占地。工程施工期间不会造成水量、流速、径流、水位等水文要素的变化。</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（3）项目运行期间，安肇新河部分河水通过新建的进水口及进水明渠进入人工湿地生态净化区进行净化。污水先进入生态稳定塘，进行沉淀，有效降低悬浮物的浓度。经净化的水分别进入</w:t>
      </w:r>
      <w:r>
        <w:rPr>
          <w:rFonts w:hint="default" w:ascii="Times New Roman" w:hAnsi="Times New Roman" w:eastAsia="宋体" w:cs="Times New Roman"/>
          <w:caps w:val="0"/>
          <w:smallCaps w:val="0"/>
          <w:color w:val="auto"/>
          <w:spacing w:val="0"/>
          <w:w w:val="100"/>
          <w:kern w:val="0"/>
          <w:sz w:val="24"/>
          <w:szCs w:val="24"/>
          <w:highlight w:val="none"/>
          <w:lang w:val="en-US" w:eastAsia="zh-CN"/>
        </w:rPr>
        <w:t>生态砾石床</w:t>
      </w:r>
      <w:r>
        <w:rPr>
          <w:rFonts w:hint="eastAsia" w:ascii="Times New Roman" w:hAnsi="Times New Roman" w:eastAsia="宋体" w:cs="Times New Roman"/>
          <w:caps w:val="0"/>
          <w:smallCaps w:val="0"/>
          <w:color w:val="auto"/>
          <w:spacing w:val="0"/>
          <w:w w:val="100"/>
          <w:kern w:val="0"/>
          <w:sz w:val="24"/>
          <w:szCs w:val="24"/>
          <w:highlight w:val="none"/>
          <w:lang w:val="en-US" w:eastAsia="zh-CN"/>
        </w:rPr>
        <w:t>、表流湿地、</w:t>
      </w:r>
      <w:r>
        <w:rPr>
          <w:rFonts w:hint="default" w:ascii="Times New Roman" w:hAnsi="Times New Roman" w:eastAsia="宋体" w:cs="Times New Roman"/>
          <w:caps w:val="0"/>
          <w:smallCaps w:val="0"/>
          <w:color w:val="auto"/>
          <w:spacing w:val="0"/>
          <w:w w:val="100"/>
          <w:kern w:val="0"/>
          <w:sz w:val="24"/>
          <w:szCs w:val="24"/>
          <w:highlight w:val="none"/>
          <w:lang w:val="en-US" w:eastAsia="zh-CN"/>
        </w:rPr>
        <w:t>垂直潜流湿地</w:t>
      </w:r>
      <w:r>
        <w:rPr>
          <w:rFonts w:hint="eastAsia" w:ascii="Times New Roman" w:hAnsi="Times New Roman" w:eastAsia="宋体" w:cs="Times New Roman"/>
          <w:caps w:val="0"/>
          <w:smallCaps w:val="0"/>
          <w:color w:val="auto"/>
          <w:spacing w:val="0"/>
          <w:w w:val="100"/>
          <w:kern w:val="0"/>
          <w:sz w:val="24"/>
          <w:szCs w:val="24"/>
          <w:highlight w:val="none"/>
          <w:lang w:val="en-US" w:eastAsia="zh-CN"/>
        </w:rPr>
        <w:t>及</w:t>
      </w:r>
      <w:r>
        <w:rPr>
          <w:rFonts w:hint="default" w:ascii="Times New Roman" w:hAnsi="Times New Roman" w:eastAsia="宋体" w:cs="Times New Roman"/>
          <w:caps w:val="0"/>
          <w:smallCaps w:val="0"/>
          <w:color w:val="auto"/>
          <w:spacing w:val="0"/>
          <w:w w:val="100"/>
          <w:kern w:val="0"/>
          <w:sz w:val="24"/>
          <w:szCs w:val="24"/>
          <w:highlight w:val="none"/>
          <w:lang w:val="en-US" w:eastAsia="zh-CN"/>
        </w:rPr>
        <w:t>半自然湿地</w:t>
      </w:r>
      <w:r>
        <w:rPr>
          <w:rFonts w:hint="eastAsia" w:ascii="Times New Roman" w:hAnsi="Times New Roman" w:eastAsia="宋体" w:cs="Times New Roman"/>
          <w:caps w:val="0"/>
          <w:smallCaps w:val="0"/>
          <w:color w:val="auto"/>
          <w:spacing w:val="0"/>
          <w:w w:val="100"/>
          <w:kern w:val="0"/>
          <w:sz w:val="24"/>
          <w:szCs w:val="24"/>
          <w:highlight w:val="none"/>
          <w:lang w:val="en-US" w:eastAsia="zh-CN"/>
        </w:rPr>
        <w:t>进行处理，人工湿地采取微生物降解+植物吸收+水体自净工艺，对污水处理。</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生态砾石床为半精确控制的砾间接触氧化强化净化单元，可反冲洗，可有效去除有机物和氨氮等污染物；出水经表流湿地+潜流湿地+半自然湿地进行进一步净化。表面流湿地增强水体复氧，强化好氧生物对水体中污染物的净化作用，潜流湿地接收表流湿地来水，强化厌氧生物对水体中污染物的净化作用；半自然湿地主要通过基底、水深、水生植物的变化，使水在流动过程中得以净化。</w:t>
      </w:r>
    </w:p>
    <w:p>
      <w:pPr>
        <w:adjustRightInd w:val="0"/>
        <w:snapToGrid w:val="0"/>
        <w:spacing w:line="360" w:lineRule="auto"/>
        <w:ind w:firstLine="480" w:firstLineChars="200"/>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（5）经净化后的水通过退水暗涵，重新回流至安肇新河内；项目拟建人工湿地处理能力为30万m</w:t>
      </w:r>
      <w:r>
        <w:rPr>
          <w:rFonts w:hint="eastAsia" w:ascii="Times New Roman" w:hAnsi="Times New Roman" w:eastAsia="宋体" w:cs="Times New Roman"/>
          <w:caps w:val="0"/>
          <w:smallCaps w:val="0"/>
          <w:color w:val="auto"/>
          <w:spacing w:val="0"/>
          <w:w w:val="100"/>
          <w:kern w:val="0"/>
          <w:sz w:val="24"/>
          <w:szCs w:val="24"/>
          <w:highlight w:val="none"/>
          <w:vertAlign w:val="superscript"/>
          <w:lang w:val="en-US" w:eastAsia="zh-CN"/>
        </w:rPr>
        <w:t>3</w:t>
      </w:r>
      <w:r>
        <w:rPr>
          <w:rFonts w:hint="eastAsia" w:ascii="Times New Roman" w:hAnsi="Times New Roman" w:eastAsia="宋体" w:cs="Times New Roman"/>
          <w:caps w:val="0"/>
          <w:smallCaps w:val="0"/>
          <w:color w:val="auto"/>
          <w:spacing w:val="0"/>
          <w:w w:val="100"/>
          <w:kern w:val="0"/>
          <w:sz w:val="24"/>
          <w:szCs w:val="24"/>
          <w:highlight w:val="none"/>
          <w:lang w:val="en-US" w:eastAsia="zh-CN"/>
        </w:rPr>
        <w:t>/d；项目新建人工湿地不进行蓄水，处理后水重新回流至安肇新河内，经安肇新河入库里泡排口进入库里泡内。项目建设综合楼为运维人员工作区，采用生物质热水锅炉进行供暖。锅炉排污水排入潜流湿地内，最终进入安肇新河内。</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6" w:name="_Toc2136"/>
      <w:bookmarkStart w:id="7" w:name="_Toc7784"/>
      <w:r>
        <w:rPr>
          <w:rFonts w:hint="default" w:ascii="Times New Roman" w:hAnsi="Times New Roman" w:eastAsia="宋体" w:cs="Times New Roman"/>
          <w:snapToGrid/>
          <w:color w:val="auto"/>
          <w:sz w:val="32"/>
          <w:highlight w:val="none"/>
          <w:lang w:val="en-US" w:eastAsia="zh-CN" w:bidi="ar-SA"/>
        </w:rPr>
        <w:t>1.</w:t>
      </w:r>
      <w:r>
        <w:rPr>
          <w:rFonts w:hint="eastAsia" w:ascii="Times New Roman" w:hAnsi="Times New Roman" w:eastAsia="宋体" w:cs="Times New Roman"/>
          <w:snapToGrid/>
          <w:color w:val="auto"/>
          <w:sz w:val="32"/>
          <w:highlight w:val="none"/>
          <w:lang w:val="en-US" w:eastAsia="zh-CN" w:bidi="ar-SA"/>
        </w:rPr>
        <w:t>3评价过程</w:t>
      </w:r>
      <w:bookmarkEnd w:id="6"/>
      <w:bookmarkEnd w:id="7"/>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遵照《中华人民共和国环境影响评价法》（国务院令682号）、《建设项目环境保护管理条例》和《建设项目环境保护分类管理名录》（2021版）等有关环保法规、政策要求，本项目类别为“四十三、水的生产与供应业-95污水处理及再生利用-新建、扩建日处10万吨及以上城乡污水处理的；新建、扩建工业废水集中处理的”，本项目处理安肇新河排干内部分污水（处理达标的工业废水及生活污水），设计日处理能力为30万m</w:t>
      </w:r>
      <w:r>
        <w:rPr>
          <w:rFonts w:hint="default" w:ascii="Times New Roman" w:hAnsi="Times New Roman" w:eastAsia="宋体" w:cs="Times New Roman"/>
          <w:caps w:val="0"/>
          <w:smallCaps w:val="0"/>
          <w:color w:val="auto"/>
          <w:spacing w:val="0"/>
          <w:w w:val="100"/>
          <w:kern w:val="0"/>
          <w:sz w:val="24"/>
          <w:szCs w:val="24"/>
          <w:highlight w:val="none"/>
          <w:vertAlign w:val="superscript"/>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，因此本项目需编制环境影响报告书。</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我公司接受委托后成立了项目工作组，在仔细研究项目可研报告及设计方案的基础上，进行了初步工程分析，并对项目所在区域进行实地踏勘和调研，了解项目周围情况，在此基础上，完成环境影响因素识别、评价因子筛选、评价重点和主要环境保护目标确定等工作。根据工作方案，针对各环境要素的评价工作等级，调查了评价范围内的环境状况，制定了监测方案。开展详细的项目工程分析，在环境质量现状监测与评价的基础上，进行各环境要素的环境影响预测和评价，编制完成各环境要素环境影响分析与评价章节。通过工程分析、环境影响分析的结果，确定项目所采取的环保措施，对其技术、经济可行性进行论证，进一步完善环保措施，给出污染物排放清单，完成报告书的编制。</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在环评报告编制期间，建设单位按照国家相关要求积极开展了公众参与调查的相关工作。根据《环境影响评价技术导则-总纲》</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HJ2.1-2016</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等相关技术规范的要求，环境影响评价工作分为三个阶段，即调查分析和工作方案制定阶段、分析论证和预测评价阶段、环境影响报告书编制阶段。具体流程见下图所示。</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drawing>
          <wp:inline distT="0" distB="0" distL="114300" distR="114300">
            <wp:extent cx="5269230" cy="4916805"/>
            <wp:effectExtent l="0" t="0" r="3810" b="5715"/>
            <wp:docPr id="1" name="图片 1" descr="环境影响评价工作程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环境影响评价工作程序图"/>
                    <pic:cNvPicPr>
                      <a:picLocks noChangeAspect="1"/>
                    </pic:cNvPicPr>
                  </pic:nvPicPr>
                  <pic:blipFill>
                    <a:blip r:embed="rId9"/>
                    <a:stretch>
                      <a:fillRect/>
                    </a:stretch>
                  </pic:blipFill>
                  <pic:spPr>
                    <a:xfrm>
                      <a:off x="0" y="0"/>
                      <a:ext cx="5269230" cy="4916805"/>
                    </a:xfrm>
                    <a:prstGeom prst="rect">
                      <a:avLst/>
                    </a:prstGeom>
                  </pic:spPr>
                </pic:pic>
              </a:graphicData>
            </a:graphic>
          </wp:inline>
        </w:drawing>
      </w:r>
    </w:p>
    <w:p>
      <w:pPr>
        <w:pageBreakBefore w:val="0"/>
        <w:widowControl w:val="0"/>
        <w:numPr>
          <w:ilvl w:val="0"/>
          <w:numId w:val="0"/>
        </w:numPr>
        <w:bidi w:val="0"/>
        <w:adjustRightInd w:val="0"/>
        <w:snapToGrid w:val="0"/>
        <w:spacing w:line="360" w:lineRule="auto"/>
        <w:jc w:val="center"/>
        <w:rPr>
          <w:rFonts w:hint="default" w:ascii="Times New Roman" w:hAnsi="Times New Roman" w:eastAsia="宋体" w:cs="Times New Roman"/>
          <w:b/>
          <w:bCs/>
          <w:caps w:val="0"/>
          <w:smallCaps w:val="0"/>
          <w:color w:val="auto"/>
          <w:spacing w:val="0"/>
          <w:w w:val="100"/>
          <w:kern w:val="0"/>
          <w:sz w:val="21"/>
          <w:szCs w:val="21"/>
          <w:highlight w:val="none"/>
          <w:lang w:val="en-US" w:eastAsia="zh-CN"/>
        </w:rPr>
      </w:pPr>
      <w:r>
        <w:rPr>
          <w:rFonts w:hint="eastAsia" w:ascii="Times New Roman" w:hAnsi="Times New Roman" w:eastAsia="宋体" w:cs="Times New Roman"/>
          <w:b/>
          <w:bCs/>
          <w:caps w:val="0"/>
          <w:smallCaps w:val="0"/>
          <w:color w:val="auto"/>
          <w:spacing w:val="0"/>
          <w:w w:val="100"/>
          <w:kern w:val="0"/>
          <w:sz w:val="21"/>
          <w:szCs w:val="21"/>
          <w:highlight w:val="none"/>
          <w:lang w:val="en-US" w:eastAsia="zh-CN"/>
        </w:rPr>
        <w:t>图1.3-1环境影响评价工作程序图</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8" w:name="_Toc27883"/>
      <w:bookmarkStart w:id="9" w:name="_Toc21535"/>
      <w:r>
        <w:rPr>
          <w:rFonts w:hint="default" w:ascii="Times New Roman" w:hAnsi="Times New Roman" w:eastAsia="宋体" w:cs="Times New Roman"/>
          <w:snapToGrid/>
          <w:color w:val="auto"/>
          <w:sz w:val="32"/>
          <w:highlight w:val="none"/>
          <w:lang w:val="en-US" w:eastAsia="zh-CN" w:bidi="ar-SA"/>
        </w:rPr>
        <w:t>1.</w:t>
      </w:r>
      <w:r>
        <w:rPr>
          <w:rFonts w:hint="eastAsia" w:ascii="Times New Roman" w:hAnsi="Times New Roman" w:eastAsia="宋体" w:cs="Times New Roman"/>
          <w:snapToGrid/>
          <w:color w:val="auto"/>
          <w:sz w:val="32"/>
          <w:highlight w:val="none"/>
          <w:lang w:val="en-US" w:eastAsia="zh-CN" w:bidi="ar-SA"/>
        </w:rPr>
        <w:t>4相关情况分析判定</w:t>
      </w:r>
      <w:bookmarkEnd w:id="8"/>
      <w:bookmarkEnd w:id="9"/>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1.4.1</w:t>
      </w:r>
      <w:r>
        <w:rPr>
          <w:rFonts w:hint="default" w:ascii="Times New Roman" w:hAnsi="Times New Roman" w:eastAsia="宋体" w:cs="Times New Roman"/>
          <w:caps w:val="0"/>
          <w:smallCaps w:val="0"/>
          <w:color w:val="auto"/>
          <w:spacing w:val="0"/>
          <w:w w:val="100"/>
          <w:kern w:val="0"/>
          <w:sz w:val="24"/>
          <w:szCs w:val="24"/>
          <w:highlight w:val="none"/>
          <w:lang w:val="en-US" w:eastAsia="zh-CN"/>
        </w:rPr>
        <w:t>产业政策符合性分析</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排水干渠内污水治理项目，</w:t>
      </w:r>
      <w:r>
        <w:rPr>
          <w:rFonts w:hint="default" w:ascii="Times New Roman" w:hAnsi="Times New Roman" w:eastAsia="宋体" w:cs="Times New Roman"/>
          <w:caps w:val="0"/>
          <w:smallCaps w:val="0"/>
          <w:color w:val="auto"/>
          <w:spacing w:val="0"/>
          <w:w w:val="100"/>
          <w:kern w:val="0"/>
          <w:sz w:val="24"/>
          <w:szCs w:val="24"/>
          <w:highlight w:val="none"/>
          <w:lang w:val="en-US" w:eastAsia="zh-CN"/>
        </w:rPr>
        <w:t>可归属于污水处理及其再生利用工程</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对比《产业结构调整指导目录》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2021年版</w:t>
      </w:r>
      <w:r>
        <w:rPr>
          <w:rFonts w:hint="eastAsia" w:ascii="Times New Roman" w:hAnsi="Times New Roman" w:eastAsia="宋体" w:cs="Times New Roman"/>
          <w:caps w:val="0"/>
          <w:smallCaps w:val="0"/>
          <w:color w:val="auto"/>
          <w:spacing w:val="0"/>
          <w:w w:val="100"/>
          <w:kern w:val="0"/>
          <w:sz w:val="24"/>
          <w:szCs w:val="24"/>
          <w:highlight w:val="none"/>
          <w:lang w:val="en-US" w:eastAsia="zh-CN"/>
        </w:rPr>
        <w:t>），属于“第一类“鼓励类”中“四十三、环境保护与资源节约综合利用”中的“15、三废综合利用与治理技术”项目建设符合</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国家产业政策。</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1.4.2相关法规政策符合性</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（1）与《黑龙江省主体功能区规划》符合性分析</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本项目位于大庆市</w:t>
      </w:r>
      <w:r>
        <w:rPr>
          <w:rFonts w:hint="eastAsia" w:ascii="Times New Roman" w:hAnsi="Times New Roman" w:eastAsia="宋体" w:cs="Times New Roman"/>
          <w:caps w:val="0"/>
          <w:smallCaps w:val="0"/>
          <w:color w:val="auto"/>
          <w:spacing w:val="0"/>
          <w:w w:val="100"/>
          <w:kern w:val="0"/>
          <w:sz w:val="24"/>
          <w:szCs w:val="24"/>
          <w:highlight w:val="none"/>
          <w:lang w:val="en-US" w:eastAsia="zh-CN"/>
        </w:rPr>
        <w:t>大同区安肇新河入库里泡排口上游左侧岸边处，</w:t>
      </w:r>
      <w:r>
        <w:rPr>
          <w:rFonts w:hint="default" w:ascii="Times New Roman" w:hAnsi="Times New Roman" w:eastAsia="宋体" w:cs="Times New Roman"/>
          <w:caps w:val="0"/>
          <w:smallCaps w:val="0"/>
          <w:color w:val="auto"/>
          <w:spacing w:val="0"/>
          <w:w w:val="100"/>
          <w:kern w:val="0"/>
          <w:sz w:val="24"/>
          <w:szCs w:val="24"/>
          <w:highlight w:val="none"/>
          <w:lang w:val="en-US" w:eastAsia="zh-CN"/>
        </w:rPr>
        <w:t>根据《黑龙江省主体功能区规划》，</w:t>
      </w: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w:t>
      </w:r>
      <w:r>
        <w:rPr>
          <w:rFonts w:hint="default" w:ascii="Times New Roman" w:hAnsi="Times New Roman" w:eastAsia="宋体" w:cs="Times New Roman"/>
          <w:caps w:val="0"/>
          <w:smallCaps w:val="0"/>
          <w:color w:val="auto"/>
          <w:spacing w:val="0"/>
          <w:w w:val="100"/>
          <w:kern w:val="0"/>
          <w:sz w:val="24"/>
          <w:szCs w:val="24"/>
          <w:highlight w:val="none"/>
          <w:lang w:val="en-US" w:eastAsia="zh-CN"/>
        </w:rPr>
        <w:t>位于国家</w:t>
      </w:r>
      <w:r>
        <w:rPr>
          <w:rFonts w:hint="eastAsia" w:ascii="Times New Roman" w:hAnsi="Times New Roman" w:eastAsia="宋体" w:cs="Times New Roman"/>
          <w:caps w:val="0"/>
          <w:smallCaps w:val="0"/>
          <w:color w:val="auto"/>
          <w:spacing w:val="0"/>
          <w:w w:val="100"/>
          <w:kern w:val="0"/>
          <w:sz w:val="24"/>
          <w:szCs w:val="24"/>
          <w:highlight w:val="none"/>
          <w:lang w:val="en-US" w:eastAsia="zh-CN"/>
        </w:rPr>
        <w:t>重点开发区域。项目为</w:t>
      </w:r>
      <w:r>
        <w:rPr>
          <w:rFonts w:hint="default" w:ascii="Times New Roman" w:hAnsi="Times New Roman" w:eastAsia="宋体" w:cs="Times New Roman"/>
          <w:caps w:val="0"/>
          <w:smallCaps w:val="0"/>
          <w:color w:val="auto"/>
          <w:spacing w:val="0"/>
          <w:w w:val="100"/>
          <w:kern w:val="0"/>
          <w:sz w:val="24"/>
          <w:szCs w:val="24"/>
          <w:highlight w:val="none"/>
          <w:lang w:val="en-US" w:eastAsia="zh-CN"/>
        </w:rPr>
        <w:t>污水处理及其再生利用工程</w:t>
      </w: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。项目建设完成后，可改善安肇新河入库里泡排口区域地表水环境，对区域生态环境改善有积极作用，项目建设符合《黑龙江省主体功能区规划》要求。</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（2）与《黑龙江省生态功能区划》符合性分析</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根据《黑龙江省生态功能区划》，本项目所在区域位于Ⅰ-6-1-2大庆地区矿业与土壤保持生态功能区，</w:t>
      </w:r>
      <w:r>
        <w:rPr>
          <w:rFonts w:hint="eastAsia" w:ascii="Times New Roman" w:hAnsi="Times New Roman" w:eastAsia="宋体" w:cs="Times New Roman"/>
          <w:caps w:val="0"/>
          <w:smallCaps w:val="0"/>
          <w:color w:val="auto"/>
          <w:spacing w:val="0"/>
          <w:w w:val="100"/>
          <w:kern w:val="0"/>
          <w:sz w:val="24"/>
          <w:szCs w:val="24"/>
          <w:highlight w:val="none"/>
          <w:lang w:val="en-US" w:eastAsia="zh-CN"/>
        </w:rPr>
        <w:t>大同区安肇新河入库里泡排口上游河岸左侧处，占地类型为建设用地。本项目区生态功能区划见表1.4-1，与功能区关系见附图1。</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w:t>
      </w:r>
      <w:r>
        <w:rPr>
          <w:rFonts w:hint="eastAsia" w:ascii="Times New Roman" w:hAnsi="Times New Roman" w:eastAsia="宋体" w:cs="Times New Roman"/>
          <w:b/>
          <w:bCs/>
          <w:color w:val="auto"/>
          <w:kern w:val="0"/>
          <w:sz w:val="24"/>
          <w:szCs w:val="24"/>
          <w:highlight w:val="none"/>
          <w:lang w:val="en-US" w:eastAsia="zh-CN" w:bidi="ar"/>
        </w:rPr>
        <w:t>1.4-1</w:t>
      </w:r>
      <w:r>
        <w:rPr>
          <w:rFonts w:hint="default" w:ascii="Times New Roman" w:hAnsi="Times New Roman" w:eastAsia="宋体" w:cs="Times New Roman"/>
          <w:b/>
          <w:bCs/>
          <w:color w:val="auto"/>
          <w:kern w:val="0"/>
          <w:sz w:val="24"/>
          <w:szCs w:val="24"/>
          <w:highlight w:val="none"/>
          <w:lang w:val="en-US" w:eastAsia="zh-CN" w:bidi="ar"/>
        </w:rPr>
        <w:t>本项目区域生态功能区划表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75"/>
        <w:gridCol w:w="1590"/>
        <w:gridCol w:w="1724"/>
        <w:gridCol w:w="1444"/>
        <w:gridCol w:w="248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4589" w:type="dxa"/>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项目区生态功能分区单元</w:t>
            </w:r>
          </w:p>
        </w:tc>
        <w:tc>
          <w:tcPr>
            <w:tcW w:w="14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主要生态系统服务功能</w:t>
            </w:r>
          </w:p>
        </w:tc>
        <w:tc>
          <w:tcPr>
            <w:tcW w:w="24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保护措施与发展方向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Ⅰ-</w:t>
            </w:r>
            <w:r>
              <w:rPr>
                <w:rFonts w:hint="eastAsia" w:ascii="Times New Roman" w:hAnsi="Times New Roman" w:cs="Times New Roman"/>
                <w:color w:val="auto"/>
                <w:sz w:val="21"/>
                <w:szCs w:val="21"/>
                <w:highlight w:val="none"/>
                <w:vertAlign w:val="baseline"/>
                <w:lang w:val="en-US" w:eastAsia="zh-CN"/>
              </w:rPr>
              <w:t>6</w:t>
            </w:r>
            <w:r>
              <w:rPr>
                <w:rFonts w:hint="default" w:ascii="Times New Roman" w:hAnsi="Times New Roman" w:cs="Times New Roman"/>
                <w:color w:val="auto"/>
                <w:sz w:val="21"/>
                <w:szCs w:val="21"/>
                <w:highlight w:val="none"/>
                <w:vertAlign w:val="baseline"/>
                <w:lang w:val="en-US" w:eastAsia="zh-CN"/>
              </w:rPr>
              <w:t>松嫩平原西部草甸草原生态区</w:t>
            </w:r>
          </w:p>
        </w:tc>
        <w:tc>
          <w:tcPr>
            <w:tcW w:w="159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Ⅰ-</w:t>
            </w:r>
            <w:r>
              <w:rPr>
                <w:rFonts w:hint="eastAsia" w:ascii="Times New Roman" w:hAnsi="Times New Roman" w:cs="Times New Roman"/>
                <w:color w:val="auto"/>
                <w:sz w:val="21"/>
                <w:szCs w:val="21"/>
                <w:highlight w:val="none"/>
                <w:vertAlign w:val="baseline"/>
                <w:lang w:val="en-US" w:eastAsia="zh-CN"/>
              </w:rPr>
              <w:t>6</w:t>
            </w:r>
            <w:r>
              <w:rPr>
                <w:rFonts w:hint="default" w:ascii="Times New Roman" w:hAnsi="Times New Roman" w:cs="Times New Roman"/>
                <w:color w:val="auto"/>
                <w:sz w:val="21"/>
                <w:szCs w:val="21"/>
                <w:highlight w:val="none"/>
                <w:vertAlign w:val="baseline"/>
                <w:lang w:val="en-US" w:eastAsia="zh-CN"/>
              </w:rPr>
              <w:t>-</w:t>
            </w:r>
            <w:r>
              <w:rPr>
                <w:rFonts w:hint="eastAsia" w:ascii="Times New Roman" w:hAnsi="Times New Roman" w:cs="Times New Roman"/>
                <w:color w:val="auto"/>
                <w:sz w:val="21"/>
                <w:szCs w:val="21"/>
                <w:highlight w:val="none"/>
                <w:vertAlign w:val="baseline"/>
                <w:lang w:val="en-US" w:eastAsia="zh-CN"/>
              </w:rPr>
              <w:t>1</w:t>
            </w:r>
            <w:r>
              <w:rPr>
                <w:rFonts w:hint="default" w:ascii="Times New Roman" w:hAnsi="Times New Roman" w:cs="Times New Roman"/>
                <w:color w:val="auto"/>
                <w:sz w:val="21"/>
                <w:szCs w:val="21"/>
                <w:highlight w:val="none"/>
                <w:vertAlign w:val="baseline"/>
                <w:lang w:val="en-US" w:eastAsia="zh-CN"/>
              </w:rPr>
              <w:t>松嫩平原西部草甸草原与农业生态亚区</w:t>
            </w:r>
          </w:p>
        </w:tc>
        <w:tc>
          <w:tcPr>
            <w:tcW w:w="172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Ⅰ-</w:t>
            </w:r>
            <w:r>
              <w:rPr>
                <w:rFonts w:hint="eastAsia" w:ascii="Times New Roman" w:hAnsi="Times New Roman" w:cs="Times New Roman"/>
                <w:color w:val="auto"/>
                <w:sz w:val="21"/>
                <w:szCs w:val="21"/>
                <w:highlight w:val="none"/>
                <w:vertAlign w:val="baseline"/>
                <w:lang w:val="en-US" w:eastAsia="zh-CN"/>
              </w:rPr>
              <w:t>6</w:t>
            </w:r>
            <w:r>
              <w:rPr>
                <w:rFonts w:hint="default" w:ascii="Times New Roman" w:hAnsi="Times New Roman" w:cs="Times New Roman"/>
                <w:color w:val="auto"/>
                <w:sz w:val="21"/>
                <w:szCs w:val="21"/>
                <w:highlight w:val="none"/>
                <w:vertAlign w:val="baseline"/>
                <w:lang w:val="en-US" w:eastAsia="zh-CN"/>
              </w:rPr>
              <w:t>-</w:t>
            </w:r>
            <w:r>
              <w:rPr>
                <w:rFonts w:hint="eastAsia" w:ascii="Times New Roman" w:hAnsi="Times New Roman" w:cs="Times New Roman"/>
                <w:color w:val="auto"/>
                <w:sz w:val="21"/>
                <w:szCs w:val="21"/>
                <w:highlight w:val="none"/>
                <w:vertAlign w:val="baseline"/>
                <w:lang w:val="en-US" w:eastAsia="zh-CN"/>
              </w:rPr>
              <w:t>1</w:t>
            </w:r>
            <w:r>
              <w:rPr>
                <w:rFonts w:hint="default" w:ascii="Times New Roman" w:hAnsi="Times New Roman" w:cs="Times New Roman"/>
                <w:color w:val="auto"/>
                <w:sz w:val="21"/>
                <w:szCs w:val="21"/>
                <w:highlight w:val="none"/>
                <w:vertAlign w:val="baseline"/>
                <w:lang w:val="en-US" w:eastAsia="zh-CN"/>
              </w:rPr>
              <w:t>-</w:t>
            </w:r>
            <w:r>
              <w:rPr>
                <w:rFonts w:hint="eastAsia" w:ascii="Times New Roman" w:hAnsi="Times New Roman" w:cs="Times New Roman"/>
                <w:color w:val="auto"/>
                <w:sz w:val="21"/>
                <w:szCs w:val="21"/>
                <w:highlight w:val="none"/>
                <w:vertAlign w:val="baseline"/>
                <w:lang w:val="en-US" w:eastAsia="zh-CN"/>
              </w:rPr>
              <w:t>2</w:t>
            </w:r>
            <w:r>
              <w:rPr>
                <w:rFonts w:hint="default" w:ascii="Times New Roman" w:hAnsi="Times New Roman" w:cs="Times New Roman"/>
                <w:color w:val="auto"/>
                <w:sz w:val="21"/>
                <w:szCs w:val="21"/>
                <w:highlight w:val="none"/>
                <w:vertAlign w:val="baseline"/>
                <w:lang w:val="en-US" w:eastAsia="zh-CN"/>
              </w:rPr>
              <w:t>大庆地区矿业与土壤保持生态功能区</w:t>
            </w:r>
          </w:p>
        </w:tc>
        <w:tc>
          <w:tcPr>
            <w:tcW w:w="144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沙漠化控制、</w:t>
            </w:r>
            <w:r>
              <w:rPr>
                <w:rFonts w:hint="eastAsia" w:ascii="Times New Roman" w:hAnsi="Times New Roman" w:cs="Times New Roman"/>
                <w:color w:val="auto"/>
                <w:sz w:val="21"/>
                <w:szCs w:val="21"/>
                <w:highlight w:val="none"/>
                <w:vertAlign w:val="baseline"/>
                <w:lang w:val="en-US" w:eastAsia="zh-CN"/>
              </w:rPr>
              <w:t>植被保护、生物多样性保护、石油开采</w:t>
            </w:r>
          </w:p>
        </w:tc>
        <w:tc>
          <w:tcPr>
            <w:tcW w:w="24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逐步恢复草原面积，加大对漏斗区的回注，防止漏斗区继续形成，控制对水环境的影响，科学发展农牧业</w:t>
            </w:r>
          </w:p>
        </w:tc>
      </w:tr>
    </w:tbl>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本项目位于土壤沙化区。项目施工期间不设置取土场，采取外购土方式用于人工湿地填土建设。</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项目施工期间，采取一系列水土保持措施；施工场地四周设置临时围挡，减少大风天作业，拟建项目处土壤进行夯实，防止随风扬尘。土壤运行车辆加盖防尘苫布，禁止装载过满。</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施工结束后，对施工临时占地进行场地平整，恢复原有地植及绿貌，与区域地表植被环境自然衔接。项目建设符合该区域生态单元保护措施与发展方向。</w:t>
      </w:r>
    </w:p>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（3）与水土保持规划符合性分析</w:t>
      </w:r>
    </w:p>
    <w:p>
      <w:pPr>
        <w:keepNext w:val="0"/>
        <w:keepLines w:val="0"/>
        <w:widowControl/>
        <w:suppressLineNumbers w:val="0"/>
        <w:spacing w:line="360" w:lineRule="auto"/>
        <w:ind w:firstLine="480" w:firstLineChars="200"/>
        <w:jc w:val="both"/>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大庆市水土保持规划（2015~2030年）》，大庆市划定了市级重点预防区和重点治理区，重点预防区包括林甸县、肇源县和杜蒙县部分乡镇，重点治理区包括红岗区、大同区、林甸县、肇源县及杜蒙县部分乡镇，</w:t>
      </w:r>
      <w:r>
        <w:rPr>
          <w:rFonts w:hint="eastAsia" w:ascii="Times New Roman" w:hAnsi="Times New Roman" w:eastAsia="宋体" w:cs="Times New Roman"/>
          <w:caps w:val="0"/>
          <w:smallCaps w:val="0"/>
          <w:color w:val="auto"/>
          <w:spacing w:val="0"/>
          <w:w w:val="100"/>
          <w:kern w:val="0"/>
          <w:sz w:val="24"/>
          <w:szCs w:val="24"/>
          <w:highlight w:val="none"/>
          <w:lang w:val="en-US" w:eastAsia="zh-CN"/>
        </w:rPr>
        <w:t>其中大同区有八井子乡、大同镇、</w:t>
      </w:r>
      <w:r>
        <w:rPr>
          <w:rFonts w:hint="eastAsia" w:ascii="Times New Roman" w:hAnsi="Times New Roman" w:eastAsia="宋体" w:cs="Times New Roman"/>
          <w:b w:val="0"/>
          <w:bCs w:val="0"/>
          <w:caps w:val="0"/>
          <w:smallCaps w:val="0"/>
          <w:color w:val="auto"/>
          <w:spacing w:val="0"/>
          <w:w w:val="100"/>
          <w:kern w:val="0"/>
          <w:sz w:val="24"/>
          <w:szCs w:val="24"/>
          <w:highlight w:val="none"/>
          <w:lang w:val="en-US" w:eastAsia="zh-CN"/>
        </w:rPr>
        <w:t>老</w:t>
      </w:r>
      <w:r>
        <w:rPr>
          <w:rFonts w:hint="eastAsia" w:ascii="Times New Roman" w:hAnsi="Times New Roman" w:eastAsia="宋体" w:cs="Times New Roman"/>
          <w:b w:val="0"/>
          <w:bCs w:val="0"/>
          <w:color w:val="auto"/>
          <w:kern w:val="0"/>
          <w:sz w:val="24"/>
          <w:szCs w:val="24"/>
          <w:highlight w:val="none"/>
          <w:lang w:val="en-US" w:eastAsia="zh-CN" w:bidi="ar"/>
        </w:rPr>
        <w:t>山头乡、祝三乡。本项目位于大同区安肇新河入库里泡排口上游左侧岸边处，位于</w:t>
      </w:r>
      <w:r>
        <w:rPr>
          <w:rFonts w:hint="eastAsia" w:ascii="Times New Roman" w:hAnsi="Times New Roman" w:eastAsia="宋体" w:cs="Times New Roman"/>
          <w:caps w:val="0"/>
          <w:smallCaps w:val="0"/>
          <w:color w:val="auto"/>
          <w:spacing w:val="0"/>
          <w:w w:val="100"/>
          <w:kern w:val="0"/>
          <w:sz w:val="24"/>
          <w:szCs w:val="24"/>
          <w:highlight w:val="none"/>
          <w:lang w:val="en-US" w:eastAsia="zh-CN"/>
        </w:rPr>
        <w:t>大同镇</w:t>
      </w:r>
      <w:r>
        <w:rPr>
          <w:rFonts w:hint="eastAsia" w:ascii="Times New Roman" w:hAnsi="Times New Roman" w:eastAsia="宋体" w:cs="Times New Roman"/>
          <w:b w:val="0"/>
          <w:bCs w:val="0"/>
          <w:color w:val="auto"/>
          <w:kern w:val="0"/>
          <w:sz w:val="24"/>
          <w:szCs w:val="24"/>
          <w:highlight w:val="none"/>
          <w:lang w:val="en-US" w:eastAsia="zh-CN" w:bidi="ar"/>
        </w:rPr>
        <w:t>境内，项目属于水土重点</w:t>
      </w:r>
      <w:r>
        <w:rPr>
          <w:rFonts w:hint="default" w:ascii="Times New Roman" w:hAnsi="Times New Roman" w:eastAsia="宋体" w:cs="Times New Roman"/>
          <w:b w:val="0"/>
          <w:bCs w:val="0"/>
          <w:color w:val="auto"/>
          <w:kern w:val="0"/>
          <w:sz w:val="24"/>
          <w:szCs w:val="24"/>
          <w:highlight w:val="none"/>
          <w:lang w:val="en-US" w:eastAsia="zh-CN" w:bidi="ar"/>
        </w:rPr>
        <w:t>预防区</w:t>
      </w:r>
      <w:r>
        <w:rPr>
          <w:rFonts w:hint="eastAsia" w:ascii="Times New Roman" w:hAnsi="Times New Roman" w:eastAsia="宋体" w:cs="Times New Roman"/>
          <w:b w:val="0"/>
          <w:bCs w:val="0"/>
          <w:color w:val="auto"/>
          <w:kern w:val="0"/>
          <w:sz w:val="24"/>
          <w:szCs w:val="24"/>
          <w:highlight w:val="none"/>
          <w:lang w:val="en-US" w:eastAsia="zh-CN" w:bidi="ar"/>
        </w:rPr>
        <w:t>。本项目的建设与该规划的符合性分析见表1.4-2。</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表1.4-</w:t>
      </w:r>
      <w:r>
        <w:rPr>
          <w:rFonts w:hint="eastAsia" w:ascii="Times New Roman" w:hAnsi="Times New Roman" w:eastAsia="宋体"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与《大庆市水保规划（2015～2030）》符合性一览表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80"/>
        <w:gridCol w:w="3075"/>
        <w:gridCol w:w="3712"/>
        <w:gridCol w:w="95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序号</w:t>
            </w:r>
          </w:p>
        </w:tc>
        <w:tc>
          <w:tcPr>
            <w:tcW w:w="30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规划要求</w:t>
            </w:r>
          </w:p>
        </w:tc>
        <w:tc>
          <w:tcPr>
            <w:tcW w:w="3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本项目</w:t>
            </w:r>
          </w:p>
        </w:tc>
        <w:tc>
          <w:tcPr>
            <w:tcW w:w="9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p>
        </w:tc>
        <w:tc>
          <w:tcPr>
            <w:tcW w:w="30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3.3.1.4工矿区治理中要求“治理措施以植被恢复为主，采用种草、种树绿化方法，治理油田开采和砖厂取土生产等造成的地表植被破坏”。</w:t>
            </w:r>
          </w:p>
        </w:tc>
        <w:tc>
          <w:tcPr>
            <w:tcW w:w="3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项目施工结束后，对临时占地进行场地平整，植被恢复，与区域地表植被环境自然衔接。</w:t>
            </w:r>
          </w:p>
        </w:tc>
        <w:tc>
          <w:tcPr>
            <w:tcW w:w="9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w:t>
            </w:r>
          </w:p>
        </w:tc>
        <w:tc>
          <w:tcPr>
            <w:tcW w:w="30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3.3.3.3次生盐渍化防治中要求</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建立完善水利排水工程，避免工业污水浸泡农田；生产建设用地破坏植被应及时采取恢复植被措施，避免造成次生盐渍化</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w:t>
            </w:r>
          </w:p>
        </w:tc>
        <w:tc>
          <w:tcPr>
            <w:tcW w:w="3712" w:type="dxa"/>
            <w:tcBorders>
              <w:tl2br w:val="nil"/>
              <w:tr2bl w:val="nil"/>
            </w:tcBorders>
            <w:noWrap w:val="0"/>
            <w:vAlign w:val="center"/>
          </w:tcPr>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项目施工期间产生的废水主要为施工人员生活污水、含泥沙雨水及河塘内积水及底泥出水。</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生活污水排入临时移动环保旱厕内，定期清掏，外运堆肥。含泥沙雨水、河塘内积水及底泥出水经临时沉淀池沉淀后，用于施工区域抑尘。</w:t>
            </w:r>
          </w:p>
        </w:tc>
        <w:tc>
          <w:tcPr>
            <w:tcW w:w="9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8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w:t>
            </w:r>
          </w:p>
        </w:tc>
        <w:tc>
          <w:tcPr>
            <w:tcW w:w="307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4.1.2预防对象</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全市范围的各种开发建设活动</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4.2.1.2技术措施中要求</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在治理工程中，优先使用封禁等生态修复措施，保护自然植被，恢复采伐迹地植被</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w:t>
            </w:r>
          </w:p>
        </w:tc>
        <w:tc>
          <w:tcPr>
            <w:tcW w:w="371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本项目为</w:t>
            </w:r>
            <w:r>
              <w:rPr>
                <w:rFonts w:hint="default" w:ascii="Times New Roman" w:hAnsi="Times New Roman" w:eastAsia="宋体" w:cs="Times New Roman"/>
                <w:caps w:val="0"/>
                <w:smallCaps w:val="0"/>
                <w:color w:val="auto"/>
                <w:spacing w:val="0"/>
                <w:w w:val="100"/>
                <w:kern w:val="0"/>
                <w:sz w:val="21"/>
                <w:szCs w:val="21"/>
                <w:highlight w:val="none"/>
                <w:lang w:val="en-US" w:eastAsia="zh-CN"/>
              </w:rPr>
              <w:t>污水处理及其再生利用工程</w:t>
            </w:r>
            <w:r>
              <w:rPr>
                <w:rFonts w:hint="eastAsia" w:ascii="Times New Roman" w:hAnsi="Times New Roman" w:eastAsia="宋体" w:cs="Times New Roman"/>
                <w:caps w:val="0"/>
                <w:smallCaps w:val="0"/>
                <w:color w:val="auto"/>
                <w:spacing w:val="0"/>
                <w:w w:val="100"/>
                <w:kern w:val="0"/>
                <w:sz w:val="21"/>
                <w:szCs w:val="21"/>
                <w:highlight w:val="none"/>
                <w:lang w:val="en-US" w:eastAsia="zh-CN"/>
              </w:rPr>
              <w:t>，施工期间采取相应的水土防止措施，在开挖区周围设置挡水堤和排水沟、挖设集水坑等措施，阻止场外水流入施工场地。在临时堆土场周围设置截流沟，进行雨水排放，防止雨季弃土区坍塌。排水按照施工排水工程中设计方案进行。</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施工结束后，对临时占地进行场地进行平整，植被恢复。施工期间采取相应生态防止措施，随区域生态影响可被接受。</w:t>
            </w:r>
          </w:p>
        </w:tc>
        <w:tc>
          <w:tcPr>
            <w:tcW w:w="95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符合</w:t>
            </w:r>
          </w:p>
        </w:tc>
      </w:tr>
    </w:tbl>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（4）与《黑龙江省“十四五”生态环境保护规划》符合性分析</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本项目建设与《黑龙江省“十四五”生态环境保护规划》（黑政规〔2021〕18号）符合性分析见下表。</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表1.4-</w:t>
      </w:r>
      <w:r>
        <w:rPr>
          <w:rFonts w:hint="eastAsia" w:ascii="Times New Roman" w:hAnsi="Times New Roman" w:eastAsia="宋体" w:cs="Times New Roman"/>
          <w:b/>
          <w:bCs/>
          <w:color w:val="auto"/>
          <w:kern w:val="0"/>
          <w:sz w:val="24"/>
          <w:szCs w:val="24"/>
          <w:highlight w:val="none"/>
          <w:lang w:val="en-US" w:eastAsia="zh-CN" w:bidi="ar"/>
        </w:rPr>
        <w:t>3</w:t>
      </w:r>
      <w:r>
        <w:rPr>
          <w:rFonts w:hint="default" w:ascii="Times New Roman" w:hAnsi="Times New Roman" w:eastAsia="宋体" w:cs="Times New Roman"/>
          <w:b/>
          <w:bCs/>
          <w:color w:val="auto"/>
          <w:kern w:val="0"/>
          <w:sz w:val="24"/>
          <w:szCs w:val="24"/>
          <w:highlight w:val="none"/>
          <w:lang w:val="en-US" w:eastAsia="zh-CN" w:bidi="ar"/>
        </w:rPr>
        <w:t>与《黑龙江省“十四五”生态环境保护规划》符合性一览表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58"/>
        <w:gridCol w:w="3425"/>
        <w:gridCol w:w="3382"/>
        <w:gridCol w:w="95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183"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eastAsia="宋体" w:cs="Times New Roman"/>
                <w:color w:val="auto"/>
                <w:kern w:val="0"/>
                <w:sz w:val="24"/>
                <w:szCs w:val="24"/>
                <w:highlight w:val="none"/>
                <w:lang w:val="en-US" w:eastAsia="zh-CN" w:bidi="ar"/>
              </w:rPr>
              <w:t>保护规划要求</w:t>
            </w:r>
          </w:p>
        </w:tc>
        <w:tc>
          <w:tcPr>
            <w:tcW w:w="33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本项目</w:t>
            </w:r>
          </w:p>
        </w:tc>
        <w:tc>
          <w:tcPr>
            <w:tcW w:w="9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8"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主要任务</w:t>
            </w:r>
          </w:p>
        </w:tc>
        <w:tc>
          <w:tcPr>
            <w:tcW w:w="34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强化噪声污染防治。因特殊需要必须连续作业的，必须有县级以上政府或者其有关主管部门的证明，并公告附近居民。鼓励采用低噪声施工设备和工艺。依法将工业企业噪声纳入排污许可管理，严厉查处工业企业噪声排放超标扰民行为。</w:t>
            </w:r>
          </w:p>
        </w:tc>
        <w:tc>
          <w:tcPr>
            <w:tcW w:w="33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施工期间噪声源主要为施工设备；施工期间，在场界设置围挡，使用低噪设备，合理安排施工时间，定期对设备进行检修及保养，减少因设备故障产生的尖锐噪声；经现场勘查，项目厂界200m范围内无声环境保护目标。经预测，场界施工噪声满足《建筑施工场界环境噪声排放标准》（GB12523-2011）标准。</w:t>
            </w:r>
          </w:p>
        </w:tc>
        <w:tc>
          <w:tcPr>
            <w:tcW w:w="9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p>
        </w:tc>
        <w:tc>
          <w:tcPr>
            <w:tcW w:w="34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提升流域水生态环境质量。深化流域分区管理体系，实施差异化治理。确定135个国控断面水质目标，未达到水质目标要求的地区，应依法制定并实施限期达标计划。持续削减水污染物排放总量。打好松花江生态保护治理攻坚战。</w:t>
            </w:r>
          </w:p>
        </w:tc>
        <w:tc>
          <w:tcPr>
            <w:tcW w:w="33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为污水处理及其再生利用工程；位于大同区安肇新河入库里泡排口上游左侧岸边处，项目建设完成后，可改善安肇新河入库里泡排口区域地表水环境，可间接改善古恰闸口汇入松花江水体的质量，缓解肇源松花江国控断面水质情况。</w:t>
            </w:r>
          </w:p>
        </w:tc>
        <w:tc>
          <w:tcPr>
            <w:tcW w:w="9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34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加强水生态保护修复。在劣V类水体、农业面源污染较重水体和水质达不到规划目标的河湖周边，严格落实河湖岸线边界，划定生态缓冲带，强化岸线用途管制。加强河湖缓冲带管理，对重要生态空间内不符合保护要求的人类活动进行整治。推进自然湿地修复和综合整治。</w:t>
            </w:r>
          </w:p>
        </w:tc>
        <w:tc>
          <w:tcPr>
            <w:tcW w:w="33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为污水处理及其再生利用工程，将安肇新河部分河水引至拟建人工湿地处，进行治理；经净化的水体通过退水暗涵回流至安肇新河内，通过安肇新河入库里泡排口进行库里泡内。库里泡出水常年为地表水劣Ⅴ类。项目建设运行，可拦截、</w:t>
            </w:r>
            <w:r>
              <w:rPr>
                <w:rFonts w:hint="eastAsia" w:ascii="Times New Roman" w:hAnsi="Times New Roman" w:eastAsia="宋体" w:cs="Times New Roman"/>
                <w:caps w:val="0"/>
                <w:smallCaps w:val="0"/>
                <w:color w:val="auto"/>
                <w:spacing w:val="0"/>
                <w:w w:val="100"/>
                <w:kern w:val="0"/>
                <w:sz w:val="21"/>
                <w:szCs w:val="21"/>
                <w:highlight w:val="none"/>
                <w:lang w:val="en-US" w:eastAsia="zh-CN"/>
              </w:rPr>
              <w:t>降低进入</w:t>
            </w:r>
            <w:r>
              <w:rPr>
                <w:rFonts w:hint="default" w:ascii="Times New Roman" w:hAnsi="Times New Roman" w:eastAsia="宋体" w:cs="Times New Roman"/>
                <w:caps w:val="0"/>
                <w:smallCaps w:val="0"/>
                <w:color w:val="auto"/>
                <w:spacing w:val="0"/>
                <w:w w:val="100"/>
                <w:kern w:val="0"/>
                <w:sz w:val="21"/>
                <w:szCs w:val="21"/>
                <w:highlight w:val="none"/>
                <w:lang w:val="en-US" w:eastAsia="zh-CN"/>
              </w:rPr>
              <w:t>库里泡的污染物</w:t>
            </w: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r>
              <w:rPr>
                <w:rFonts w:hint="eastAsia" w:ascii="Times New Roman" w:hAnsi="Times New Roman" w:cs="Times New Roman"/>
                <w:color w:val="auto"/>
                <w:sz w:val="21"/>
                <w:szCs w:val="21"/>
                <w:highlight w:val="none"/>
                <w:vertAlign w:val="baseline"/>
                <w:lang w:val="en-US" w:eastAsia="zh-CN"/>
              </w:rPr>
              <w:t>改善库里泡地表水水体质量。</w:t>
            </w:r>
          </w:p>
        </w:tc>
        <w:tc>
          <w:tcPr>
            <w:tcW w:w="9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8"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4"/>
                <w:szCs w:val="24"/>
                <w:highlight w:val="none"/>
                <w:vertAlign w:val="baseline"/>
                <w:lang w:val="en-US" w:eastAsia="zh-CN"/>
              </w:rPr>
            </w:pPr>
          </w:p>
        </w:tc>
        <w:tc>
          <w:tcPr>
            <w:tcW w:w="34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重点解决古恰泄洪闸口断面水质劣Ⅴ类问题。推进城镇生活污水处理厂提标升级改造，消除生活污水直排。全面推进农村生活污水治理。完善工业治理设施，兴化等园区按要求改造。实施湖泡联通工程，配套建设闸涵水利工程。建设安肇新河沿岸绿化生态缓冲带和库里泡稳定塘，加强支流综合生态整治。在燕都湖和明湖恢复水生态。</w:t>
            </w:r>
          </w:p>
        </w:tc>
        <w:tc>
          <w:tcPr>
            <w:tcW w:w="3382"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库里泡出水，经安肇新河下游通过古恰闸口，流入松花江。项目建设完成后，可有效降低排入库里泡污染物的量。可间接改善古恰闸口汇入松花江水体的质量及肇源松花江国控断面水质状况。</w:t>
            </w:r>
          </w:p>
        </w:tc>
        <w:tc>
          <w:tcPr>
            <w:tcW w:w="95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bl>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（5）与《大庆市人民政府关于印发大庆市“十四五”生态环境保护规划的通知》（庆政规〔2022〕7号）符合性分析</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cs="Times New Roman"/>
          <w:color w:val="auto"/>
          <w:kern w:val="0"/>
          <w:sz w:val="28"/>
          <w:szCs w:val="28"/>
          <w:highlight w:val="none"/>
          <w:lang w:val="en-US" w:eastAsia="zh-CN" w:bidi="ar"/>
        </w:rPr>
        <w:t>表</w:t>
      </w:r>
      <w:r>
        <w:rPr>
          <w:rFonts w:hint="eastAsia" w:ascii="Times New Roman" w:hAnsi="Times New Roman" w:cs="Times New Roman"/>
          <w:b/>
          <w:bCs/>
          <w:color w:val="auto"/>
          <w:kern w:val="0"/>
          <w:sz w:val="24"/>
          <w:szCs w:val="24"/>
          <w:highlight w:val="none"/>
          <w:lang w:val="en-US" w:eastAsia="zh-CN" w:bidi="ar"/>
        </w:rPr>
        <w:t>1.4-4与大庆市“十四五”生态环境保护规划符合性分析</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04"/>
        <w:gridCol w:w="3209"/>
        <w:gridCol w:w="3511"/>
        <w:gridCol w:w="99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4013"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规划要求</w:t>
            </w:r>
          </w:p>
        </w:tc>
        <w:tc>
          <w:tcPr>
            <w:tcW w:w="35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本项目</w:t>
            </w:r>
          </w:p>
        </w:tc>
        <w:tc>
          <w:tcPr>
            <w:tcW w:w="9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46" w:hRule="atLeast"/>
        </w:trPr>
        <w:tc>
          <w:tcPr>
            <w:tcW w:w="804"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主要任务</w:t>
            </w:r>
          </w:p>
        </w:tc>
        <w:tc>
          <w:tcPr>
            <w:tcW w:w="32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强化噪声污染防治。在制定国土空间规划及交通运输等相关规划时，合理划定防噪声距离，明确规划设计要求。因特殊需要必须连续作业的，必须按照法律规定取得证明，并公告附近居民。鼓励采用低噪声施工设备和工艺。</w:t>
            </w:r>
          </w:p>
        </w:tc>
        <w:tc>
          <w:tcPr>
            <w:tcW w:w="35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施工期间噪声源主要为施工设备；施工期间，在场界设置围挡，使用低噪设备，合理安排施工时间，定期对设备进行检修及保养，减少因设备故障产生的尖锐噪声；经现场勘查，项目厂界200m范围内无声环境保护目标。经预测，场界施工噪声满足《建筑施工场界环境噪声排放标准》（GB12523-2011）标准。</w:t>
            </w:r>
          </w:p>
        </w:tc>
        <w:tc>
          <w:tcPr>
            <w:tcW w:w="9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0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32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精准发力提升水环境质量。按照“一点两线、三水统筹”的总体思路，坚持和完善碧水保卫战经验，以改善水环境质量为中心，污染减排与生态扩容两手发力，统筹水资源利用、水生态保护和水环境治理，协调推进地下水与地表水、岸上与水里保护与治理，不断满足人民对美丽河湖的向往，力争实现“有河有水、有鱼有草、人水和谐”，实现美丽大庆的“十四五”目标。</w:t>
            </w:r>
          </w:p>
        </w:tc>
        <w:tc>
          <w:tcPr>
            <w:tcW w:w="35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为污水处理及其再生利用工程；位于大同区安肇新河入库里泡排口上游左侧岸边；项目建设，项目建设完成后，可有效降低排入库里泡污染物的量。可间接改善古恰闸口汇入松花江水体的质量，缓解肇源松花江国控断面水质情况。为构建和生态和谐社会提供有力保障。</w:t>
            </w:r>
          </w:p>
        </w:tc>
        <w:tc>
          <w:tcPr>
            <w:tcW w:w="9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0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32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流域水生态环境治理与保护。重点谋划古恰闸口和白沙滩断面汇水区域内项目。明确6大国控断面汇水区域内污染源排放强度，计算水环境容量，明确污染物削减量和环境改善目标可达性之间关系。建立污染控制机制，对内污染控制方面，建立实施县区跨界断面水体达标制度，通过设置县区跨界断面，考核县区跨界水质，进一步压实落靠县区政府水污染防治工作职责。控制跨界污染方面，开展跨地市排污权重测算，进一步分清上下游地市污染责任，并探索提出上下游生态补偿机制，强化流域污染治理合力。</w:t>
            </w:r>
          </w:p>
        </w:tc>
        <w:tc>
          <w:tcPr>
            <w:tcW w:w="35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位于同区安肇新河入库里泡排口左侧岸边处；将安肇新河部分河水引流至拟建人工湿地处，进行治理；经净化的水体通过退水暗涵回流至安肇新河内，通过安肇新河入库里泡排口进行库里泡内。库里泡出水常年为地表水劣Ⅴ类。项目建设运行，可减少排入库里泡污染物的量，改善库里泡水体质量。可间接改善古恰闸口汇入松花江水体的质量及肇源松花江国控断面水质情况。</w:t>
            </w:r>
          </w:p>
        </w:tc>
        <w:tc>
          <w:tcPr>
            <w:tcW w:w="9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04"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32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基本消除城市黑臭水体。持续打好城市黑臭水体治理攻坚战。充分发挥河湖长制作用，巩固城市黑臭水体治理成效，建立防止返黑返臭的长效机制。完成建成区内黑臭水体排查，并制定城市黑臭水体治理方案，统一公布黑臭水体清单、河湖长名单及达标期限。到2025年，城市建成区基本消除黑臭水体。</w:t>
            </w:r>
          </w:p>
        </w:tc>
        <w:tc>
          <w:tcPr>
            <w:tcW w:w="3511"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项目为</w:t>
            </w:r>
            <w:r>
              <w:rPr>
                <w:rFonts w:hint="default" w:ascii="Times New Roman" w:hAnsi="Times New Roman" w:eastAsia="宋体" w:cs="Times New Roman"/>
                <w:caps w:val="0"/>
                <w:smallCaps w:val="0"/>
                <w:color w:val="auto"/>
                <w:spacing w:val="0"/>
                <w:w w:val="100"/>
                <w:kern w:val="0"/>
                <w:sz w:val="21"/>
                <w:szCs w:val="21"/>
                <w:highlight w:val="none"/>
                <w:lang w:val="en-US" w:eastAsia="zh-CN"/>
              </w:rPr>
              <w:t>污水处理及其再生利用工程</w:t>
            </w:r>
            <w:r>
              <w:rPr>
                <w:rFonts w:hint="eastAsia" w:ascii="Times New Roman" w:hAnsi="Times New Roman" w:cs="Times New Roman"/>
                <w:color w:val="auto"/>
                <w:sz w:val="21"/>
                <w:szCs w:val="21"/>
                <w:highlight w:val="none"/>
                <w:vertAlign w:val="baseline"/>
                <w:lang w:val="en-US" w:eastAsia="zh-CN"/>
              </w:rPr>
              <w:t>；</w:t>
            </w:r>
            <w:r>
              <w:rPr>
                <w:rFonts w:hint="eastAsia" w:ascii="Times New Roman" w:hAnsi="Times New Roman" w:cs="Times New Roman"/>
                <w:color w:val="auto"/>
                <w:sz w:val="21"/>
                <w:szCs w:val="21"/>
                <w:highlight w:val="none"/>
              </w:rPr>
              <w:t>安肇新河河水主要接纳处理后的工业废水及生活污水，</w:t>
            </w:r>
            <w:r>
              <w:rPr>
                <w:rFonts w:hint="eastAsia" w:ascii="Times New Roman" w:hAnsi="Times New Roman" w:cs="Times New Roman"/>
                <w:color w:val="auto"/>
                <w:sz w:val="21"/>
                <w:szCs w:val="21"/>
                <w:highlight w:val="none"/>
                <w:vertAlign w:val="baseline"/>
                <w:lang w:val="en-US" w:eastAsia="zh-CN"/>
              </w:rPr>
              <w:t>常年为劣Ⅴ类地表水体。</w:t>
            </w:r>
            <w:r>
              <w:rPr>
                <w:rFonts w:hint="eastAsia" w:ascii="Times New Roman" w:hAnsi="Times New Roman" w:cs="Times New Roman"/>
                <w:color w:val="auto"/>
                <w:sz w:val="21"/>
                <w:szCs w:val="21"/>
                <w:highlight w:val="none"/>
              </w:rPr>
              <w:t>项目建设，有利于改善库里泡区域地表水水体环境及水体质量。</w:t>
            </w:r>
          </w:p>
        </w:tc>
        <w:tc>
          <w:tcPr>
            <w:tcW w:w="99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bl>
    <w:p>
      <w:pPr>
        <w:rPr>
          <w:rFonts w:hint="default"/>
          <w:color w:val="auto"/>
          <w:highlight w:val="none"/>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（7）与“水十条”符合性判定</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水污染防治行动计划》（国发〔2015〕17号）、《黑龙江省水污染防治实施方案》（黑政发〔2016〕3号））及《大庆市加强水污染防治工作实施方案》（庆政办发〔2015〕55号），本项目与“水十条”相关要求符合性分析见下表。</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表1.4-</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与“水十条”相关要求符合性一览表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60"/>
        <w:gridCol w:w="456"/>
        <w:gridCol w:w="3967"/>
        <w:gridCol w:w="2537"/>
        <w:gridCol w:w="109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序</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号</w:t>
            </w:r>
          </w:p>
        </w:tc>
        <w:tc>
          <w:tcPr>
            <w:tcW w:w="4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类别</w:t>
            </w:r>
          </w:p>
        </w:tc>
        <w:tc>
          <w:tcPr>
            <w:tcW w:w="39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水十条</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的要求</w:t>
            </w:r>
          </w:p>
        </w:tc>
        <w:tc>
          <w:tcPr>
            <w:tcW w:w="25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本项目符合性</w:t>
            </w:r>
          </w:p>
        </w:tc>
        <w:tc>
          <w:tcPr>
            <w:tcW w:w="10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p>
        </w:tc>
        <w:tc>
          <w:tcPr>
            <w:tcW w:w="4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国家</w:t>
            </w:r>
          </w:p>
        </w:tc>
        <w:tc>
          <w:tcPr>
            <w:tcW w:w="39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狠抓工业污染防治，取缔“十小”企业；</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调整产业结构，依法淘汰落后产能；</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推进循环发展，加强工业水循环利用；</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控制用水总量，实施最严格水资源管理；提高用水效率，抓好工业节水，加强城镇节水，发展农业节水科学保护水资源，完善水资源保护考核评价体系。</w:t>
            </w:r>
          </w:p>
        </w:tc>
        <w:tc>
          <w:tcPr>
            <w:tcW w:w="253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本项目不属于“十小”企业；符合国家产业政策；项目建设完成后，</w:t>
            </w:r>
            <w:r>
              <w:rPr>
                <w:rFonts w:hint="eastAsia" w:ascii="Times New Roman" w:hAnsi="Times New Roman" w:cs="Times New Roman"/>
                <w:color w:val="auto"/>
                <w:sz w:val="21"/>
                <w:szCs w:val="21"/>
                <w:highlight w:val="none"/>
                <w:vertAlign w:val="baseline"/>
                <w:lang w:val="en-US" w:eastAsia="zh-CN"/>
              </w:rPr>
              <w:t>有效提升安肇新河干渠内质量，改善水体</w:t>
            </w:r>
            <w:r>
              <w:rPr>
                <w:rFonts w:hint="default" w:ascii="Times New Roman" w:hAnsi="Times New Roman" w:cs="Times New Roman"/>
                <w:color w:val="auto"/>
                <w:sz w:val="21"/>
                <w:szCs w:val="21"/>
                <w:highlight w:val="none"/>
                <w:vertAlign w:val="baseline"/>
                <w:lang w:val="en-US" w:eastAsia="zh-CN"/>
              </w:rPr>
              <w:t>自然生态系统</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拦截、降低进入</w:t>
            </w:r>
            <w:r>
              <w:rPr>
                <w:rFonts w:hint="eastAsia" w:ascii="Times New Roman" w:hAnsi="Times New Roman" w:cs="Times New Roman"/>
                <w:color w:val="auto"/>
                <w:sz w:val="21"/>
                <w:szCs w:val="21"/>
                <w:highlight w:val="none"/>
                <w:vertAlign w:val="baseline"/>
                <w:lang w:val="en-US" w:eastAsia="zh-CN"/>
              </w:rPr>
              <w:t>库里泡</w:t>
            </w:r>
            <w:r>
              <w:rPr>
                <w:rFonts w:hint="default" w:ascii="Times New Roman" w:hAnsi="Times New Roman" w:cs="Times New Roman"/>
                <w:color w:val="auto"/>
                <w:sz w:val="21"/>
                <w:szCs w:val="21"/>
                <w:highlight w:val="none"/>
                <w:vertAlign w:val="baseline"/>
                <w:lang w:val="en-US" w:eastAsia="zh-CN"/>
              </w:rPr>
              <w:t>的污染物。</w:t>
            </w:r>
          </w:p>
        </w:tc>
        <w:tc>
          <w:tcPr>
            <w:tcW w:w="10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w:t>
            </w:r>
          </w:p>
        </w:tc>
        <w:tc>
          <w:tcPr>
            <w:tcW w:w="45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黑龙</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江省</w:t>
            </w:r>
          </w:p>
        </w:tc>
        <w:tc>
          <w:tcPr>
            <w:tcW w:w="39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全面推进落实重点流域水污染防治规划。进一步深化“以支促干”</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一河一策”及“河(段)长”制等流域治污模式，重点推进阿什河、呼兰河、安肇新河、乌裕尔河、讷谟尔河、穆棱河等流域和大庆市及周边闭流区综合治理。加大化学需氧量、氨氮、总磷及其他影响人体健康的污染物整治力度。到2018年，阿什河消除劣V类水体；安肇新河、肇兰新河严重污染程度有所降低；到2020年，松花江、嫩江、牡丹江干流国控断面水质稳定维持III类，松花江流域水质在轻度污染基础上进一步改善。黑龙江、乌苏里江、绥芬河等跨界水体保持稳定。</w:t>
            </w:r>
          </w:p>
        </w:tc>
        <w:tc>
          <w:tcPr>
            <w:tcW w:w="253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项目为安肇新河部分污水治理项目，将部分污水引流至拟建人工湿地处，进行治理；经净化的水体通过退水暗涵回流至安肇新河内，通过安肇新河入库里泡排口进行库里泡内。库里泡出水常年为地表水劣Ⅴ类。项目建设运行，可减少排入库里泡污染物的量，改善库里泡水体质量。可间接改善古恰闸口汇入松花江水体的质量及肇源松花江国控断面水质情况。</w:t>
            </w:r>
          </w:p>
        </w:tc>
        <w:tc>
          <w:tcPr>
            <w:tcW w:w="10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4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w:t>
            </w:r>
          </w:p>
        </w:tc>
        <w:tc>
          <w:tcPr>
            <w:tcW w:w="456" w:type="dxa"/>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大庆市</w:t>
            </w:r>
          </w:p>
        </w:tc>
        <w:tc>
          <w:tcPr>
            <w:tcW w:w="39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各级政府要重点支持污水处理、污泥处理处置、河道与湖泊整治、饮用水水源保护、畜禽养殖污染防治、水生态修复、应急清污等项目和工作。对环境监管能力建设及运行费用分级予以必要保障。</w:t>
            </w:r>
          </w:p>
        </w:tc>
        <w:tc>
          <w:tcPr>
            <w:tcW w:w="253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项目为</w:t>
            </w:r>
            <w:r>
              <w:rPr>
                <w:rFonts w:hint="default" w:ascii="Times New Roman" w:hAnsi="Times New Roman" w:eastAsia="宋体" w:cs="Times New Roman"/>
                <w:caps w:val="0"/>
                <w:smallCaps w:val="0"/>
                <w:color w:val="auto"/>
                <w:spacing w:val="0"/>
                <w:w w:val="100"/>
                <w:kern w:val="0"/>
                <w:sz w:val="21"/>
                <w:szCs w:val="21"/>
                <w:highlight w:val="none"/>
                <w:lang w:val="en-US" w:eastAsia="zh-CN"/>
              </w:rPr>
              <w:t>污水处理及其再生利用工程</w:t>
            </w:r>
            <w:r>
              <w:rPr>
                <w:rFonts w:hint="eastAsia" w:ascii="Times New Roman" w:hAnsi="Times New Roman" w:cs="Times New Roman"/>
                <w:color w:val="auto"/>
                <w:sz w:val="21"/>
                <w:szCs w:val="21"/>
                <w:highlight w:val="none"/>
                <w:vertAlign w:val="baseline"/>
                <w:lang w:val="en-US" w:eastAsia="zh-CN"/>
              </w:rPr>
              <w:t>，项目建设，有效的改善安肇新河入库里泡排口区域及库里泡地表水体质量。改善区域水生生态环境。</w:t>
            </w:r>
          </w:p>
        </w:tc>
        <w:tc>
          <w:tcPr>
            <w:tcW w:w="10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3" w:hRule="atLeast"/>
        </w:trPr>
        <w:tc>
          <w:tcPr>
            <w:tcW w:w="46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456" w:type="dxa"/>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396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重点突出“两湖一河”（龙凤湿地、万宝湖、安肇新河）整治，编制龙凤湿地、万宝湖、安肇新河流域整治规划方案并确定技术合理、经济可行的治理、修复、整治项目适时实施，到2020年，安肇新河流域大庆辖区内污染物排放得到进一步削减，使安肇新河末端古恰闸口水质得到一定程度改善；2030年，安肇新河末端古恰闸口水质在2015年基础上得到根本改善。</w:t>
            </w:r>
          </w:p>
        </w:tc>
        <w:tc>
          <w:tcPr>
            <w:tcW w:w="2537"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采取“生态稳定塘—生态砾石床—表流湿地—潜流湿地—半自然湿地”的复合工艺对安肇新河部分水体进行净化。项目建设完成后，可有效降低排入库里泡污染物的量。可间接改善古恰闸口汇入松花江水体的质量及肇源松花江国控断面水质情况。</w:t>
            </w:r>
          </w:p>
        </w:tc>
        <w:tc>
          <w:tcPr>
            <w:tcW w:w="1096"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bl>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1.4.2“</w:t>
      </w:r>
      <w:r>
        <w:rPr>
          <w:rFonts w:hint="default" w:ascii="Times New Roman" w:hAnsi="Times New Roman" w:eastAsia="宋体" w:cs="Times New Roman"/>
          <w:caps w:val="0"/>
          <w:smallCaps w:val="0"/>
          <w:color w:val="auto"/>
          <w:spacing w:val="0"/>
          <w:w w:val="100"/>
          <w:kern w:val="0"/>
          <w:sz w:val="24"/>
          <w:szCs w:val="24"/>
          <w:highlight w:val="none"/>
          <w:lang w:val="en-US" w:eastAsia="zh-CN"/>
        </w:rPr>
        <w:t>三线一单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规划符合性分析</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根据《黑龙江省人民政府关于实施</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三线一单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生态环境分区管控的意见》（黑政发﹝2020﹞14号）及《大庆市人民政府关于实施“三线一单”生态环境分区管控的意见》（庆政规﹝2021﹞3号），本项目</w:t>
      </w:r>
      <w:r>
        <w:rPr>
          <w:rFonts w:hint="eastAsia" w:ascii="Times New Roman" w:hAnsi="Times New Roman" w:eastAsia="宋体" w:cs="Times New Roman"/>
          <w:caps w:val="0"/>
          <w:smallCaps w:val="0"/>
          <w:color w:val="auto"/>
          <w:spacing w:val="0"/>
          <w:w w:val="100"/>
          <w:kern w:val="0"/>
          <w:sz w:val="24"/>
          <w:szCs w:val="24"/>
          <w:highlight w:val="none"/>
          <w:lang w:val="en-US" w:eastAsia="zh-CN"/>
        </w:rPr>
        <w:t>位于大同区一般生态空间区。</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（1）生态保护红线</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黑龙江省生态保护红线划定实施方案》，生态保护红线主要包括：水源涵养功能区、水土保持功能区、防风固沙功能区、生物多样性维护区、重要生态敏感区、重要生态脆弱区、关键生态系统保护区、重点森林保护区、重点湿地保护区、重点草原保护区、国土安全保护区、重点水域保护区。</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本项目位于黑龙江省大庆市大同区安肇新河入库里泡排口</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上游</w:t>
      </w:r>
      <w:r>
        <w:rPr>
          <w:rFonts w:hint="default" w:ascii="Times New Roman" w:hAnsi="Times New Roman" w:eastAsia="宋体" w:cs="Times New Roman"/>
          <w:caps w:val="0"/>
          <w:smallCaps w:val="0"/>
          <w:color w:val="auto"/>
          <w:spacing w:val="0"/>
          <w:w w:val="100"/>
          <w:kern w:val="0"/>
          <w:sz w:val="24"/>
          <w:szCs w:val="24"/>
          <w:highlight w:val="none"/>
          <w:lang w:val="en-US" w:eastAsia="zh-CN"/>
        </w:rPr>
        <w:t>左侧岸边处</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位于一般管控单元内，不在生态保护红线内。因此，项目建设符合生态红线要求。</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（2）环境质量底线</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本项目所在区域为环境空气二类区，声环境2类功能区。</w:t>
      </w: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项目占地类型为工业占地。</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本项目位于大庆市</w:t>
      </w:r>
      <w:r>
        <w:rPr>
          <w:rFonts w:hint="eastAsia" w:ascii="Times New Roman" w:hAnsi="Times New Roman" w:eastAsia="宋体" w:cs="Times New Roman"/>
          <w:caps w:val="0"/>
          <w:smallCaps w:val="0"/>
          <w:color w:val="auto"/>
          <w:spacing w:val="0"/>
          <w:w w:val="100"/>
          <w:kern w:val="0"/>
          <w:sz w:val="24"/>
          <w:szCs w:val="24"/>
          <w:highlight w:val="none"/>
          <w:lang w:val="en-US" w:eastAsia="zh-CN"/>
        </w:rPr>
        <w:t>大同区大同镇境内，</w:t>
      </w:r>
      <w:r>
        <w:rPr>
          <w:rFonts w:hint="default" w:ascii="Times New Roman" w:hAnsi="Times New Roman" w:eastAsia="宋体" w:cs="Times New Roman"/>
          <w:caps w:val="0"/>
          <w:smallCaps w:val="0"/>
          <w:color w:val="auto"/>
          <w:spacing w:val="0"/>
          <w:w w:val="100"/>
          <w:kern w:val="0"/>
          <w:sz w:val="24"/>
          <w:szCs w:val="24"/>
          <w:highlight w:val="none"/>
          <w:lang w:val="en-US" w:eastAsia="zh-CN"/>
        </w:rPr>
        <w:t>根据《2021年大庆市生态环境状况公报》，项目所在区域环境空气污染物基本项目浓度满足《环境空气质量标准》（GB3095-2012）及其修改单中二级标准要求。</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根据本次对区域环境质量的现状监测，区域地下水满足《地下水质量标准》（GB/T14848-2017）Ⅲ类标准；拟建项目占地</w:t>
      </w:r>
      <w:r>
        <w:rPr>
          <w:rFonts w:hint="eastAsia" w:ascii="Times New Roman" w:hAnsi="Times New Roman" w:eastAsia="宋体" w:cs="Times New Roman"/>
          <w:caps w:val="0"/>
          <w:smallCaps w:val="0"/>
          <w:color w:val="auto"/>
          <w:spacing w:val="0"/>
          <w:w w:val="100"/>
          <w:kern w:val="0"/>
          <w:sz w:val="24"/>
          <w:szCs w:val="24"/>
          <w:highlight w:val="none"/>
          <w:lang w:val="en-US" w:eastAsia="zh-CN"/>
        </w:rPr>
        <w:t>内及占地外</w:t>
      </w:r>
      <w:r>
        <w:rPr>
          <w:rFonts w:hint="default" w:ascii="Times New Roman" w:hAnsi="Times New Roman" w:eastAsia="宋体" w:cs="Times New Roman"/>
          <w:caps w:val="0"/>
          <w:smallCaps w:val="0"/>
          <w:color w:val="auto"/>
          <w:spacing w:val="0"/>
          <w:w w:val="100"/>
          <w:kern w:val="0"/>
          <w:sz w:val="24"/>
          <w:szCs w:val="24"/>
          <w:highlight w:val="none"/>
          <w:lang w:val="en-US" w:eastAsia="zh-CN"/>
        </w:rPr>
        <w:t>土壤现状</w:t>
      </w:r>
      <w:r>
        <w:rPr>
          <w:rFonts w:hint="eastAsia" w:ascii="Times New Roman" w:hAnsi="Times New Roman" w:eastAsia="宋体" w:cs="Times New Roman"/>
          <w:caps w:val="0"/>
          <w:smallCaps w:val="0"/>
          <w:color w:val="auto"/>
          <w:spacing w:val="0"/>
          <w:w w:val="100"/>
          <w:kern w:val="0"/>
          <w:sz w:val="24"/>
          <w:szCs w:val="24"/>
          <w:highlight w:val="none"/>
          <w:lang w:val="en-US" w:eastAsia="zh-CN"/>
        </w:rPr>
        <w:t>均</w:t>
      </w:r>
      <w:r>
        <w:rPr>
          <w:rFonts w:hint="default" w:ascii="Times New Roman" w:hAnsi="Times New Roman" w:eastAsia="宋体" w:cs="Times New Roman"/>
          <w:caps w:val="0"/>
          <w:smallCaps w:val="0"/>
          <w:color w:val="auto"/>
          <w:spacing w:val="0"/>
          <w:w w:val="100"/>
          <w:kern w:val="0"/>
          <w:sz w:val="24"/>
          <w:szCs w:val="24"/>
          <w:highlight w:val="none"/>
          <w:lang w:val="en-US" w:eastAsia="zh-CN"/>
        </w:rPr>
        <w:t>满足《土壤环境质量建设用地土壤污染风险管控标准（试行）》（GB36600-2018）表1建设用地土壤污染风险筛选值。</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项目所在区域环境空气、地下水及土壤环境质量良好，均满足相应环境质量标准。</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）资源利用上线</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本项目运行过程中所使用的资源主要为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水资源、</w:t>
      </w:r>
      <w:r>
        <w:rPr>
          <w:rFonts w:hint="default" w:ascii="Times New Roman" w:hAnsi="Times New Roman" w:eastAsia="宋体" w:cs="Times New Roman"/>
          <w:caps w:val="0"/>
          <w:smallCaps w:val="0"/>
          <w:color w:val="auto"/>
          <w:spacing w:val="0"/>
          <w:w w:val="100"/>
          <w:kern w:val="0"/>
          <w:sz w:val="24"/>
          <w:szCs w:val="24"/>
          <w:highlight w:val="none"/>
          <w:lang w:val="en-US" w:eastAsia="zh-CN"/>
        </w:rPr>
        <w:t>电</w:t>
      </w:r>
      <w:r>
        <w:rPr>
          <w:rFonts w:hint="eastAsia" w:ascii="Times New Roman" w:hAnsi="Times New Roman" w:eastAsia="宋体" w:cs="Times New Roman"/>
          <w:caps w:val="0"/>
          <w:smallCaps w:val="0"/>
          <w:color w:val="auto"/>
          <w:spacing w:val="0"/>
          <w:w w:val="100"/>
          <w:kern w:val="0"/>
          <w:sz w:val="24"/>
          <w:szCs w:val="24"/>
          <w:highlight w:val="none"/>
          <w:lang w:val="en-US" w:eastAsia="zh-CN"/>
        </w:rPr>
        <w:t>资源</w:t>
      </w:r>
      <w:r>
        <w:rPr>
          <w:rFonts w:hint="default" w:ascii="Times New Roman" w:hAnsi="Times New Roman" w:eastAsia="宋体" w:cs="Times New Roman"/>
          <w:caps w:val="0"/>
          <w:smallCaps w:val="0"/>
          <w:color w:val="auto"/>
          <w:spacing w:val="0"/>
          <w:w w:val="100"/>
          <w:kern w:val="0"/>
          <w:sz w:val="24"/>
          <w:szCs w:val="24"/>
          <w:highlight w:val="none"/>
          <w:lang w:val="en-US" w:eastAsia="zh-CN"/>
        </w:rPr>
        <w:t>及土地</w:t>
      </w:r>
      <w:r>
        <w:rPr>
          <w:rFonts w:hint="eastAsia" w:ascii="Times New Roman" w:hAnsi="Times New Roman" w:eastAsia="宋体" w:cs="Times New Roman"/>
          <w:caps w:val="0"/>
          <w:smallCaps w:val="0"/>
          <w:color w:val="auto"/>
          <w:spacing w:val="0"/>
          <w:w w:val="100"/>
          <w:kern w:val="0"/>
          <w:sz w:val="24"/>
          <w:szCs w:val="24"/>
          <w:highlight w:val="none"/>
          <w:lang w:val="en-US" w:eastAsia="zh-CN"/>
        </w:rPr>
        <w:t>资源</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运行期间用电量较小，用电来源于国家电网。项目运行期间用水主要为生活用水，来源于自建水井，供水能力为60m3/h，项目年用水量为318m3，则平均每小时用水量为0.036m3，用水量较小，对区域水资源负荷较小。</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项目占地类型为工业占地，总占地面积1360亩，项目属于改善区域水环境工程，对土地占用可被接受。</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）生态环境准入清单</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本项目位于</w:t>
      </w:r>
      <w:r>
        <w:rPr>
          <w:rFonts w:hint="eastAsia" w:ascii="Times New Roman" w:hAnsi="Times New Roman" w:eastAsia="宋体" w:cs="Times New Roman"/>
          <w:caps w:val="0"/>
          <w:smallCaps w:val="0"/>
          <w:color w:val="auto"/>
          <w:spacing w:val="0"/>
          <w:w w:val="100"/>
          <w:kern w:val="0"/>
          <w:sz w:val="24"/>
          <w:szCs w:val="24"/>
          <w:highlight w:val="none"/>
          <w:lang w:val="en-US" w:eastAsia="zh-CN"/>
        </w:rPr>
        <w:t>大同区</w:t>
      </w:r>
      <w:r>
        <w:rPr>
          <w:rFonts w:hint="default" w:ascii="Times New Roman" w:hAnsi="Times New Roman" w:eastAsia="宋体" w:cs="Times New Roman"/>
          <w:caps w:val="0"/>
          <w:smallCaps w:val="0"/>
          <w:color w:val="auto"/>
          <w:spacing w:val="0"/>
          <w:w w:val="100"/>
          <w:kern w:val="0"/>
          <w:sz w:val="24"/>
          <w:szCs w:val="24"/>
          <w:highlight w:val="none"/>
          <w:lang w:val="en-US" w:eastAsia="zh-CN"/>
        </w:rPr>
        <w:t>安肇新河入库里泡排口</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上游</w:t>
      </w:r>
      <w:r>
        <w:rPr>
          <w:rFonts w:hint="default" w:ascii="Times New Roman" w:hAnsi="Times New Roman" w:eastAsia="宋体" w:cs="Times New Roman"/>
          <w:caps w:val="0"/>
          <w:smallCaps w:val="0"/>
          <w:color w:val="auto"/>
          <w:spacing w:val="0"/>
          <w:w w:val="100"/>
          <w:kern w:val="0"/>
          <w:sz w:val="24"/>
          <w:szCs w:val="24"/>
          <w:highlight w:val="none"/>
          <w:lang w:val="en-US" w:eastAsia="zh-CN"/>
        </w:rPr>
        <w:t>左侧岸边处</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对照大庆市大同区生态环境准入清单</w:t>
      </w:r>
      <w:r>
        <w:rPr>
          <w:rFonts w:hint="eastAsia" w:ascii="Times New Roman" w:hAnsi="Times New Roman" w:eastAsia="宋体" w:cs="Times New Roman"/>
          <w:caps w:val="0"/>
          <w:smallCaps w:val="0"/>
          <w:color w:val="auto"/>
          <w:spacing w:val="0"/>
          <w:w w:val="100"/>
          <w:kern w:val="0"/>
          <w:sz w:val="24"/>
          <w:szCs w:val="24"/>
          <w:highlight w:val="none"/>
          <w:lang w:val="en-US" w:eastAsia="zh-CN"/>
        </w:rPr>
        <w:t>要求，管控符合性分析见下表。</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表1.</w:t>
      </w:r>
      <w:r>
        <w:rPr>
          <w:rFonts w:hint="eastAsia" w:ascii="Times New Roman" w:hAnsi="Times New Roman" w:eastAsia="宋体" w:cs="Times New Roman"/>
          <w:b/>
          <w:bCs/>
          <w:color w:val="auto"/>
          <w:kern w:val="0"/>
          <w:sz w:val="24"/>
          <w:szCs w:val="24"/>
          <w:highlight w:val="none"/>
          <w:lang w:val="en-US" w:eastAsia="zh-CN" w:bidi="ar"/>
        </w:rPr>
        <w:t>4-6与大同区生态环境准入清单符合性一览表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61"/>
        <w:gridCol w:w="923"/>
        <w:gridCol w:w="3277"/>
        <w:gridCol w:w="2427"/>
        <w:gridCol w:w="82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管控单元</w:t>
            </w:r>
          </w:p>
        </w:tc>
        <w:tc>
          <w:tcPr>
            <w:tcW w:w="420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管控要求</w:t>
            </w:r>
          </w:p>
        </w:tc>
        <w:tc>
          <w:tcPr>
            <w:tcW w:w="24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本项目</w:t>
            </w:r>
          </w:p>
        </w:tc>
        <w:tc>
          <w:tcPr>
            <w:tcW w:w="82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大同区一般生态空间区（ZH23060610002）</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空间布局约束</w:t>
            </w:r>
          </w:p>
        </w:tc>
        <w:tc>
          <w:tcPr>
            <w:tcW w:w="327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1.区域执行本清单全市准入要求中“3.1总体要求”。</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2.水源涵养功能重要区、生物多样性维护功能重要区同时执行本清单全市准入要求中“3.2生态功能重要区”准入要求。</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3.土地沙化敏感区同时执行本清单全市准入要求中“3.3生态环境敏感区”准入要求。</w:t>
            </w:r>
          </w:p>
        </w:tc>
        <w:tc>
          <w:tcPr>
            <w:tcW w:w="242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本项目建设符合大庆市3.1总体要求；项目不位于水源涵养功能重要、生物多样性维护功能重要区及土地沙化敏感区</w:t>
            </w:r>
          </w:p>
        </w:tc>
        <w:tc>
          <w:tcPr>
            <w:tcW w:w="82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3.1总体要求</w:t>
            </w:r>
          </w:p>
        </w:tc>
        <w:tc>
          <w:tcPr>
            <w:tcW w:w="92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空间布局约束</w:t>
            </w:r>
          </w:p>
        </w:tc>
        <w:tc>
          <w:tcPr>
            <w:tcW w:w="3277"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原则上按限制开发区域的要求进行管理。符合区域准入条件的新增建设项目，涉及占用生态空间中的林地、草原等，按有关法律法规规定办理；涉及占用生态空间中其他未作明确规定的用地，应当加强论证和管理。符合条件的农业开发项目，须依法由县级及以上地方人民政府统筹安排。除符合国家生态退耕条件的耕地，并纳入国家生态退耕总体安排，或因国家重大生态工程建设需要外，不得随意转用。</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2.在不改变利用方式的前提下，对依法保护的生态空间实行承载力控制，防止过度垦殖、放牧、采伐、取水、渔猎、旅游等对生态功能造成损害，确保自然生态系统的稳定。</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3.避免开发建设活动损害生态服务功能和生态产品质量。</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4.已经侵占生态空间的，应建立退出机制、制定治理方案及时间表。</w:t>
            </w:r>
          </w:p>
        </w:tc>
        <w:tc>
          <w:tcPr>
            <w:tcW w:w="2427"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1.本项目位于大同区安肇新河入库里泡排口上游左侧岸边处，占地类型为工业占地，不涉及</w:t>
            </w:r>
            <w:r>
              <w:rPr>
                <w:rFonts w:hint="default" w:ascii="Times New Roman" w:hAnsi="Times New Roman" w:cs="Times New Roman"/>
                <w:color w:val="auto"/>
                <w:sz w:val="21"/>
                <w:szCs w:val="21"/>
                <w:highlight w:val="none"/>
                <w:vertAlign w:val="baseline"/>
                <w:lang w:val="en-US" w:eastAsia="zh-CN"/>
              </w:rPr>
              <w:t>林地、草原</w:t>
            </w:r>
            <w:r>
              <w:rPr>
                <w:rFonts w:hint="eastAsia" w:ascii="Times New Roman" w:hAnsi="Times New Roman" w:cs="Times New Roman"/>
                <w:color w:val="auto"/>
                <w:sz w:val="21"/>
                <w:szCs w:val="21"/>
                <w:highlight w:val="none"/>
                <w:vertAlign w:val="baseline"/>
                <w:lang w:val="en-US" w:eastAsia="zh-CN"/>
              </w:rPr>
              <w:t>及耕地占用。项目为</w:t>
            </w:r>
            <w:r>
              <w:rPr>
                <w:rFonts w:hint="default" w:ascii="Times New Roman" w:hAnsi="Times New Roman" w:eastAsia="宋体" w:cs="Times New Roman"/>
                <w:caps w:val="0"/>
                <w:smallCaps w:val="0"/>
                <w:color w:val="auto"/>
                <w:spacing w:val="0"/>
                <w:w w:val="100"/>
                <w:kern w:val="0"/>
                <w:sz w:val="21"/>
                <w:szCs w:val="21"/>
                <w:highlight w:val="none"/>
                <w:lang w:val="en-US" w:eastAsia="zh-CN"/>
              </w:rPr>
              <w:t>污水处理及其再生利用工程</w:t>
            </w:r>
            <w:r>
              <w:rPr>
                <w:rFonts w:hint="eastAsia" w:ascii="Times New Roman" w:hAnsi="Times New Roman" w:cs="Times New Roman"/>
                <w:color w:val="auto"/>
                <w:sz w:val="21"/>
                <w:szCs w:val="21"/>
                <w:highlight w:val="none"/>
                <w:vertAlign w:val="baseline"/>
                <w:lang w:val="en-US" w:eastAsia="zh-CN"/>
              </w:rPr>
              <w:t>，不属于农业开发项目。2.左岸区域原为自然形成的河塘，与安肇新河不相连。新建人工湿地，可改善区域水体环境质量，减少水体污染不良影响，项目建设对区域生态环境起到积极改善作用。3.项目建设不会对区域</w:t>
            </w:r>
            <w:r>
              <w:rPr>
                <w:rFonts w:hint="default" w:ascii="Times New Roman" w:hAnsi="Times New Roman" w:cs="Times New Roman"/>
                <w:color w:val="auto"/>
                <w:sz w:val="21"/>
                <w:szCs w:val="21"/>
                <w:highlight w:val="none"/>
                <w:vertAlign w:val="baseline"/>
                <w:lang w:val="en-US" w:eastAsia="zh-CN"/>
              </w:rPr>
              <w:t>生态功能造成损害</w:t>
            </w:r>
            <w:r>
              <w:rPr>
                <w:rFonts w:hint="eastAsia" w:ascii="Times New Roman" w:hAnsi="Times New Roman" w:cs="Times New Roman"/>
                <w:color w:val="auto"/>
                <w:sz w:val="21"/>
                <w:szCs w:val="21"/>
                <w:highlight w:val="none"/>
                <w:vertAlign w:val="baseline"/>
                <w:lang w:val="en-US" w:eastAsia="zh-CN"/>
              </w:rPr>
              <w:t>。4.项目位于干渠岸边，不在干渠上进行建设，不侵占干渠原有生态空间。</w:t>
            </w:r>
          </w:p>
        </w:tc>
        <w:tc>
          <w:tcPr>
            <w:tcW w:w="82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符合</w:t>
            </w:r>
          </w:p>
        </w:tc>
      </w:tr>
    </w:tbl>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综上，本项目建设符合大同区生态环境准入清单要求。</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b w:val="0"/>
          <w:bCs w:val="0"/>
          <w:snapToGrid/>
          <w:color w:val="auto"/>
          <w:sz w:val="28"/>
          <w:szCs w:val="28"/>
          <w:highlight w:val="none"/>
          <w:lang w:val="en-US" w:eastAsia="zh-CN" w:bidi="ar-SA"/>
        </w:rPr>
      </w:pPr>
      <w:bookmarkStart w:id="10" w:name="_Toc13660"/>
      <w:bookmarkStart w:id="11" w:name="_Toc25733"/>
      <w:r>
        <w:rPr>
          <w:rFonts w:hint="default" w:ascii="Times New Roman" w:hAnsi="Times New Roman" w:eastAsia="宋体" w:cs="Times New Roman"/>
          <w:b w:val="0"/>
          <w:bCs w:val="0"/>
          <w:snapToGrid/>
          <w:color w:val="auto"/>
          <w:sz w:val="28"/>
          <w:szCs w:val="28"/>
          <w:highlight w:val="none"/>
          <w:lang w:val="en-US" w:eastAsia="zh-CN" w:bidi="ar-SA"/>
        </w:rPr>
        <w:t>1.4.</w:t>
      </w:r>
      <w:r>
        <w:rPr>
          <w:rFonts w:hint="eastAsia" w:ascii="Times New Roman" w:hAnsi="Times New Roman" w:eastAsia="宋体" w:cs="Times New Roman"/>
          <w:b w:val="0"/>
          <w:bCs w:val="0"/>
          <w:snapToGrid/>
          <w:color w:val="auto"/>
          <w:sz w:val="28"/>
          <w:szCs w:val="28"/>
          <w:highlight w:val="none"/>
          <w:lang w:val="en-US" w:eastAsia="zh-CN" w:bidi="ar-SA"/>
        </w:rPr>
        <w:t>3</w:t>
      </w:r>
      <w:r>
        <w:rPr>
          <w:rFonts w:hint="default" w:ascii="Times New Roman" w:hAnsi="Times New Roman" w:eastAsia="宋体" w:cs="Times New Roman"/>
          <w:b w:val="0"/>
          <w:bCs w:val="0"/>
          <w:snapToGrid/>
          <w:color w:val="auto"/>
          <w:sz w:val="28"/>
          <w:szCs w:val="28"/>
          <w:highlight w:val="none"/>
          <w:lang w:val="en-US" w:eastAsia="zh-CN" w:bidi="ar-SA"/>
        </w:rPr>
        <w:t>选址合理性分析</w:t>
      </w:r>
      <w:bookmarkEnd w:id="10"/>
      <w:bookmarkEnd w:id="11"/>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本项目位于黑龙江省大庆市</w:t>
      </w:r>
      <w:r>
        <w:rPr>
          <w:rFonts w:hint="eastAsia" w:ascii="Times New Roman" w:hAnsi="Times New Roman" w:eastAsia="宋体" w:cs="Times New Roman"/>
          <w:caps w:val="0"/>
          <w:smallCaps w:val="0"/>
          <w:color w:val="auto"/>
          <w:spacing w:val="0"/>
          <w:w w:val="100"/>
          <w:kern w:val="0"/>
          <w:sz w:val="24"/>
          <w:szCs w:val="24"/>
          <w:highlight w:val="none"/>
          <w:lang w:val="en-US" w:eastAsia="zh-CN"/>
        </w:rPr>
        <w:t>大</w:t>
      </w:r>
      <w:r>
        <w:rPr>
          <w:rFonts w:hint="default" w:ascii="Times New Roman" w:hAnsi="Times New Roman" w:eastAsia="宋体" w:cs="Times New Roman"/>
          <w:caps w:val="0"/>
          <w:smallCaps w:val="0"/>
          <w:color w:val="auto"/>
          <w:spacing w:val="0"/>
          <w:w w:val="100"/>
          <w:kern w:val="0"/>
          <w:sz w:val="24"/>
          <w:szCs w:val="24"/>
          <w:highlight w:val="none"/>
          <w:lang w:val="en-US" w:eastAsia="zh-CN"/>
        </w:rPr>
        <w:t>同区安肇新河入库里泡排口</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上游</w:t>
      </w:r>
      <w:r>
        <w:rPr>
          <w:rFonts w:hint="default" w:ascii="Times New Roman" w:hAnsi="Times New Roman" w:eastAsia="宋体" w:cs="Times New Roman"/>
          <w:caps w:val="0"/>
          <w:smallCaps w:val="0"/>
          <w:color w:val="auto"/>
          <w:spacing w:val="0"/>
          <w:w w:val="100"/>
          <w:kern w:val="0"/>
          <w:sz w:val="24"/>
          <w:szCs w:val="24"/>
          <w:highlight w:val="none"/>
          <w:lang w:val="en-US" w:eastAsia="zh-CN"/>
        </w:rPr>
        <w:t>左侧岸边</w:t>
      </w:r>
      <w:r>
        <w:rPr>
          <w:rFonts w:hint="eastAsia" w:ascii="Times New Roman" w:hAnsi="Times New Roman" w:eastAsia="宋体" w:cs="Times New Roman"/>
          <w:caps w:val="0"/>
          <w:smallCaps w:val="0"/>
          <w:color w:val="auto"/>
          <w:spacing w:val="0"/>
          <w:w w:val="100"/>
          <w:kern w:val="0"/>
          <w:sz w:val="24"/>
          <w:szCs w:val="24"/>
          <w:highlight w:val="none"/>
          <w:lang w:val="en-US" w:eastAsia="zh-CN"/>
        </w:rPr>
        <w:t>，占地类型为建设用地。</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项目</w:t>
      </w:r>
      <w:r>
        <w:rPr>
          <w:rFonts w:hint="eastAsia" w:ascii="Times New Roman" w:hAnsi="Times New Roman" w:eastAsia="宋体" w:cs="Times New Roman"/>
          <w:caps w:val="0"/>
          <w:smallCaps w:val="0"/>
          <w:color w:val="auto"/>
          <w:spacing w:val="0"/>
          <w:w w:val="100"/>
          <w:kern w:val="0"/>
          <w:sz w:val="24"/>
          <w:szCs w:val="24"/>
          <w:highlight w:val="none"/>
          <w:lang w:val="en-US" w:eastAsia="zh-CN"/>
        </w:rPr>
        <w:t>选址不涉及</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家公园、自然保护区、自然公园等自然保护地、世界自然遗产、生态保护红线、重要物种的天然集中分布区、栖息地，重要水生生物的产卵场、索饵场、越冬场和洄游通道，迁徙鸟类的重要繁殖地、停歇地、越冬地以及野生动物迁徙通道等生态敏感区。</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同时，根据《环境影响评价技术导则 生态影响》（HJ19-2022）中“4.3收集、分析建设项目工程技术文件以及所在区域国土空间规划、生态环境分区管控方案、生态敏感区以及生态环境状况等相关数据资料，开展现场踏勘，通过工程分析、筛选评价因子进行生态影响识别，确定生态保护目标，有必要的补充提出比选方案”及“5.1.3工程设计文件中包括工程位置、工程规模、平面布局、工程施工及工程运行等不同比选方案的，应对不同方案进行工程分析。现有方案均占用生态敏感区，或明显可能对生态保护目标产生显著不利影响，还应补充提出基于减缓生态影响考虑的比选方案。”</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本项目选址不在干渠上建设，项目建设不侵占干渠原有生态空间。项目施工不会造成水量、流速、径流、水位等水文要素的变化。</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因此，本</w:t>
      </w: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项目选址以为最佳选址地点。综上本项目</w:t>
      </w:r>
      <w:r>
        <w:rPr>
          <w:rFonts w:hint="default" w:ascii="Times New Roman" w:hAnsi="Times New Roman" w:eastAsia="宋体" w:cs="Times New Roman"/>
          <w:caps w:val="0"/>
          <w:smallCaps w:val="0"/>
          <w:color w:val="auto"/>
          <w:spacing w:val="0"/>
          <w:w w:val="100"/>
          <w:kern w:val="0"/>
          <w:sz w:val="24"/>
          <w:szCs w:val="24"/>
          <w:highlight w:val="none"/>
          <w:lang w:val="en-US" w:eastAsia="zh-CN"/>
        </w:rPr>
        <w:t>建设选址可行。</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12" w:name="_Toc26621"/>
      <w:bookmarkStart w:id="13" w:name="_Toc18788"/>
      <w:r>
        <w:rPr>
          <w:rFonts w:hint="default" w:ascii="Times New Roman" w:hAnsi="Times New Roman" w:eastAsia="宋体" w:cs="Times New Roman"/>
          <w:snapToGrid/>
          <w:color w:val="auto"/>
          <w:sz w:val="32"/>
          <w:highlight w:val="none"/>
          <w:lang w:val="en-US" w:eastAsia="zh-CN" w:bidi="ar-SA"/>
        </w:rPr>
        <w:t>1.</w:t>
      </w:r>
      <w:r>
        <w:rPr>
          <w:rFonts w:hint="eastAsia" w:ascii="Times New Roman" w:hAnsi="Times New Roman" w:eastAsia="宋体" w:cs="Times New Roman"/>
          <w:snapToGrid/>
          <w:color w:val="auto"/>
          <w:sz w:val="32"/>
          <w:highlight w:val="none"/>
          <w:lang w:val="en-US" w:eastAsia="zh-CN" w:bidi="ar-SA"/>
        </w:rPr>
        <w:t>5关注的主要环境问题</w:t>
      </w:r>
      <w:bookmarkEnd w:id="12"/>
      <w:bookmarkEnd w:id="13"/>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工程施工期对环境空气、水环境、生态环境、声环境等的影响。施工期产生的施工扬尘采取覆盖、洒水等措施。采取以上措施后施工期扬尘对环境的影响和施工期对生态环境的影响为可接受程度。</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施工结束后，对施工临时占地进行场地平整，恢复原有地植及绿貌，与区域地表植被环境自然衔接。</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项目运营期</w:t>
      </w:r>
      <w:r>
        <w:rPr>
          <w:rFonts w:hint="eastAsia" w:ascii="Times New Roman" w:hAnsi="Times New Roman" w:eastAsia="宋体" w:cs="Times New Roman"/>
          <w:caps w:val="0"/>
          <w:smallCaps w:val="0"/>
          <w:color w:val="auto"/>
          <w:spacing w:val="0"/>
          <w:w w:val="100"/>
          <w:kern w:val="0"/>
          <w:sz w:val="24"/>
          <w:szCs w:val="24"/>
          <w:highlight w:val="none"/>
          <w:lang w:val="en-US" w:eastAsia="zh-CN"/>
        </w:rPr>
        <w:t>运维人员生活产生的废气及废水经处置后排放，对周围环境影响较小。</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同时</w:t>
      </w:r>
      <w:r>
        <w:rPr>
          <w:rFonts w:hint="default" w:ascii="Times New Roman" w:hAnsi="Times New Roman" w:eastAsia="宋体" w:cs="Times New Roman"/>
          <w:caps w:val="0"/>
          <w:smallCaps w:val="0"/>
          <w:color w:val="auto"/>
          <w:spacing w:val="0"/>
          <w:w w:val="100"/>
          <w:kern w:val="0"/>
          <w:sz w:val="24"/>
          <w:szCs w:val="24"/>
          <w:highlight w:val="none"/>
          <w:lang w:val="en-US" w:eastAsia="zh-CN"/>
        </w:rPr>
        <w:t>人工湿地</w:t>
      </w:r>
      <w:r>
        <w:rPr>
          <w:rFonts w:hint="eastAsia" w:ascii="Times New Roman" w:hAnsi="Times New Roman" w:eastAsia="宋体" w:cs="Times New Roman"/>
          <w:caps w:val="0"/>
          <w:smallCaps w:val="0"/>
          <w:color w:val="auto"/>
          <w:spacing w:val="0"/>
          <w:w w:val="100"/>
          <w:kern w:val="0"/>
          <w:sz w:val="24"/>
          <w:szCs w:val="24"/>
          <w:highlight w:val="none"/>
          <w:lang w:val="en-US" w:eastAsia="zh-CN"/>
        </w:rPr>
        <w:t>运行</w:t>
      </w:r>
      <w:r>
        <w:rPr>
          <w:rFonts w:hint="default" w:ascii="Times New Roman" w:hAnsi="Times New Roman" w:eastAsia="宋体" w:cs="Times New Roman"/>
          <w:caps w:val="0"/>
          <w:smallCaps w:val="0"/>
          <w:color w:val="auto"/>
          <w:spacing w:val="0"/>
          <w:w w:val="100"/>
          <w:kern w:val="0"/>
          <w:sz w:val="24"/>
          <w:szCs w:val="24"/>
          <w:highlight w:val="none"/>
          <w:lang w:val="en-US" w:eastAsia="zh-CN"/>
        </w:rPr>
        <w:t>对</w:t>
      </w:r>
      <w:r>
        <w:rPr>
          <w:rFonts w:hint="eastAsia" w:ascii="Times New Roman" w:hAnsi="Times New Roman" w:eastAsia="宋体" w:cs="Times New Roman"/>
          <w:caps w:val="0"/>
          <w:smallCaps w:val="0"/>
          <w:color w:val="auto"/>
          <w:spacing w:val="0"/>
          <w:w w:val="100"/>
          <w:kern w:val="0"/>
          <w:sz w:val="24"/>
          <w:szCs w:val="24"/>
          <w:highlight w:val="none"/>
          <w:lang w:val="en-US" w:eastAsia="zh-CN"/>
        </w:rPr>
        <w:t>周围的</w:t>
      </w:r>
      <w:r>
        <w:rPr>
          <w:rFonts w:hint="default" w:ascii="Times New Roman" w:hAnsi="Times New Roman" w:eastAsia="宋体" w:cs="Times New Roman"/>
          <w:caps w:val="0"/>
          <w:smallCaps w:val="0"/>
          <w:color w:val="auto"/>
          <w:spacing w:val="0"/>
          <w:w w:val="100"/>
          <w:kern w:val="0"/>
          <w:sz w:val="24"/>
          <w:szCs w:val="24"/>
          <w:highlight w:val="none"/>
          <w:lang w:val="en-US" w:eastAsia="zh-CN"/>
        </w:rPr>
        <w:t>大气、水环境有积极的改善作用；噪声主要为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主要为提升泵及风机运行噪声，采取减振及厂强隔音措施；</w:t>
      </w:r>
      <w:r>
        <w:rPr>
          <w:rFonts w:hint="default" w:ascii="Times New Roman" w:hAnsi="Times New Roman" w:eastAsia="宋体" w:cs="Times New Roman"/>
          <w:caps w:val="0"/>
          <w:smallCaps w:val="0"/>
          <w:color w:val="auto"/>
          <w:spacing w:val="0"/>
          <w:w w:val="100"/>
          <w:kern w:val="0"/>
          <w:sz w:val="24"/>
          <w:szCs w:val="24"/>
          <w:highlight w:val="none"/>
          <w:lang w:val="en-US" w:eastAsia="zh-CN"/>
        </w:rPr>
        <w:t>固体废物主要为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运维人员生活垃圾、</w:t>
      </w:r>
      <w:r>
        <w:rPr>
          <w:rFonts w:hint="default" w:ascii="Times New Roman" w:hAnsi="Times New Roman" w:eastAsia="宋体" w:cs="Times New Roman"/>
          <w:caps w:val="0"/>
          <w:smallCaps w:val="0"/>
          <w:color w:val="auto"/>
          <w:spacing w:val="0"/>
          <w:w w:val="100"/>
          <w:kern w:val="0"/>
          <w:sz w:val="24"/>
          <w:szCs w:val="24"/>
          <w:highlight w:val="none"/>
          <w:lang w:val="en-US" w:eastAsia="zh-CN"/>
        </w:rPr>
        <w:t>人工湿地内的植物废弃物</w:t>
      </w:r>
      <w:r>
        <w:rPr>
          <w:rFonts w:hint="eastAsia" w:ascii="Times New Roman" w:hAnsi="Times New Roman" w:eastAsia="宋体" w:cs="Times New Roman"/>
          <w:caps w:val="0"/>
          <w:smallCaps w:val="0"/>
          <w:color w:val="auto"/>
          <w:spacing w:val="0"/>
          <w:w w:val="100"/>
          <w:kern w:val="0"/>
          <w:sz w:val="24"/>
          <w:szCs w:val="24"/>
          <w:highlight w:val="none"/>
          <w:lang w:val="en-US" w:eastAsia="zh-CN"/>
        </w:rPr>
        <w:t>、供暖期间锅炉灰渣及除尘器收集沉渣，均拉运至相关单位进行处置。</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本次</w:t>
      </w:r>
      <w:r>
        <w:rPr>
          <w:rFonts w:hint="default" w:ascii="Times New Roman" w:hAnsi="Times New Roman" w:eastAsia="宋体" w:cs="Times New Roman"/>
          <w:caps w:val="0"/>
          <w:smallCaps w:val="0"/>
          <w:color w:val="auto"/>
          <w:spacing w:val="0"/>
          <w:w w:val="100"/>
          <w:kern w:val="0"/>
          <w:sz w:val="24"/>
          <w:szCs w:val="24"/>
          <w:highlight w:val="none"/>
          <w:lang w:val="en-US" w:eastAsia="zh-CN"/>
        </w:rPr>
        <w:t>主要关注</w:t>
      </w:r>
      <w:r>
        <w:rPr>
          <w:rFonts w:hint="eastAsia" w:ascii="Times New Roman" w:hAnsi="Times New Roman" w:eastAsia="宋体" w:cs="Times New Roman"/>
          <w:caps w:val="0"/>
          <w:smallCaps w:val="0"/>
          <w:color w:val="auto"/>
          <w:spacing w:val="0"/>
          <w:w w:val="100"/>
          <w:kern w:val="0"/>
          <w:sz w:val="24"/>
          <w:szCs w:val="24"/>
          <w:highlight w:val="none"/>
          <w:lang w:val="en-US" w:eastAsia="zh-CN"/>
        </w:rPr>
        <w:t>对区域水体环境改善程度。</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14" w:name="_Toc8428"/>
      <w:bookmarkStart w:id="15" w:name="_Toc6281"/>
      <w:r>
        <w:rPr>
          <w:rFonts w:hint="default" w:ascii="Times New Roman" w:hAnsi="Times New Roman" w:eastAsia="宋体" w:cs="Times New Roman"/>
          <w:snapToGrid/>
          <w:color w:val="auto"/>
          <w:sz w:val="32"/>
          <w:highlight w:val="none"/>
          <w:lang w:val="en-US" w:eastAsia="zh-CN" w:bidi="ar-SA"/>
        </w:rPr>
        <w:t>1.</w:t>
      </w:r>
      <w:r>
        <w:rPr>
          <w:rFonts w:hint="eastAsia" w:ascii="Times New Roman" w:hAnsi="Times New Roman" w:eastAsia="宋体" w:cs="Times New Roman"/>
          <w:snapToGrid/>
          <w:color w:val="auto"/>
          <w:sz w:val="32"/>
          <w:highlight w:val="none"/>
          <w:lang w:val="en-US" w:eastAsia="zh-CN" w:bidi="ar-SA"/>
        </w:rPr>
        <w:t>6环境影响评价报告书的主要结论</w:t>
      </w:r>
      <w:bookmarkEnd w:id="14"/>
      <w:bookmarkEnd w:id="15"/>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本项目实施所涉及的工程建设内容符合国家产业政策，符合《黑龙江省“十四五”生态环境保护规划》</w:t>
      </w:r>
      <w:r>
        <w:rPr>
          <w:rFonts w:hint="eastAsia" w:ascii="Times New Roman" w:hAnsi="Times New Roman" w:eastAsia="宋体" w:cs="Times New Roman"/>
          <w:caps w:val="0"/>
          <w:smallCaps w:val="0"/>
          <w:color w:val="auto"/>
          <w:spacing w:val="0"/>
          <w:w w:val="100"/>
          <w:kern w:val="0"/>
          <w:sz w:val="24"/>
          <w:szCs w:val="24"/>
          <w:highlight w:val="none"/>
          <w:lang w:val="en-US" w:eastAsia="zh-CN"/>
        </w:rPr>
        <w:t>、《大庆市人民政府关于印发大庆市“十四五”生态环境保护规划的通知》</w:t>
      </w:r>
      <w:r>
        <w:rPr>
          <w:rFonts w:hint="default" w:ascii="Times New Roman" w:hAnsi="Times New Roman" w:eastAsia="宋体" w:cs="Times New Roman"/>
          <w:caps w:val="0"/>
          <w:smallCaps w:val="0"/>
          <w:color w:val="auto"/>
          <w:spacing w:val="0"/>
          <w:w w:val="100"/>
          <w:kern w:val="0"/>
          <w:sz w:val="24"/>
          <w:szCs w:val="24"/>
          <w:highlight w:val="none"/>
          <w:lang w:val="en-US" w:eastAsia="zh-CN"/>
        </w:rPr>
        <w:t>等规划要求。</w:t>
      </w: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w:t>
      </w:r>
      <w:r>
        <w:rPr>
          <w:rFonts w:hint="default" w:ascii="Times New Roman" w:hAnsi="Times New Roman" w:eastAsia="宋体" w:cs="Times New Roman"/>
          <w:caps w:val="0"/>
          <w:smallCaps w:val="0"/>
          <w:color w:val="auto"/>
          <w:spacing w:val="0"/>
          <w:w w:val="100"/>
          <w:kern w:val="0"/>
          <w:sz w:val="24"/>
          <w:szCs w:val="24"/>
          <w:highlight w:val="none"/>
          <w:lang w:val="en-US" w:eastAsia="zh-CN"/>
        </w:rPr>
        <w:t>的不利环境影响主要表现在施工期，在落实本环评报告提出的环境保护减缓措施，所产生的不利影响可以得到有效控制，并降至环境能接受的程度；工程的环境效益和社会效益显著。从环保的角度分析，项目实施可行。</w:t>
      </w:r>
    </w:p>
    <w:p>
      <w:pPr>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br w:type="page"/>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16" w:name="_Toc26014"/>
      <w:bookmarkStart w:id="17" w:name="_Toc12803"/>
      <w:r>
        <w:rPr>
          <w:rFonts w:hint="eastAsia" w:ascii="Times New Roman" w:hAnsi="Times New Roman" w:eastAsia="宋体" w:cs="Times New Roman"/>
          <w:snapToGrid/>
          <w:color w:val="auto"/>
          <w:sz w:val="32"/>
          <w:highlight w:val="none"/>
          <w:lang w:val="en-US" w:eastAsia="zh-CN" w:bidi="ar-SA"/>
        </w:rPr>
        <w:t>2</w:t>
      </w:r>
      <w:r>
        <w:rPr>
          <w:rFonts w:hint="default" w:ascii="Times New Roman" w:hAnsi="Times New Roman" w:eastAsia="宋体" w:cs="Times New Roman"/>
          <w:snapToGrid/>
          <w:color w:val="auto"/>
          <w:sz w:val="32"/>
          <w:highlight w:val="none"/>
          <w:lang w:val="en-US" w:eastAsia="zh-CN" w:bidi="ar-SA"/>
        </w:rPr>
        <w:t xml:space="preserve">  </w:t>
      </w:r>
      <w:r>
        <w:rPr>
          <w:rFonts w:hint="eastAsia" w:ascii="Times New Roman" w:hAnsi="Times New Roman" w:eastAsia="宋体" w:cs="Times New Roman"/>
          <w:snapToGrid/>
          <w:color w:val="auto"/>
          <w:sz w:val="32"/>
          <w:highlight w:val="none"/>
          <w:lang w:val="en-US" w:eastAsia="zh-CN" w:bidi="ar-SA"/>
        </w:rPr>
        <w:t>总则</w:t>
      </w:r>
      <w:bookmarkEnd w:id="16"/>
      <w:bookmarkEnd w:id="17"/>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18" w:name="_Toc4169"/>
      <w:r>
        <w:rPr>
          <w:rFonts w:hint="default" w:ascii="Times New Roman" w:hAnsi="Times New Roman" w:eastAsia="宋体" w:cs="Times New Roman"/>
          <w:snapToGrid/>
          <w:color w:val="auto"/>
          <w:sz w:val="32"/>
          <w:highlight w:val="none"/>
          <w:lang w:val="en-US" w:eastAsia="zh-CN" w:bidi="ar-SA"/>
        </w:rPr>
        <w:t>2.1编制依据</w:t>
      </w:r>
      <w:bookmarkEnd w:id="18"/>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2.1.1环境保护法律</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《中华人民共和国环境保护法》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2015年1月1日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《中华人民共和国环境影响评价法》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2018年12月29日修订</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《中华人民共和国水法》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2016年7月2日修订</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《中华人民共和国河道管理条例》</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2017年10月7日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《中华人民共和国大气污染防治法》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2018年10月26日修订</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《中华人民共和国水污染防治法》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2017年6月27日修订</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（7）</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《中华人民共和国噪声污染防治法》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2021年12月24日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（8）</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《中华人民共和国固体废物污染环境防治法》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2020年4月29日修订</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（9）</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《中华人民共和国渔业法》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2013年12月28日修订</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（10）</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《中华人民共和国土地管理法》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2004年8月28日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（11）</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《中华人民共和国水土保持法》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2011年3月1日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（12）</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《中华人民共和国野生动物保护法》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2018年10月26日修订</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（13）</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《中华人民共和国土壤污染防治法》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2019年1月1日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（14）</w:t>
      </w:r>
      <w:r>
        <w:rPr>
          <w:rFonts w:hint="default" w:ascii="Times New Roman" w:hAnsi="Times New Roman" w:eastAsia="宋体" w:cs="Times New Roman"/>
          <w:caps w:val="0"/>
          <w:smallCaps w:val="0"/>
          <w:color w:val="auto"/>
          <w:spacing w:val="0"/>
          <w:w w:val="100"/>
          <w:kern w:val="0"/>
          <w:sz w:val="24"/>
          <w:szCs w:val="24"/>
          <w:highlight w:val="none"/>
          <w:lang w:val="en-US" w:eastAsia="zh-CN"/>
        </w:rPr>
        <w:t>《建设项目环境保护管理条例》</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2017年10月1日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（15）</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《中华人民共和国河道管理条例》</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2017年3月1日修订</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（16）</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《中华人民共和国陆生野生动物保护实施条例》(2016年2月6日修订)；</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（17）</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《中华人民共和国水生野生动物保护实施条例》</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2013年12月7日修订</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（18）</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《中华人民共和国野生植物保护条例》</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2017年10月7日修订</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2.1.2环境保护法规、规章</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《建设项目环境保护管理条例》</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国务院682号令</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《国务院关于印发水污染防治行动计划的通知》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国发[2015]17号</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《国务院关于印发土壤污染防治行动计划的通知》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国发[2016]31号</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《国务院关于加强环境保护重点工作的意见》</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国发[2011]35号</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《国务院关于全国地下水污染防治规划</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2011-2020年</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的批复》</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国函[2011</w:t>
      </w:r>
      <w:r>
        <w:rPr>
          <w:rFonts w:hint="eastAsia" w:ascii="Times New Roman" w:hAnsi="Times New Roman" w:eastAsia="宋体" w:cs="Times New Roman"/>
          <w:caps w:val="0"/>
          <w:smallCaps w:val="0"/>
          <w:color w:val="auto"/>
          <w:spacing w:val="0"/>
          <w:w w:val="100"/>
          <w:kern w:val="0"/>
          <w:sz w:val="24"/>
          <w:szCs w:val="24"/>
          <w:highlight w:val="none"/>
          <w:lang w:val="en-US" w:eastAsia="zh-CN"/>
        </w:rPr>
        <w:t>（6）</w:t>
      </w:r>
      <w:r>
        <w:rPr>
          <w:rFonts w:hint="default" w:ascii="Times New Roman" w:hAnsi="Times New Roman" w:eastAsia="宋体" w:cs="Times New Roman"/>
          <w:caps w:val="0"/>
          <w:smallCaps w:val="0"/>
          <w:color w:val="auto"/>
          <w:spacing w:val="0"/>
          <w:w w:val="100"/>
          <w:kern w:val="0"/>
          <w:sz w:val="24"/>
          <w:szCs w:val="24"/>
          <w:highlight w:val="none"/>
          <w:lang w:val="en-US" w:eastAsia="zh-CN"/>
        </w:rPr>
        <w:t>《关于推进大气污染联防联控工作改善区域空气环境质量的指导意见》</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国办发[2010]33号</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（7）</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《中华人民共和国水生野生动物保护实施条例》</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2013年12月7日修订</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（8）</w:t>
      </w:r>
      <w:r>
        <w:rPr>
          <w:rFonts w:hint="default" w:ascii="Times New Roman" w:hAnsi="Times New Roman" w:eastAsia="宋体" w:cs="Times New Roman"/>
          <w:caps w:val="0"/>
          <w:smallCaps w:val="0"/>
          <w:color w:val="auto"/>
          <w:spacing w:val="0"/>
          <w:w w:val="100"/>
          <w:kern w:val="0"/>
          <w:sz w:val="24"/>
          <w:szCs w:val="24"/>
          <w:highlight w:val="none"/>
          <w:lang w:val="en-US" w:eastAsia="zh-CN"/>
        </w:rPr>
        <w:t>《关于加强和规范声环境功能区划分管理工作的通知》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环办大气函[2017]1709号</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（9）</w:t>
      </w:r>
      <w:r>
        <w:rPr>
          <w:rFonts w:hint="default" w:ascii="Times New Roman" w:hAnsi="Times New Roman" w:eastAsia="宋体" w:cs="Times New Roman"/>
          <w:caps w:val="0"/>
          <w:smallCaps w:val="0"/>
          <w:color w:val="auto"/>
          <w:spacing w:val="0"/>
          <w:w w:val="100"/>
          <w:kern w:val="0"/>
          <w:sz w:val="24"/>
          <w:szCs w:val="24"/>
          <w:highlight w:val="none"/>
          <w:lang w:val="en-US" w:eastAsia="zh-CN"/>
        </w:rPr>
        <w:t>《产业结构调整指导目录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w:t>
      </w:r>
      <w:r>
        <w:rPr>
          <w:rFonts w:hint="eastAsia" w:ascii="Times New Roman" w:hAnsi="Times New Roman" w:eastAsia="宋体" w:cs="Times New Roman"/>
          <w:caps w:val="0"/>
          <w:smallCaps w:val="0"/>
          <w:color w:val="auto"/>
          <w:spacing w:val="0"/>
          <w:w w:val="100"/>
          <w:kern w:val="0"/>
          <w:sz w:val="24"/>
          <w:szCs w:val="24"/>
          <w:highlight w:val="none"/>
          <w:lang w:val="en-US" w:eastAsia="zh-CN"/>
        </w:rPr>
        <w:t>21</w:t>
      </w:r>
      <w:r>
        <w:rPr>
          <w:rFonts w:hint="default" w:ascii="Times New Roman" w:hAnsi="Times New Roman" w:eastAsia="宋体" w:cs="Times New Roman"/>
          <w:caps w:val="0"/>
          <w:smallCaps w:val="0"/>
          <w:color w:val="auto"/>
          <w:spacing w:val="0"/>
          <w:w w:val="100"/>
          <w:kern w:val="0"/>
          <w:sz w:val="24"/>
          <w:szCs w:val="24"/>
          <w:highlight w:val="none"/>
          <w:lang w:val="en-US" w:eastAsia="zh-CN"/>
        </w:rPr>
        <w:t>年本</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发改委</w:t>
      </w:r>
      <w:r>
        <w:rPr>
          <w:rFonts w:hint="eastAsia" w:ascii="Times New Roman" w:hAnsi="Times New Roman" w:eastAsia="宋体" w:cs="Times New Roman"/>
          <w:caps w:val="0"/>
          <w:smallCaps w:val="0"/>
          <w:color w:val="auto"/>
          <w:spacing w:val="0"/>
          <w:w w:val="100"/>
          <w:kern w:val="0"/>
          <w:sz w:val="24"/>
          <w:szCs w:val="24"/>
          <w:highlight w:val="none"/>
          <w:lang w:val="en-US" w:eastAsia="zh-CN"/>
        </w:rPr>
        <w:t xml:space="preserve"> 第49号）</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（10）</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《环境影响评价公众参与办法》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生态环境部令第4号</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（11）</w:t>
      </w:r>
      <w:r>
        <w:rPr>
          <w:rFonts w:hint="default" w:ascii="Times New Roman" w:hAnsi="Times New Roman" w:eastAsia="宋体" w:cs="Times New Roman"/>
          <w:caps w:val="0"/>
          <w:smallCaps w:val="0"/>
          <w:color w:val="auto"/>
          <w:spacing w:val="0"/>
          <w:w w:val="100"/>
          <w:kern w:val="0"/>
          <w:sz w:val="24"/>
          <w:szCs w:val="24"/>
          <w:highlight w:val="none"/>
          <w:lang w:val="en-US" w:eastAsia="zh-CN"/>
        </w:rPr>
        <w:t>《关于进一步加强环境保护信息公开工作的通知》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环办[2012]134号</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（12）</w:t>
      </w:r>
      <w:r>
        <w:rPr>
          <w:rFonts w:hint="default" w:ascii="Times New Roman" w:hAnsi="Times New Roman" w:eastAsia="宋体" w:cs="Times New Roman"/>
          <w:caps w:val="0"/>
          <w:smallCaps w:val="0"/>
          <w:color w:val="auto"/>
          <w:spacing w:val="0"/>
          <w:w w:val="100"/>
          <w:kern w:val="0"/>
          <w:sz w:val="24"/>
          <w:szCs w:val="24"/>
          <w:highlight w:val="none"/>
          <w:lang w:val="en-US" w:eastAsia="zh-CN"/>
        </w:rPr>
        <w:t>《关于印发&lt;建设项目环境影响评价政府信息公开指南</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试行</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&gt;的通知》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环办[2013]103号</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（13）</w:t>
      </w:r>
      <w:r>
        <w:rPr>
          <w:rFonts w:hint="default" w:ascii="Times New Roman" w:hAnsi="Times New Roman" w:eastAsia="宋体" w:cs="Times New Roman"/>
          <w:caps w:val="0"/>
          <w:smallCaps w:val="0"/>
          <w:color w:val="auto"/>
          <w:spacing w:val="0"/>
          <w:w w:val="100"/>
          <w:kern w:val="0"/>
          <w:sz w:val="24"/>
          <w:szCs w:val="24"/>
          <w:highlight w:val="none"/>
          <w:lang w:val="en-US" w:eastAsia="zh-CN"/>
        </w:rPr>
        <w:t>《建设项目环境影响评价分类管理名录》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2021版</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（14）</w:t>
      </w:r>
      <w:r>
        <w:rPr>
          <w:rFonts w:hint="default" w:ascii="Times New Roman" w:hAnsi="Times New Roman" w:eastAsia="宋体" w:cs="Times New Roman"/>
          <w:caps w:val="0"/>
          <w:smallCaps w:val="0"/>
          <w:color w:val="auto"/>
          <w:spacing w:val="0"/>
          <w:w w:val="100"/>
          <w:kern w:val="0"/>
          <w:sz w:val="24"/>
          <w:szCs w:val="24"/>
          <w:highlight w:val="none"/>
          <w:lang w:val="en-US" w:eastAsia="zh-CN"/>
        </w:rPr>
        <w:t>《关于以改善环境质量为核心加强环境影响评价管理的通知》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环环评[2016]150号</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（15）</w:t>
      </w:r>
      <w:r>
        <w:rPr>
          <w:rFonts w:hint="default" w:ascii="Times New Roman" w:hAnsi="Times New Roman" w:eastAsia="宋体" w:cs="Times New Roman"/>
          <w:caps w:val="0"/>
          <w:smallCaps w:val="0"/>
          <w:color w:val="auto"/>
          <w:spacing w:val="0"/>
          <w:w w:val="100"/>
          <w:kern w:val="0"/>
          <w:sz w:val="24"/>
          <w:szCs w:val="24"/>
          <w:highlight w:val="none"/>
          <w:lang w:val="en-US" w:eastAsia="zh-CN"/>
        </w:rPr>
        <w:t>《关于印发&lt;建设项目环境影响评价区域限批管理办法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试行</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&gt;的通知》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环发[2015]169号</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（16）</w:t>
      </w:r>
      <w:r>
        <w:rPr>
          <w:rFonts w:hint="default" w:ascii="Times New Roman" w:hAnsi="Times New Roman" w:eastAsia="宋体" w:cs="Times New Roman"/>
          <w:caps w:val="0"/>
          <w:smallCaps w:val="0"/>
          <w:color w:val="auto"/>
          <w:spacing w:val="0"/>
          <w:w w:val="100"/>
          <w:kern w:val="0"/>
          <w:sz w:val="24"/>
          <w:szCs w:val="24"/>
          <w:highlight w:val="none"/>
          <w:lang w:val="en-US" w:eastAsia="zh-CN"/>
        </w:rPr>
        <w:t>《关于切实加强环境影响评价监督管理工作的通知》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环办[2013]104号</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（17）</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《国务院办公厅关于推进海绵城市建设的指导意见》</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国办发〔2015〕75号</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（18）</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《国务院办公厅关于做好城市排水防涝设施建设工作的通知》</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国办发〔2013〕</w:t>
      </w:r>
      <w:r>
        <w:rPr>
          <w:rFonts w:hint="eastAsia" w:ascii="Times New Roman" w:hAnsi="Times New Roman" w:eastAsia="宋体" w:cs="Times New Roman"/>
          <w:caps w:val="0"/>
          <w:smallCaps w:val="0"/>
          <w:color w:val="auto"/>
          <w:spacing w:val="0"/>
          <w:w w:val="100"/>
          <w:kern w:val="0"/>
          <w:sz w:val="24"/>
          <w:szCs w:val="24"/>
          <w:highlight w:val="none"/>
          <w:lang w:val="en-US" w:eastAsia="zh-CN"/>
        </w:rPr>
        <w:t>（19）</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《国务院关于加强城市基础设施建设的意见》</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国发〔2013〕36号</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（20）</w:t>
      </w:r>
      <w:r>
        <w:rPr>
          <w:rFonts w:hint="default" w:ascii="Times New Roman" w:hAnsi="Times New Roman" w:eastAsia="宋体" w:cs="Times New Roman"/>
          <w:caps w:val="0"/>
          <w:smallCaps w:val="0"/>
          <w:color w:val="auto"/>
          <w:spacing w:val="0"/>
          <w:w w:val="100"/>
          <w:kern w:val="0"/>
          <w:sz w:val="24"/>
          <w:szCs w:val="24"/>
          <w:highlight w:val="none"/>
          <w:lang w:val="en-US" w:eastAsia="zh-CN"/>
        </w:rPr>
        <w:t>《湿地保护修复制度方案》。</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2.1.</w:t>
      </w: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地方法规和政策</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（1）《黑龙江省环境保护条例》（2018年4月26日修改）；</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《黑龙江省水污染防治工作方案》（黑政发〔2016〕3号，2016年1月10日发布）；</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（3）《黑龙江省固体废物污染环境防治条例（征求意见稿）》（2022年9月30日）；</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（4）《黑龙江省湿地保护条例》（2016年8月2日修正）；</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（5）《黑龙江省节约用水条例》（2018年10月26日发布）；</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（6）《黑龙江省水土保持条例》（2017年12月27日发布）；</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7</w:t>
      </w:r>
      <w:r>
        <w:rPr>
          <w:rFonts w:hint="default" w:ascii="Times New Roman" w:hAnsi="Times New Roman" w:eastAsia="宋体" w:cs="Times New Roman"/>
          <w:caps w:val="0"/>
          <w:smallCaps w:val="0"/>
          <w:color w:val="auto"/>
          <w:spacing w:val="0"/>
          <w:w w:val="100"/>
          <w:kern w:val="0"/>
          <w:sz w:val="24"/>
          <w:szCs w:val="24"/>
          <w:highlight w:val="none"/>
          <w:lang w:val="en-US" w:eastAsia="zh-CN"/>
        </w:rPr>
        <w:t>）《黑龙江省人民政府关于印发黑龙江省主体功能区规划的通知》（黑政发〔2012〕29号，2012年4月25日施行）；</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8</w:t>
      </w:r>
      <w:r>
        <w:rPr>
          <w:rFonts w:hint="default" w:ascii="Times New Roman" w:hAnsi="Times New Roman" w:eastAsia="宋体" w:cs="Times New Roman"/>
          <w:caps w:val="0"/>
          <w:smallCaps w:val="0"/>
          <w:color w:val="auto"/>
          <w:spacing w:val="0"/>
          <w:w w:val="100"/>
          <w:kern w:val="0"/>
          <w:sz w:val="24"/>
          <w:szCs w:val="24"/>
          <w:highlight w:val="none"/>
          <w:lang w:val="en-US" w:eastAsia="zh-CN"/>
        </w:rPr>
        <w:t>）《黑龙江省人民政府关于实施“三线一单”生态环境分区管控的意见》（黑政发〔2020〕14号）；</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9</w:t>
      </w:r>
      <w:r>
        <w:rPr>
          <w:rFonts w:hint="default" w:ascii="Times New Roman" w:hAnsi="Times New Roman" w:eastAsia="宋体" w:cs="Times New Roman"/>
          <w:caps w:val="0"/>
          <w:smallCaps w:val="0"/>
          <w:color w:val="auto"/>
          <w:spacing w:val="0"/>
          <w:w w:val="100"/>
          <w:kern w:val="0"/>
          <w:sz w:val="24"/>
          <w:szCs w:val="24"/>
          <w:highlight w:val="none"/>
          <w:lang w:val="en-US" w:eastAsia="zh-CN"/>
        </w:rPr>
        <w:t>）《大庆市人民政府关于印发大庆市声环境功能区划分、大庆市环境空气质量功能区划分、大庆市地表水环境功能区划分的通知》（庆政发〔2019〕11号，2019年10月17日）；</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（10）</w:t>
      </w:r>
      <w:r>
        <w:rPr>
          <w:rFonts w:hint="default" w:ascii="Times New Roman" w:hAnsi="Times New Roman" w:eastAsia="宋体" w:cs="Times New Roman"/>
          <w:caps w:val="0"/>
          <w:smallCaps w:val="0"/>
          <w:color w:val="auto"/>
          <w:spacing w:val="0"/>
          <w:w w:val="100"/>
          <w:kern w:val="0"/>
          <w:sz w:val="24"/>
          <w:szCs w:val="24"/>
          <w:highlight w:val="none"/>
          <w:lang w:val="en-US" w:eastAsia="zh-CN"/>
        </w:rPr>
        <w:t>《黑龙江省生态功能区规划》（黑政函〔2006〕75号）；</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（11）《黑龙江省河道管理条例》（2018年6月28日修订）。</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2.1.</w:t>
      </w: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环境保护技术规范</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《建设项目环境影响评价技术导则 总纲》</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HJ2.1-2016</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《环境影响评价技术导则 大气环境》</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HJ2.2-2018</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《环境影响评价技术导则 地表水环境》</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HJ2.3-2018</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《环境影响评价技术导则 地下水环境》</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HJ610-2016</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《环境影响评价技术导则 声环境》</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HJ2.4-2009</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《环境影响评价技术导则 土壤环境》</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HJ964-2018</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（7）</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《环境影响评价技术导则 生态影响》</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HJ19-2022</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（8）</w:t>
      </w:r>
      <w:r>
        <w:rPr>
          <w:rFonts w:hint="default" w:ascii="Times New Roman" w:hAnsi="Times New Roman" w:eastAsia="宋体" w:cs="Times New Roman"/>
          <w:caps w:val="0"/>
          <w:smallCaps w:val="0"/>
          <w:color w:val="auto"/>
          <w:spacing w:val="0"/>
          <w:w w:val="100"/>
          <w:kern w:val="0"/>
          <w:sz w:val="24"/>
          <w:szCs w:val="24"/>
          <w:highlight w:val="none"/>
          <w:lang w:val="en-US" w:eastAsia="zh-CN"/>
        </w:rPr>
        <w:t>《建设项目环境风险评价技术导则》</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HJ169-2018</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（9）</w:t>
      </w:r>
      <w:r>
        <w:rPr>
          <w:rFonts w:hint="default" w:ascii="Times New Roman" w:hAnsi="Times New Roman" w:eastAsia="宋体" w:cs="Times New Roman"/>
          <w:caps w:val="0"/>
          <w:smallCaps w:val="0"/>
          <w:color w:val="auto"/>
          <w:spacing w:val="0"/>
          <w:w w:val="100"/>
          <w:kern w:val="0"/>
          <w:sz w:val="24"/>
          <w:szCs w:val="24"/>
          <w:highlight w:val="none"/>
          <w:lang w:val="en-US" w:eastAsia="zh-CN"/>
        </w:rPr>
        <w:t>《人工湿污水处理工程技术规范》</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HJ2005-2010</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（10）</w:t>
      </w:r>
      <w:r>
        <w:rPr>
          <w:rFonts w:hint="default" w:ascii="Times New Roman" w:hAnsi="Times New Roman" w:eastAsia="宋体" w:cs="Times New Roman"/>
          <w:caps w:val="0"/>
          <w:smallCaps w:val="0"/>
          <w:color w:val="auto"/>
          <w:spacing w:val="0"/>
          <w:w w:val="100"/>
          <w:kern w:val="0"/>
          <w:sz w:val="24"/>
          <w:szCs w:val="24"/>
          <w:highlight w:val="none"/>
          <w:lang w:val="en-US" w:eastAsia="zh-CN"/>
        </w:rPr>
        <w:t>《人工湿地水质净化技术指南》</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环办水体函〔2021〕173号</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2.1.</w:t>
      </w: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相关文件</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《大庆市安肇新河人工湿地水质净化工程可行性研究报告》（大庆市规划建筑研究院，</w:t>
      </w:r>
      <w:r>
        <w:rPr>
          <w:rFonts w:hint="eastAsia" w:ascii="Times New Roman" w:hAnsi="Times New Roman" w:eastAsia="宋体" w:cs="Times New Roman"/>
          <w:caps w:val="0"/>
          <w:smallCaps w:val="0"/>
          <w:color w:val="auto"/>
          <w:spacing w:val="0"/>
          <w:w w:val="100"/>
          <w:kern w:val="0"/>
          <w:sz w:val="24"/>
          <w:szCs w:val="24"/>
          <w:highlight w:val="none"/>
          <w:lang w:val="en-US" w:eastAsia="zh-CN"/>
        </w:rPr>
        <w:t>2021</w:t>
      </w:r>
      <w:r>
        <w:rPr>
          <w:rFonts w:hint="default" w:ascii="Times New Roman" w:hAnsi="Times New Roman" w:eastAsia="宋体" w:cs="Times New Roman"/>
          <w:caps w:val="0"/>
          <w:smallCaps w:val="0"/>
          <w:color w:val="auto"/>
          <w:spacing w:val="0"/>
          <w:w w:val="100"/>
          <w:kern w:val="0"/>
          <w:sz w:val="24"/>
          <w:szCs w:val="24"/>
          <w:highlight w:val="none"/>
          <w:lang w:val="en-US" w:eastAsia="zh-CN"/>
        </w:rPr>
        <w:t>年</w:t>
      </w:r>
      <w:r>
        <w:rPr>
          <w:rFonts w:hint="eastAsia" w:ascii="Times New Roman" w:hAnsi="Times New Roman" w:eastAsia="宋体" w:cs="Times New Roman"/>
          <w:caps w:val="0"/>
          <w:smallCaps w:val="0"/>
          <w:color w:val="auto"/>
          <w:spacing w:val="0"/>
          <w:w w:val="100"/>
          <w:kern w:val="0"/>
          <w:sz w:val="24"/>
          <w:szCs w:val="24"/>
          <w:highlight w:val="none"/>
          <w:lang w:val="en-US" w:eastAsia="zh-CN"/>
        </w:rPr>
        <w:t>8</w:t>
      </w:r>
      <w:r>
        <w:rPr>
          <w:rFonts w:hint="default" w:ascii="Times New Roman" w:hAnsi="Times New Roman" w:eastAsia="宋体" w:cs="Times New Roman"/>
          <w:caps w:val="0"/>
          <w:smallCaps w:val="0"/>
          <w:color w:val="auto"/>
          <w:spacing w:val="0"/>
          <w:w w:val="100"/>
          <w:kern w:val="0"/>
          <w:sz w:val="24"/>
          <w:szCs w:val="24"/>
          <w:highlight w:val="none"/>
          <w:lang w:val="en-US" w:eastAsia="zh-CN"/>
        </w:rPr>
        <w:t>月）；</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w:t>
      </w:r>
      <w:r>
        <w:rPr>
          <w:rFonts w:hint="eastAsia" w:ascii="Times New Roman" w:hAnsi="Times New Roman" w:eastAsia="宋体" w:cs="Times New Roman"/>
          <w:caps w:val="0"/>
          <w:smallCaps w:val="0"/>
          <w:color w:val="auto"/>
          <w:spacing w:val="0"/>
          <w:w w:val="100"/>
          <w:kern w:val="0"/>
          <w:sz w:val="24"/>
          <w:szCs w:val="24"/>
          <w:highlight w:val="none"/>
          <w:lang w:val="en-US" w:eastAsia="zh-CN"/>
        </w:rPr>
        <w:t>大庆市发展和改革委员会</w:t>
      </w:r>
      <w:r>
        <w:rPr>
          <w:rFonts w:hint="default" w:ascii="Times New Roman" w:hAnsi="Times New Roman" w:eastAsia="宋体" w:cs="Times New Roman"/>
          <w:caps w:val="0"/>
          <w:smallCaps w:val="0"/>
          <w:color w:val="auto"/>
          <w:spacing w:val="0"/>
          <w:w w:val="100"/>
          <w:kern w:val="0"/>
          <w:sz w:val="24"/>
          <w:szCs w:val="24"/>
          <w:highlight w:val="none"/>
          <w:lang w:val="en-US" w:eastAsia="zh-CN"/>
        </w:rPr>
        <w:t>关于</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大庆市安肇新河人工湿地水质净化工程可行性研究报告</w:t>
      </w:r>
      <w:r>
        <w:rPr>
          <w:rFonts w:hint="eastAsia" w:ascii="Times New Roman" w:hAnsi="Times New Roman" w:eastAsia="宋体" w:cs="Times New Roman"/>
          <w:caps w:val="0"/>
          <w:smallCaps w:val="0"/>
          <w:color w:val="auto"/>
          <w:spacing w:val="0"/>
          <w:w w:val="100"/>
          <w:kern w:val="0"/>
          <w:sz w:val="24"/>
          <w:szCs w:val="24"/>
          <w:highlight w:val="none"/>
          <w:lang w:val="en-US" w:eastAsia="zh-CN"/>
        </w:rPr>
        <w:t>》（庆发改发〔2022〕163号）</w:t>
      </w:r>
      <w:r>
        <w:rPr>
          <w:rFonts w:hint="default" w:ascii="Times New Roman" w:hAnsi="Times New Roman" w:eastAsia="宋体" w:cs="Times New Roman"/>
          <w:caps w:val="0"/>
          <w:smallCaps w:val="0"/>
          <w:color w:val="auto"/>
          <w:spacing w:val="0"/>
          <w:w w:val="100"/>
          <w:kern w:val="0"/>
          <w:sz w:val="24"/>
          <w:szCs w:val="24"/>
          <w:highlight w:val="none"/>
          <w:lang w:val="en-US" w:eastAsia="zh-CN"/>
        </w:rPr>
        <w:t>的批复；</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（3）《大庆市安肇新河人工湿地水质净化工程初步设计》（中国环境科学研究院环境工程技术有限公司，</w:t>
      </w:r>
      <w:r>
        <w:rPr>
          <w:rFonts w:hint="eastAsia" w:ascii="Times New Roman" w:hAnsi="Times New Roman" w:eastAsia="宋体" w:cs="Times New Roman"/>
          <w:caps w:val="0"/>
          <w:smallCaps w:val="0"/>
          <w:color w:val="auto"/>
          <w:spacing w:val="0"/>
          <w:w w:val="100"/>
          <w:kern w:val="0"/>
          <w:sz w:val="24"/>
          <w:szCs w:val="24"/>
          <w:highlight w:val="none"/>
          <w:lang w:val="en-US" w:eastAsia="zh-CN"/>
        </w:rPr>
        <w:t>2022</w:t>
      </w:r>
      <w:r>
        <w:rPr>
          <w:rFonts w:hint="default" w:ascii="Times New Roman" w:hAnsi="Times New Roman" w:eastAsia="宋体" w:cs="Times New Roman"/>
          <w:caps w:val="0"/>
          <w:smallCaps w:val="0"/>
          <w:color w:val="auto"/>
          <w:spacing w:val="0"/>
          <w:w w:val="100"/>
          <w:kern w:val="0"/>
          <w:sz w:val="24"/>
          <w:szCs w:val="24"/>
          <w:highlight w:val="none"/>
          <w:lang w:val="en-US" w:eastAsia="zh-CN"/>
        </w:rPr>
        <w:t>年</w:t>
      </w:r>
      <w:r>
        <w:rPr>
          <w:rFonts w:hint="eastAsia" w:ascii="Times New Roman" w:hAnsi="Times New Roman" w:eastAsia="宋体" w:cs="Times New Roman"/>
          <w:caps w:val="0"/>
          <w:smallCaps w:val="0"/>
          <w:color w:val="auto"/>
          <w:spacing w:val="0"/>
          <w:w w:val="100"/>
          <w:kern w:val="0"/>
          <w:sz w:val="24"/>
          <w:szCs w:val="24"/>
          <w:highlight w:val="none"/>
          <w:lang w:val="en-US" w:eastAsia="zh-CN"/>
        </w:rPr>
        <w:t>11</w:t>
      </w:r>
      <w:r>
        <w:rPr>
          <w:rFonts w:hint="default" w:ascii="Times New Roman" w:hAnsi="Times New Roman" w:eastAsia="宋体" w:cs="Times New Roman"/>
          <w:caps w:val="0"/>
          <w:smallCaps w:val="0"/>
          <w:color w:val="auto"/>
          <w:spacing w:val="0"/>
          <w:w w:val="100"/>
          <w:kern w:val="0"/>
          <w:sz w:val="24"/>
          <w:szCs w:val="24"/>
          <w:highlight w:val="none"/>
          <w:lang w:val="en-US" w:eastAsia="zh-CN"/>
        </w:rPr>
        <w:t>月）；</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）建设单位提供的其它技术资料；</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）环境影响评价委托书</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19" w:name="_Toc30471"/>
      <w:r>
        <w:rPr>
          <w:rFonts w:hint="default" w:ascii="Times New Roman" w:hAnsi="Times New Roman" w:eastAsia="宋体" w:cs="Times New Roman"/>
          <w:snapToGrid/>
          <w:color w:val="auto"/>
          <w:sz w:val="32"/>
          <w:highlight w:val="none"/>
          <w:lang w:val="en-US" w:eastAsia="zh-CN" w:bidi="ar-SA"/>
        </w:rPr>
        <w:t>2.2评价原则及目的</w:t>
      </w:r>
      <w:bookmarkEnd w:id="19"/>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2.2.1评价原则</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突出环境影响评价的源头预防作用，坚持保护和改善环境质量。</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（1）依法评价：贯彻执行我国环境保护相关法律法规、标准、政策和规划等，优化项目建设，服务环境管理。</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（2）科学评价：规范环境影响评价方法，科学分析项目建设对环境质量的影响。</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突出重点：根据建设项目的工程内容及其特点，明确与环境要素间的作用效应关系，根据规划环境影响评价结论和审查意见，充分利用符合时效的数据资料及成果，对建设项目主要环境影响予以重点分析和评价。</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2.2.2评价目的</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本次评价从环境保护的角度出发，根据工程所在地区的环境特点、环境质量的控制目标，客观、科学地对本工程在建设期及建成后的运营期可能带来的环境问题进行论证，并通过评价达到以下目的：</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（1）通过对建设项目区域周围的自然环境、社会经济和环境质量现状的调查与分析，为项目建设提供现状材料；</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针对建设项目的特点和环境影响特征，确定工程施工期与运营期主要环境影响因素，定性或定量地分析预测对周围环境产生影响，提出防治污染、减少生态破坏的措施和对策，为工程的合理布局、环保工程设计提供科学依据；</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（3）通过分析本项目可能存在的事故隐患，预测可能产生的环境影响程度及范围，提出环境风险防范措施；</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（4）从技术、经济等角度论证拟采取的环保措施的可行性和合理性，必要时提出替代方案，使之对环境的影响降至最低；</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5）依据国家有关法律、环保法规、产业政策等，对该项目污染特点、污染防治措施等进行综合分析，从环保角度对工程的可行性作出明确结论，为设计单位设计、环境管理部门决策、建设单位环境管理提供科学依据</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20" w:name="_Toc30985"/>
      <w:r>
        <w:rPr>
          <w:rFonts w:hint="default" w:ascii="Times New Roman" w:hAnsi="Times New Roman" w:eastAsia="宋体" w:cs="Times New Roman"/>
          <w:snapToGrid/>
          <w:color w:val="auto"/>
          <w:sz w:val="32"/>
          <w:highlight w:val="none"/>
          <w:lang w:val="en-US" w:eastAsia="zh-CN" w:bidi="ar-SA"/>
        </w:rPr>
        <w:t>2.</w:t>
      </w:r>
      <w:r>
        <w:rPr>
          <w:rFonts w:hint="eastAsia" w:ascii="Times New Roman" w:hAnsi="Times New Roman" w:eastAsia="宋体" w:cs="Times New Roman"/>
          <w:snapToGrid/>
          <w:color w:val="auto"/>
          <w:sz w:val="32"/>
          <w:highlight w:val="none"/>
          <w:lang w:val="en-US" w:eastAsia="zh-CN" w:bidi="ar-SA"/>
        </w:rPr>
        <w:t>3</w:t>
      </w:r>
      <w:r>
        <w:rPr>
          <w:rFonts w:hint="default" w:ascii="Times New Roman" w:hAnsi="Times New Roman" w:eastAsia="宋体" w:cs="Times New Roman"/>
          <w:snapToGrid/>
          <w:color w:val="auto"/>
          <w:sz w:val="32"/>
          <w:highlight w:val="none"/>
          <w:lang w:val="en-US" w:eastAsia="zh-CN" w:bidi="ar-SA"/>
        </w:rPr>
        <w:t>环境影响识别与评价因子筛选</w:t>
      </w:r>
      <w:bookmarkEnd w:id="20"/>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2.3.1环境影响要素识别</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根据该项目的生产特点和污染物的排放种类、排放量以及对环境的影响，将建设和生产过程中产生的污染物及对环境的影响见表2.3-1。</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表2.3-1环境影响要素识别一览表</w:t>
      </w:r>
    </w:p>
    <w:p>
      <w:pPr>
        <w:spacing w:line="20" w:lineRule="exact"/>
        <w:rPr>
          <w:color w:val="auto"/>
          <w:highlight w:val="none"/>
        </w:rPr>
      </w:pPr>
    </w:p>
    <w:tbl>
      <w:tblPr>
        <w:tblStyle w:val="16"/>
        <w:tblW w:w="8364" w:type="dxa"/>
        <w:tblInd w:w="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0"/>
        <w:gridCol w:w="869"/>
        <w:gridCol w:w="632"/>
        <w:gridCol w:w="700"/>
        <w:gridCol w:w="690"/>
        <w:gridCol w:w="765"/>
        <w:gridCol w:w="556"/>
        <w:gridCol w:w="569"/>
        <w:gridCol w:w="510"/>
        <w:gridCol w:w="495"/>
        <w:gridCol w:w="540"/>
        <w:gridCol w:w="499"/>
        <w:gridCol w:w="513"/>
        <w:gridCol w:w="5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trPr>
        <w:tc>
          <w:tcPr>
            <w:tcW w:w="1369" w:type="dxa"/>
            <w:gridSpan w:val="2"/>
            <w:vMerge w:val="restart"/>
            <w:tcBorders>
              <w:left w:val="nil"/>
              <w:bottom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类别</w:t>
            </w:r>
          </w:p>
        </w:tc>
        <w:tc>
          <w:tcPr>
            <w:tcW w:w="3343" w:type="dxa"/>
            <w:gridSpan w:val="5"/>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自然环境</w:t>
            </w:r>
          </w:p>
        </w:tc>
        <w:tc>
          <w:tcPr>
            <w:tcW w:w="2114" w:type="dxa"/>
            <w:gridSpan w:val="4"/>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生态环境</w:t>
            </w:r>
          </w:p>
        </w:tc>
        <w:tc>
          <w:tcPr>
            <w:tcW w:w="1538" w:type="dxa"/>
            <w:gridSpan w:val="3"/>
            <w:tcBorders>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社会环境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0" w:hRule="atLeast"/>
        </w:trPr>
        <w:tc>
          <w:tcPr>
            <w:tcW w:w="1369" w:type="dxa"/>
            <w:gridSpan w:val="2"/>
            <w:vMerge w:val="continue"/>
            <w:tcBorders>
              <w:top w:val="nil"/>
              <w:lef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6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环境空气</w:t>
            </w:r>
          </w:p>
        </w:tc>
        <w:tc>
          <w:tcPr>
            <w:tcW w:w="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地表水</w:t>
            </w:r>
          </w:p>
        </w:tc>
        <w:tc>
          <w:tcPr>
            <w:tcW w:w="6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地下水</w:t>
            </w:r>
          </w:p>
        </w:tc>
        <w:tc>
          <w:tcPr>
            <w:tcW w:w="76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声环境</w:t>
            </w:r>
          </w:p>
        </w:tc>
        <w:tc>
          <w:tcPr>
            <w:tcW w:w="55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土壤环境</w:t>
            </w:r>
          </w:p>
        </w:tc>
        <w:tc>
          <w:tcPr>
            <w:tcW w:w="56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陆地 植被</w:t>
            </w:r>
          </w:p>
        </w:tc>
        <w:tc>
          <w:tcPr>
            <w:tcW w:w="51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野生 动物</w:t>
            </w:r>
          </w:p>
        </w:tc>
        <w:tc>
          <w:tcPr>
            <w:tcW w:w="49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生态 环境</w:t>
            </w:r>
          </w:p>
        </w:tc>
        <w:tc>
          <w:tcPr>
            <w:tcW w:w="54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水土 流失</w:t>
            </w:r>
          </w:p>
        </w:tc>
        <w:tc>
          <w:tcPr>
            <w:tcW w:w="49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交通</w:t>
            </w:r>
          </w:p>
        </w:tc>
        <w:tc>
          <w:tcPr>
            <w:tcW w:w="51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社会 效益</w:t>
            </w:r>
          </w:p>
        </w:tc>
        <w:tc>
          <w:tcPr>
            <w:tcW w:w="526" w:type="dxa"/>
            <w:tcBorders>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经济 效益</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500" w:type="dxa"/>
            <w:vMerge w:val="restart"/>
            <w:tcBorders>
              <w:lef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施工期</w:t>
            </w:r>
          </w:p>
        </w:tc>
        <w:tc>
          <w:tcPr>
            <w:tcW w:w="869"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场地开挖</w:t>
            </w:r>
          </w:p>
        </w:tc>
        <w:tc>
          <w:tcPr>
            <w:tcW w:w="632"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-2C</w:t>
            </w:r>
          </w:p>
        </w:tc>
        <w:tc>
          <w:tcPr>
            <w:tcW w:w="700"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-2C</w:t>
            </w:r>
          </w:p>
        </w:tc>
        <w:tc>
          <w:tcPr>
            <w:tcW w:w="690"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c>
          <w:tcPr>
            <w:tcW w:w="765"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- 1C</w:t>
            </w:r>
          </w:p>
        </w:tc>
        <w:tc>
          <w:tcPr>
            <w:tcW w:w="556"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- 1C</w:t>
            </w:r>
          </w:p>
        </w:tc>
        <w:tc>
          <w:tcPr>
            <w:tcW w:w="569"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- 1C</w:t>
            </w:r>
          </w:p>
        </w:tc>
        <w:tc>
          <w:tcPr>
            <w:tcW w:w="510"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- 1C</w:t>
            </w:r>
          </w:p>
        </w:tc>
        <w:tc>
          <w:tcPr>
            <w:tcW w:w="495"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-2C</w:t>
            </w:r>
          </w:p>
        </w:tc>
        <w:tc>
          <w:tcPr>
            <w:tcW w:w="540"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-2C</w:t>
            </w:r>
          </w:p>
        </w:tc>
        <w:tc>
          <w:tcPr>
            <w:tcW w:w="499"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c>
          <w:tcPr>
            <w:tcW w:w="513" w:type="dxa"/>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c>
          <w:tcPr>
            <w:tcW w:w="526" w:type="dxa"/>
            <w:tcBorders>
              <w:right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- 1C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500" w:type="dxa"/>
            <w:vMerge w:val="continue"/>
            <w:tcBorders>
              <w:lef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86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湿地建设</w:t>
            </w:r>
          </w:p>
        </w:tc>
        <w:tc>
          <w:tcPr>
            <w:tcW w:w="6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-1C</w:t>
            </w:r>
          </w:p>
        </w:tc>
        <w:tc>
          <w:tcPr>
            <w:tcW w:w="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-1C</w:t>
            </w:r>
          </w:p>
        </w:tc>
        <w:tc>
          <w:tcPr>
            <w:tcW w:w="6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c>
          <w:tcPr>
            <w:tcW w:w="76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c>
          <w:tcPr>
            <w:tcW w:w="55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-1C</w:t>
            </w:r>
          </w:p>
        </w:tc>
        <w:tc>
          <w:tcPr>
            <w:tcW w:w="56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-1C</w:t>
            </w:r>
          </w:p>
        </w:tc>
        <w:tc>
          <w:tcPr>
            <w:tcW w:w="51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-1C</w:t>
            </w:r>
          </w:p>
        </w:tc>
        <w:tc>
          <w:tcPr>
            <w:tcW w:w="49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-1C</w:t>
            </w:r>
          </w:p>
        </w:tc>
        <w:tc>
          <w:tcPr>
            <w:tcW w:w="54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-1C</w:t>
            </w:r>
          </w:p>
        </w:tc>
        <w:tc>
          <w:tcPr>
            <w:tcW w:w="49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c>
          <w:tcPr>
            <w:tcW w:w="51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c>
          <w:tcPr>
            <w:tcW w:w="526" w:type="dxa"/>
            <w:tcBorders>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-1C</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500" w:type="dxa"/>
            <w:vMerge w:val="continue"/>
            <w:tcBorders>
              <w:lef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86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材料运输</w:t>
            </w:r>
          </w:p>
        </w:tc>
        <w:tc>
          <w:tcPr>
            <w:tcW w:w="6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-2C</w:t>
            </w:r>
          </w:p>
        </w:tc>
        <w:tc>
          <w:tcPr>
            <w:tcW w:w="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c>
          <w:tcPr>
            <w:tcW w:w="6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c>
          <w:tcPr>
            <w:tcW w:w="76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-2C</w:t>
            </w:r>
          </w:p>
        </w:tc>
        <w:tc>
          <w:tcPr>
            <w:tcW w:w="55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-1C</w:t>
            </w:r>
          </w:p>
        </w:tc>
        <w:tc>
          <w:tcPr>
            <w:tcW w:w="56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-1C</w:t>
            </w:r>
          </w:p>
        </w:tc>
        <w:tc>
          <w:tcPr>
            <w:tcW w:w="51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-1C</w:t>
            </w:r>
          </w:p>
        </w:tc>
        <w:tc>
          <w:tcPr>
            <w:tcW w:w="49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-1C</w:t>
            </w:r>
          </w:p>
        </w:tc>
        <w:tc>
          <w:tcPr>
            <w:tcW w:w="54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c>
          <w:tcPr>
            <w:tcW w:w="49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-1C</w:t>
            </w:r>
          </w:p>
        </w:tc>
        <w:tc>
          <w:tcPr>
            <w:tcW w:w="51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c>
          <w:tcPr>
            <w:tcW w:w="526" w:type="dxa"/>
            <w:tcBorders>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5" w:hRule="atLeast"/>
        </w:trPr>
        <w:tc>
          <w:tcPr>
            <w:tcW w:w="500" w:type="dxa"/>
            <w:tcBorders>
              <w:lef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运营期</w:t>
            </w:r>
          </w:p>
        </w:tc>
        <w:tc>
          <w:tcPr>
            <w:tcW w:w="86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人工湿地维护</w:t>
            </w:r>
          </w:p>
        </w:tc>
        <w:tc>
          <w:tcPr>
            <w:tcW w:w="632"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+2D</w:t>
            </w:r>
          </w:p>
        </w:tc>
        <w:tc>
          <w:tcPr>
            <w:tcW w:w="70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+2D</w:t>
            </w:r>
          </w:p>
        </w:tc>
        <w:tc>
          <w:tcPr>
            <w:tcW w:w="69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+1D</w:t>
            </w:r>
          </w:p>
        </w:tc>
        <w:tc>
          <w:tcPr>
            <w:tcW w:w="76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-1D</w:t>
            </w:r>
          </w:p>
        </w:tc>
        <w:tc>
          <w:tcPr>
            <w:tcW w:w="556"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+1D</w:t>
            </w:r>
          </w:p>
        </w:tc>
        <w:tc>
          <w:tcPr>
            <w:tcW w:w="56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r>
              <w:rPr>
                <w:rFonts w:hint="eastAsia" w:ascii="Times New Roman" w:hAnsi="Times New Roman" w:cs="Times New Roman"/>
                <w:color w:val="auto"/>
                <w:sz w:val="21"/>
                <w:szCs w:val="21"/>
                <w:highlight w:val="none"/>
                <w:vertAlign w:val="baseline"/>
                <w:lang w:val="en-US" w:eastAsia="zh-CN"/>
              </w:rPr>
              <w:t>D</w:t>
            </w:r>
          </w:p>
        </w:tc>
        <w:tc>
          <w:tcPr>
            <w:tcW w:w="51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+1D</w:t>
            </w:r>
          </w:p>
        </w:tc>
        <w:tc>
          <w:tcPr>
            <w:tcW w:w="49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+2D</w:t>
            </w:r>
          </w:p>
        </w:tc>
        <w:tc>
          <w:tcPr>
            <w:tcW w:w="540"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+1D</w:t>
            </w:r>
          </w:p>
        </w:tc>
        <w:tc>
          <w:tcPr>
            <w:tcW w:w="499"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w:t>
            </w:r>
          </w:p>
        </w:tc>
        <w:tc>
          <w:tcPr>
            <w:tcW w:w="513"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r>
              <w:rPr>
                <w:rFonts w:hint="eastAsia" w:ascii="Times New Roman" w:hAnsi="Times New Roman" w:cs="Times New Roman"/>
                <w:color w:val="auto"/>
                <w:sz w:val="21"/>
                <w:szCs w:val="21"/>
                <w:highlight w:val="none"/>
                <w:vertAlign w:val="baseline"/>
                <w:lang w:val="en-US" w:eastAsia="zh-CN"/>
              </w:rPr>
              <w:t>C</w:t>
            </w:r>
          </w:p>
        </w:tc>
        <w:tc>
          <w:tcPr>
            <w:tcW w:w="526" w:type="dxa"/>
            <w:tcBorders>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r>
              <w:rPr>
                <w:rFonts w:hint="eastAsia" w:ascii="Times New Roman" w:hAnsi="Times New Roman" w:cs="Times New Roman"/>
                <w:color w:val="auto"/>
                <w:sz w:val="21"/>
                <w:szCs w:val="21"/>
                <w:highlight w:val="none"/>
                <w:vertAlign w:val="baseline"/>
                <w:lang w:val="en-US" w:eastAsia="zh-CN"/>
              </w:rPr>
              <w:t>C</w:t>
            </w:r>
          </w:p>
        </w:tc>
      </w:tr>
    </w:tbl>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注：0基本无影响</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1轻度影响</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2中等影响</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3重大影响</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+有利影响</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-不利影响</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C长期影响</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D短期影响</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由</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上表</w:t>
      </w:r>
      <w:r>
        <w:rPr>
          <w:rFonts w:hint="default" w:ascii="Times New Roman" w:hAnsi="Times New Roman" w:eastAsia="宋体" w:cs="Times New Roman"/>
          <w:caps w:val="0"/>
          <w:smallCaps w:val="0"/>
          <w:color w:val="auto"/>
          <w:spacing w:val="0"/>
          <w:w w:val="100"/>
          <w:kern w:val="0"/>
          <w:sz w:val="24"/>
          <w:szCs w:val="24"/>
          <w:highlight w:val="none"/>
          <w:lang w:val="en-US" w:eastAsia="zh-CN"/>
        </w:rPr>
        <w:t>可知：施工期将对社会、自然与生态环境产生一定程度的不利影响，其中场地开挖</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材料运输</w:t>
      </w:r>
      <w:r>
        <w:rPr>
          <w:rFonts w:hint="eastAsia" w:ascii="Times New Roman" w:hAnsi="Times New Roman" w:eastAsia="宋体" w:cs="Times New Roman"/>
          <w:caps w:val="0"/>
          <w:smallCaps w:val="0"/>
          <w:color w:val="auto"/>
          <w:spacing w:val="0"/>
          <w:w w:val="100"/>
          <w:kern w:val="0"/>
          <w:sz w:val="24"/>
          <w:szCs w:val="24"/>
          <w:highlight w:val="none"/>
          <w:lang w:val="en-US" w:eastAsia="zh-CN"/>
        </w:rPr>
        <w:t>及人工湿地建设</w:t>
      </w:r>
      <w:r>
        <w:rPr>
          <w:rFonts w:hint="default" w:ascii="Times New Roman" w:hAnsi="Times New Roman" w:eastAsia="宋体" w:cs="Times New Roman"/>
          <w:caps w:val="0"/>
          <w:smallCaps w:val="0"/>
          <w:color w:val="auto"/>
          <w:spacing w:val="0"/>
          <w:w w:val="100"/>
          <w:kern w:val="0"/>
          <w:sz w:val="24"/>
          <w:szCs w:val="24"/>
          <w:highlight w:val="none"/>
          <w:lang w:val="en-US" w:eastAsia="zh-CN"/>
        </w:rPr>
        <w:t>等施工对</w:t>
      </w:r>
      <w:r>
        <w:rPr>
          <w:rFonts w:hint="eastAsia" w:ascii="Times New Roman" w:hAnsi="Times New Roman" w:eastAsia="宋体" w:cs="Times New Roman"/>
          <w:caps w:val="0"/>
          <w:smallCaps w:val="0"/>
          <w:color w:val="auto"/>
          <w:spacing w:val="0"/>
          <w:w w:val="100"/>
          <w:kern w:val="0"/>
          <w:sz w:val="24"/>
          <w:szCs w:val="24"/>
          <w:highlight w:val="none"/>
          <w:lang w:val="en-US" w:eastAsia="zh-CN"/>
        </w:rPr>
        <w:t>周围</w:t>
      </w:r>
      <w:r>
        <w:rPr>
          <w:rFonts w:hint="default" w:ascii="Times New Roman" w:hAnsi="Times New Roman" w:eastAsia="宋体" w:cs="Times New Roman"/>
          <w:caps w:val="0"/>
          <w:smallCaps w:val="0"/>
          <w:color w:val="auto"/>
          <w:spacing w:val="0"/>
          <w:w w:val="100"/>
          <w:kern w:val="0"/>
          <w:sz w:val="24"/>
          <w:szCs w:val="24"/>
          <w:highlight w:val="none"/>
          <w:lang w:val="en-US" w:eastAsia="zh-CN"/>
        </w:rPr>
        <w:t>大气、</w:t>
      </w:r>
      <w:r>
        <w:rPr>
          <w:rFonts w:hint="eastAsia" w:ascii="Times New Roman" w:hAnsi="Times New Roman" w:eastAsia="宋体" w:cs="Times New Roman"/>
          <w:caps w:val="0"/>
          <w:smallCaps w:val="0"/>
          <w:color w:val="auto"/>
          <w:spacing w:val="0"/>
          <w:w w:val="100"/>
          <w:kern w:val="0"/>
          <w:sz w:val="24"/>
          <w:szCs w:val="24"/>
          <w:highlight w:val="none"/>
          <w:lang w:val="en-US" w:eastAsia="zh-CN"/>
        </w:rPr>
        <w:t>生态环境的影响，</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行为对生态、居民生活质量的影响，施工噪声对声环境的影响，施工扬尘对环境空气的影响较为严重。施工期对环境产生的不利影响多为可逆、短期、局部影响，绝大多数不利影响将随着工程施工活动的结束而消失。运营期对社会、自然和生态环境有积极的影响。</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2.3.2评价因子筛选</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根据本工程的影响特点，经筛选和识别，各评价要素的环境影响评价因子见</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下表</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表2.3-</w:t>
      </w:r>
      <w:r>
        <w:rPr>
          <w:rFonts w:hint="eastAsia" w:ascii="Times New Roman" w:hAnsi="Times New Roman" w:eastAsia="宋体" w:cs="Times New Roman"/>
          <w:b/>
          <w:bCs/>
          <w:color w:val="auto"/>
          <w:kern w:val="0"/>
          <w:sz w:val="24"/>
          <w:szCs w:val="24"/>
          <w:highlight w:val="none"/>
          <w:lang w:val="en-US" w:eastAsia="zh-CN" w:bidi="ar"/>
        </w:rPr>
        <w:t>2</w:t>
      </w:r>
      <w:r>
        <w:rPr>
          <w:rFonts w:hint="default" w:ascii="Times New Roman" w:hAnsi="Times New Roman" w:eastAsia="宋体" w:cs="Times New Roman"/>
          <w:b/>
          <w:bCs/>
          <w:color w:val="auto"/>
          <w:kern w:val="0"/>
          <w:sz w:val="24"/>
          <w:szCs w:val="24"/>
          <w:highlight w:val="none"/>
          <w:lang w:val="en-US" w:eastAsia="zh-CN" w:bidi="ar"/>
        </w:rPr>
        <w:t>项目评价因子筛选一览表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73"/>
        <w:gridCol w:w="995"/>
        <w:gridCol w:w="1255"/>
        <w:gridCol w:w="549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023"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评价因子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施工期</w:t>
            </w:r>
          </w:p>
        </w:tc>
        <w:tc>
          <w:tcPr>
            <w:tcW w:w="99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大气环境</w:t>
            </w: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现状评价</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PM</w:t>
            </w:r>
            <w:r>
              <w:rPr>
                <w:rFonts w:hint="default" w:ascii="Times New Roman" w:hAnsi="Times New Roman" w:cs="Times New Roman"/>
                <w:color w:val="auto"/>
                <w:sz w:val="21"/>
                <w:szCs w:val="21"/>
                <w:highlight w:val="none"/>
                <w:vertAlign w:val="subscript"/>
                <w:lang w:val="en-US" w:eastAsia="zh-CN"/>
              </w:rPr>
              <w:t>10</w:t>
            </w:r>
            <w:r>
              <w:rPr>
                <w:rFonts w:hint="default" w:ascii="Times New Roman" w:hAnsi="Times New Roman" w:cs="Times New Roman"/>
                <w:color w:val="auto"/>
                <w:sz w:val="21"/>
                <w:szCs w:val="21"/>
                <w:highlight w:val="none"/>
                <w:vertAlign w:val="baseline"/>
                <w:lang w:val="en-US" w:eastAsia="zh-CN"/>
              </w:rPr>
              <w:t>、PM</w:t>
            </w:r>
            <w:r>
              <w:rPr>
                <w:rFonts w:hint="default" w:ascii="Times New Roman" w:hAnsi="Times New Roman" w:cs="Times New Roman"/>
                <w:color w:val="auto"/>
                <w:sz w:val="21"/>
                <w:szCs w:val="21"/>
                <w:highlight w:val="none"/>
                <w:vertAlign w:val="subscript"/>
                <w:lang w:val="en-US" w:eastAsia="zh-CN"/>
              </w:rPr>
              <w:t>2.5</w:t>
            </w:r>
            <w:r>
              <w:rPr>
                <w:rFonts w:hint="default" w:ascii="Times New Roman" w:hAnsi="Times New Roman" w:cs="Times New Roman"/>
                <w:color w:val="auto"/>
                <w:sz w:val="21"/>
                <w:szCs w:val="21"/>
                <w:highlight w:val="none"/>
                <w:vertAlign w:val="baseline"/>
                <w:lang w:val="en-US" w:eastAsia="zh-CN"/>
              </w:rPr>
              <w:t>、SO2、NO2、CO、TSP、O3、</w:t>
            </w:r>
            <w:r>
              <w:rPr>
                <w:rFonts w:hint="eastAsia" w:ascii="Times New Roman" w:hAnsi="Times New Roman" w:cs="Times New Roman"/>
                <w:color w:val="auto"/>
                <w:sz w:val="21"/>
                <w:szCs w:val="21"/>
                <w:highlight w:val="none"/>
                <w:vertAlign w:val="baseline"/>
                <w:lang w:val="en-US" w:eastAsia="zh-CN"/>
              </w:rPr>
              <w:t>氨、硫化氢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污染源评价</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二氧化硫、</w:t>
            </w:r>
            <w:r>
              <w:rPr>
                <w:rFonts w:hint="default" w:ascii="Times New Roman" w:hAnsi="Times New Roman" w:cs="Times New Roman"/>
                <w:color w:val="auto"/>
                <w:sz w:val="21"/>
                <w:szCs w:val="21"/>
                <w:highlight w:val="none"/>
                <w:vertAlign w:val="baseline"/>
                <w:lang w:val="en-US" w:eastAsia="zh-CN"/>
              </w:rPr>
              <w:t>氮氧化物、颗粒物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影响分析</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二氧化硫、</w:t>
            </w:r>
            <w:r>
              <w:rPr>
                <w:rFonts w:hint="default" w:ascii="Times New Roman" w:hAnsi="Times New Roman" w:cs="Times New Roman"/>
                <w:color w:val="auto"/>
                <w:sz w:val="21"/>
                <w:szCs w:val="21"/>
                <w:highlight w:val="none"/>
                <w:vertAlign w:val="baseline"/>
                <w:lang w:val="en-US" w:eastAsia="zh-CN"/>
              </w:rPr>
              <w:t>氮氧化物、颗粒物</w:t>
            </w:r>
            <w:r>
              <w:rPr>
                <w:rFonts w:hint="eastAsia" w:ascii="Times New Roman" w:hAnsi="Times New Roman" w:cs="Times New Roman"/>
                <w:color w:val="auto"/>
                <w:sz w:val="21"/>
                <w:szCs w:val="21"/>
                <w:highlight w:val="none"/>
                <w:vertAlign w:val="baseline"/>
                <w:lang w:val="en-US" w:eastAsia="zh-CN"/>
              </w:rPr>
              <w:t>、饮食油烟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地表水环境</w:t>
            </w: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现状评价</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pH、溶解氧、高锰酸盐指数、CODCr、BOD5、氨氮、总磷(以P计)、总氮、铜、锌、氟化物、硒、砷、汞、镉、六价铬、铅、氰化物、挥发酚、石油类、阴离子表面活性剂、硫化物、粪大肠菌群、叶绿素a、透明度、水温、流量、水位、水面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污染源评价</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COD、高锰酸盐指数、氨氮和总磷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影响分析</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COD、氨氮、总氮和总磷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地下水环境</w:t>
            </w: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现状评价</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K+、Na+、Ca</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vertAlign w:val="baseline"/>
                <w:lang w:val="en-US" w:eastAsia="zh-CN"/>
              </w:rPr>
              <w:t>、Mg</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vertAlign w:val="baseline"/>
                <w:lang w:val="en-US" w:eastAsia="zh-CN"/>
              </w:rPr>
              <w:t>、CO32-、HCO3-、Cl-、SO</w:t>
            </w:r>
            <w:r>
              <w:rPr>
                <w:rFonts w:hint="default" w:ascii="Times New Roman" w:hAnsi="Times New Roman" w:cs="Times New Roman"/>
                <w:color w:val="auto"/>
                <w:sz w:val="21"/>
                <w:szCs w:val="21"/>
                <w:highlight w:val="none"/>
                <w:vertAlign w:val="subscript"/>
                <w:lang w:val="en-US" w:eastAsia="zh-CN"/>
              </w:rPr>
              <w:t>4</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vertAlign w:val="baseline"/>
                <w:lang w:val="en-US" w:eastAsia="zh-CN"/>
              </w:rPr>
              <w:t>、pH值、氨氮、硝酸盐、亚硝酸盐、挥发性酚类、氟化物、氰化物、砷、汞、六价铬、总硬度、铅、镉、铁、锰、溶解性总固体、</w:t>
            </w:r>
            <w:r>
              <w:rPr>
                <w:rFonts w:hint="eastAsia" w:ascii="Times New Roman" w:hAnsi="Times New Roman" w:cs="Times New Roman"/>
                <w:color w:val="auto"/>
                <w:sz w:val="21"/>
                <w:szCs w:val="21"/>
                <w:highlight w:val="none"/>
                <w:vertAlign w:val="baseline"/>
                <w:lang w:val="en-US" w:eastAsia="zh-CN"/>
              </w:rPr>
              <w:t>高锰酸盐指数、硫酸盐、氯化物、</w:t>
            </w:r>
            <w:r>
              <w:rPr>
                <w:rFonts w:hint="default" w:ascii="Times New Roman" w:hAnsi="Times New Roman" w:cs="Times New Roman"/>
                <w:color w:val="auto"/>
                <w:sz w:val="21"/>
                <w:szCs w:val="21"/>
                <w:highlight w:val="none"/>
                <w:vertAlign w:val="baseline"/>
                <w:lang w:val="en-US" w:eastAsia="zh-CN"/>
              </w:rPr>
              <w:t>总大肠菌群、</w:t>
            </w:r>
            <w:r>
              <w:rPr>
                <w:rFonts w:hint="eastAsia" w:ascii="Times New Roman" w:hAnsi="Times New Roman" w:cs="Times New Roman"/>
                <w:color w:val="auto"/>
                <w:sz w:val="21"/>
                <w:szCs w:val="21"/>
                <w:highlight w:val="none"/>
                <w:vertAlign w:val="baseline"/>
                <w:lang w:val="en-US" w:eastAsia="zh-CN"/>
              </w:rPr>
              <w:t>细菌总数、</w:t>
            </w:r>
            <w:r>
              <w:rPr>
                <w:rFonts w:hint="default" w:ascii="Times New Roman" w:hAnsi="Times New Roman" w:cs="Times New Roman"/>
                <w:color w:val="auto"/>
                <w:sz w:val="21"/>
                <w:szCs w:val="21"/>
                <w:highlight w:val="none"/>
                <w:vertAlign w:val="baseline"/>
                <w:lang w:val="en-US" w:eastAsia="zh-CN"/>
              </w:rPr>
              <w:t>石油类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污染源</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影响分析</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声环境</w:t>
            </w: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现状评价</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等效连续A声级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污染源评价</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A声功率级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影响分析</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等效连续A声级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固体废物</w:t>
            </w: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污染源评价</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建筑垃圾、生活垃圾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影响分析</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建筑垃圾、生活垃圾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土壤</w:t>
            </w: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污染源评价</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pH、Cd、Hg、As、Pb、Cr（六价）、Cu、Ni、苯、甲苯、乙苯、氯苯、苯乙烯、间二甲苯+对二甲苯、邻二甲苯、氯乙烯、1,2-二氯苯、1,4-二氯苯、四氯化碳、氯仿、氯甲烷、1,1-二氯乙烷、1,2-二氯乙烷、1,1-二氯乙烯、顺-1,2-二氯乙烯、反-1,2-二氯乙烯、二氯甲烷、1,2-二氯丙烷、1,1,1,2-四氯乙烷、1,1,2,2-四氯乙烷、四氯乙烯、1,1,1-三氯乙烷、1,1,2-三氯乙烷、三氯乙烯、1,2,3- 三氯丙烷、硝基苯、苯胺、2-氯酚、䓛、萘、苯并（a）蒽、苯并（b）荧蒽、苯并（k）荧蒽、苯并(a)芘、茚并（1，2，3-cd）芘、二苯并（a,h）蒽、石油烃（C</w:t>
            </w:r>
            <w:r>
              <w:rPr>
                <w:rFonts w:hint="default" w:ascii="Times New Roman" w:hAnsi="Times New Roman" w:cs="Times New Roman"/>
                <w:color w:val="auto"/>
                <w:sz w:val="21"/>
                <w:szCs w:val="21"/>
                <w:highlight w:val="none"/>
                <w:vertAlign w:val="subscript"/>
                <w:lang w:val="en-US" w:eastAsia="zh-CN"/>
              </w:rPr>
              <w:t>10</w:t>
            </w:r>
            <w:r>
              <w:rPr>
                <w:rFonts w:hint="default" w:ascii="Times New Roman" w:hAnsi="Times New Roman" w:cs="Times New Roman"/>
                <w:color w:val="auto"/>
                <w:sz w:val="21"/>
                <w:szCs w:val="21"/>
                <w:highlight w:val="none"/>
                <w:vertAlign w:val="baseline"/>
                <w:lang w:val="en-US" w:eastAsia="zh-CN"/>
              </w:rPr>
              <w:t>-C</w:t>
            </w:r>
            <w:r>
              <w:rPr>
                <w:rFonts w:hint="default" w:ascii="Times New Roman" w:hAnsi="Times New Roman" w:cs="Times New Roman"/>
                <w:color w:val="auto"/>
                <w:sz w:val="21"/>
                <w:szCs w:val="21"/>
                <w:highlight w:val="none"/>
                <w:vertAlign w:val="subscript"/>
                <w:lang w:val="en-US" w:eastAsia="zh-CN"/>
              </w:rPr>
              <w:t>40</w:t>
            </w:r>
            <w:r>
              <w:rPr>
                <w:rFonts w:hint="default"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影响分析</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pH、石油烃（C10-C40）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生态环境</w:t>
            </w: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现状调查</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物种、</w:t>
            </w:r>
            <w:r>
              <w:rPr>
                <w:rFonts w:hint="eastAsia" w:ascii="Times New Roman" w:hAnsi="Times New Roman" w:cs="Times New Roman"/>
                <w:smallCaps w:val="0"/>
                <w:color w:val="auto"/>
                <w:spacing w:val="0"/>
                <w:w w:val="100"/>
                <w:sz w:val="21"/>
                <w:szCs w:val="21"/>
                <w:highlight w:val="none"/>
                <w:lang w:val="en-US" w:eastAsia="zh-CN"/>
              </w:rPr>
              <w:t>生境、生物群落、生态系统、生物多样性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89" w:hRule="atLeast"/>
        </w:trPr>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影响分析</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smallCaps w:val="0"/>
                <w:color w:val="auto"/>
                <w:spacing w:val="0"/>
                <w:w w:val="100"/>
                <w:sz w:val="21"/>
                <w:szCs w:val="21"/>
                <w:highlight w:val="none"/>
                <w:lang w:val="en-US" w:eastAsia="zh-CN"/>
              </w:rPr>
              <w:t>生物群落、生态系统、生物多样性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运行期</w:t>
            </w:r>
          </w:p>
        </w:tc>
        <w:tc>
          <w:tcPr>
            <w:tcW w:w="9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生态环境</w:t>
            </w: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影响分析</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生物植被、生态完整性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声环境</w:t>
            </w: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影响分析</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等效连续A声级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固体废物</w:t>
            </w: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影响分析</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生活垃圾、植物废弃物</w:t>
            </w:r>
            <w:r>
              <w:rPr>
                <w:rFonts w:hint="eastAsia" w:ascii="Times New Roman" w:hAnsi="Times New Roman" w:cs="Times New Roman"/>
                <w:color w:val="auto"/>
                <w:sz w:val="21"/>
                <w:szCs w:val="21"/>
                <w:highlight w:val="none"/>
                <w:vertAlign w:val="baseline"/>
                <w:lang w:val="en-US" w:eastAsia="zh-CN"/>
              </w:rPr>
              <w:t>、锅炉灰渣、除尘器收集沉渣</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地表水环境</w:t>
            </w:r>
          </w:p>
        </w:tc>
        <w:tc>
          <w:tcPr>
            <w:tcW w:w="125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影响分析</w:t>
            </w:r>
          </w:p>
        </w:tc>
        <w:tc>
          <w:tcPr>
            <w:tcW w:w="54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生活污水、锅炉排污水</w:t>
            </w:r>
          </w:p>
        </w:tc>
      </w:tr>
    </w:tbl>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21" w:name="_Toc24452"/>
      <w:r>
        <w:rPr>
          <w:rFonts w:hint="default" w:ascii="Times New Roman" w:hAnsi="Times New Roman" w:eastAsia="宋体" w:cs="Times New Roman"/>
          <w:snapToGrid/>
          <w:color w:val="auto"/>
          <w:sz w:val="32"/>
          <w:highlight w:val="none"/>
          <w:lang w:val="en-US" w:eastAsia="zh-CN" w:bidi="ar-SA"/>
        </w:rPr>
        <w:t>2.</w:t>
      </w:r>
      <w:r>
        <w:rPr>
          <w:rFonts w:hint="eastAsia" w:ascii="Times New Roman" w:hAnsi="Times New Roman" w:eastAsia="宋体" w:cs="Times New Roman"/>
          <w:snapToGrid/>
          <w:color w:val="auto"/>
          <w:sz w:val="32"/>
          <w:highlight w:val="none"/>
          <w:lang w:val="en-US" w:eastAsia="zh-CN" w:bidi="ar-SA"/>
        </w:rPr>
        <w:t>4</w:t>
      </w:r>
      <w:r>
        <w:rPr>
          <w:rFonts w:hint="default" w:ascii="Times New Roman" w:hAnsi="Times New Roman" w:eastAsia="宋体" w:cs="Times New Roman"/>
          <w:snapToGrid/>
          <w:color w:val="auto"/>
          <w:sz w:val="32"/>
          <w:highlight w:val="none"/>
          <w:lang w:val="en-US" w:eastAsia="zh-CN" w:bidi="ar-SA"/>
        </w:rPr>
        <w:t>评价内容与重点</w:t>
      </w:r>
      <w:bookmarkEnd w:id="21"/>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根据工程特点及周围环境特征，确定本次评价内容和评价重点列于表2.4-1</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表2.4-1评价内容及重点</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92"/>
        <w:gridCol w:w="2332"/>
        <w:gridCol w:w="3608"/>
        <w:gridCol w:w="148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2"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序号</w:t>
            </w:r>
          </w:p>
        </w:tc>
        <w:tc>
          <w:tcPr>
            <w:tcW w:w="2332"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w:t>
            </w:r>
          </w:p>
        </w:tc>
        <w:tc>
          <w:tcPr>
            <w:tcW w:w="360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评价内容</w:t>
            </w:r>
          </w:p>
        </w:tc>
        <w:tc>
          <w:tcPr>
            <w:tcW w:w="1484"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评价重点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233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概述</w:t>
            </w:r>
          </w:p>
        </w:tc>
        <w:tc>
          <w:tcPr>
            <w:tcW w:w="3608"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简述项目由来、项目特点、评价过程、分析判定相关情况、关注的主要环境问题及环境影响评价结论</w:t>
            </w:r>
          </w:p>
        </w:tc>
        <w:tc>
          <w:tcPr>
            <w:tcW w:w="14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w:t>
            </w:r>
          </w:p>
        </w:tc>
        <w:tc>
          <w:tcPr>
            <w:tcW w:w="233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总则</w:t>
            </w:r>
          </w:p>
        </w:tc>
        <w:tc>
          <w:tcPr>
            <w:tcW w:w="3608"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编制依据、评价等级、评价范围、评价标准、环境保护目标与保护等级、线路走向方案比选</w:t>
            </w:r>
          </w:p>
        </w:tc>
        <w:tc>
          <w:tcPr>
            <w:tcW w:w="14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w:t>
            </w:r>
          </w:p>
        </w:tc>
        <w:tc>
          <w:tcPr>
            <w:tcW w:w="233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建设项目工程分析</w:t>
            </w:r>
          </w:p>
        </w:tc>
        <w:tc>
          <w:tcPr>
            <w:tcW w:w="3608"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项目概况、施工及运营施工工艺、污染源环保措施</w:t>
            </w:r>
          </w:p>
        </w:tc>
        <w:tc>
          <w:tcPr>
            <w:tcW w:w="14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ascii="Times New Roman" w:hAnsi="Times New Roman" w:eastAsia="Times New Roman" w:cs="Times New Roman"/>
                <w:color w:val="auto"/>
                <w:position w:val="-1"/>
                <w:sz w:val="20"/>
                <w:szCs w:val="20"/>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w:t>
            </w:r>
          </w:p>
        </w:tc>
        <w:tc>
          <w:tcPr>
            <w:tcW w:w="233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环境现状调查与评价</w:t>
            </w:r>
          </w:p>
        </w:tc>
        <w:tc>
          <w:tcPr>
            <w:tcW w:w="3608"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自然环境现状调查与评价、环境保护目标</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环境空气、地表水、地下水、声环境、土壤环境、生态环境</w:t>
            </w:r>
            <w:r>
              <w:rPr>
                <w:rFonts w:hint="eastAsia" w:ascii="Times New Roman" w:hAnsi="Times New Roman" w:cs="Times New Roman"/>
                <w:color w:val="auto"/>
                <w:sz w:val="21"/>
                <w:szCs w:val="21"/>
                <w:highlight w:val="none"/>
                <w:vertAlign w:val="baseline"/>
                <w:lang w:val="en-US" w:eastAsia="zh-CN"/>
              </w:rPr>
              <w:t>）</w:t>
            </w:r>
          </w:p>
        </w:tc>
        <w:tc>
          <w:tcPr>
            <w:tcW w:w="14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w:t>
            </w:r>
          </w:p>
        </w:tc>
        <w:tc>
          <w:tcPr>
            <w:tcW w:w="233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环境影响预测与评价</w:t>
            </w:r>
          </w:p>
        </w:tc>
        <w:tc>
          <w:tcPr>
            <w:tcW w:w="3608"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施工期环境空气、地表水、地下水、噪声、固废、</w:t>
            </w:r>
            <w:r>
              <w:rPr>
                <w:rFonts w:hint="eastAsia" w:ascii="Times New Roman" w:hAnsi="Times New Roman" w:cs="Times New Roman"/>
                <w:color w:val="auto"/>
                <w:sz w:val="21"/>
                <w:szCs w:val="21"/>
                <w:highlight w:val="none"/>
                <w:vertAlign w:val="baseline"/>
                <w:lang w:val="en-US" w:eastAsia="zh-CN"/>
              </w:rPr>
              <w:t>土壤、</w:t>
            </w:r>
            <w:r>
              <w:rPr>
                <w:rFonts w:hint="default" w:ascii="Times New Roman" w:hAnsi="Times New Roman" w:cs="Times New Roman"/>
                <w:color w:val="auto"/>
                <w:sz w:val="21"/>
                <w:szCs w:val="21"/>
                <w:highlight w:val="none"/>
                <w:vertAlign w:val="baseline"/>
                <w:lang w:val="en-US" w:eastAsia="zh-CN"/>
              </w:rPr>
              <w:t>生态影响；运</w:t>
            </w:r>
            <w:r>
              <w:rPr>
                <w:rFonts w:hint="eastAsia" w:ascii="Times New Roman" w:hAnsi="Times New Roman" w:cs="Times New Roman"/>
                <w:color w:val="auto"/>
                <w:sz w:val="21"/>
                <w:szCs w:val="21"/>
                <w:highlight w:val="none"/>
                <w:vertAlign w:val="baseline"/>
                <w:lang w:val="en-US" w:eastAsia="zh-CN"/>
              </w:rPr>
              <w:t>行</w:t>
            </w:r>
            <w:r>
              <w:rPr>
                <w:rFonts w:hint="default" w:ascii="Times New Roman" w:hAnsi="Times New Roman" w:cs="Times New Roman"/>
                <w:color w:val="auto"/>
                <w:sz w:val="21"/>
                <w:szCs w:val="21"/>
                <w:highlight w:val="none"/>
                <w:vertAlign w:val="baseline"/>
                <w:lang w:val="en-US" w:eastAsia="zh-CN"/>
              </w:rPr>
              <w:t>期环境空气、地表水、地下水、噪声、固废、生态影响</w:t>
            </w:r>
          </w:p>
        </w:tc>
        <w:tc>
          <w:tcPr>
            <w:tcW w:w="14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ascii="Times New Roman" w:hAnsi="Times New Roman" w:eastAsia="Times New Roman" w:cs="Times New Roman"/>
                <w:color w:val="auto"/>
                <w:position w:val="-1"/>
                <w:sz w:val="20"/>
                <w:szCs w:val="20"/>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w:t>
            </w:r>
          </w:p>
        </w:tc>
        <w:tc>
          <w:tcPr>
            <w:tcW w:w="233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环境保护措施及其可行性论证</w:t>
            </w:r>
          </w:p>
        </w:tc>
        <w:tc>
          <w:tcPr>
            <w:tcW w:w="3608"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施工期采取的废气、废水、噪声防治措施的可行性</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固废处理处置措施</w:t>
            </w:r>
            <w:r>
              <w:rPr>
                <w:rFonts w:hint="eastAsia" w:ascii="Times New Roman" w:hAnsi="Times New Roman" w:cs="Times New Roman"/>
                <w:color w:val="auto"/>
                <w:sz w:val="21"/>
                <w:szCs w:val="21"/>
                <w:highlight w:val="none"/>
                <w:vertAlign w:val="baseline"/>
                <w:lang w:val="en-US" w:eastAsia="zh-CN"/>
              </w:rPr>
              <w:t>及水土保持措施的</w:t>
            </w:r>
            <w:r>
              <w:rPr>
                <w:rFonts w:hint="default" w:ascii="Times New Roman" w:hAnsi="Times New Roman" w:cs="Times New Roman"/>
                <w:color w:val="auto"/>
                <w:sz w:val="21"/>
                <w:szCs w:val="21"/>
                <w:highlight w:val="none"/>
                <w:vertAlign w:val="baseline"/>
                <w:lang w:val="en-US" w:eastAsia="zh-CN"/>
              </w:rPr>
              <w:t>可行性</w:t>
            </w:r>
          </w:p>
        </w:tc>
        <w:tc>
          <w:tcPr>
            <w:tcW w:w="14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ascii="Times New Roman" w:hAnsi="Times New Roman" w:eastAsia="Times New Roman" w:cs="Times New Roman"/>
                <w:color w:val="auto"/>
                <w:position w:val="-1"/>
                <w:sz w:val="20"/>
                <w:szCs w:val="20"/>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233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环境影响经济损益分析</w:t>
            </w:r>
          </w:p>
        </w:tc>
        <w:tc>
          <w:tcPr>
            <w:tcW w:w="360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分析社会效益、经济效益和环境效益</w:t>
            </w:r>
          </w:p>
        </w:tc>
        <w:tc>
          <w:tcPr>
            <w:tcW w:w="14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w:t>
            </w:r>
          </w:p>
        </w:tc>
        <w:tc>
          <w:tcPr>
            <w:tcW w:w="233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环境管理与监测计划</w:t>
            </w:r>
          </w:p>
        </w:tc>
        <w:tc>
          <w:tcPr>
            <w:tcW w:w="360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提出环境管理和环境监测计划建议，列出“三同时”验收一览表</w:t>
            </w:r>
          </w:p>
        </w:tc>
        <w:tc>
          <w:tcPr>
            <w:tcW w:w="14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w:t>
            </w:r>
          </w:p>
        </w:tc>
        <w:tc>
          <w:tcPr>
            <w:tcW w:w="233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环境影响评价结论</w:t>
            </w:r>
          </w:p>
        </w:tc>
        <w:tc>
          <w:tcPr>
            <w:tcW w:w="360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给出结论与建议</w:t>
            </w:r>
          </w:p>
        </w:tc>
        <w:tc>
          <w:tcPr>
            <w:tcW w:w="14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bl>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color w:val="auto"/>
          <w:sz w:val="32"/>
          <w:highlight w:val="none"/>
          <w:lang w:val="en-US" w:eastAsia="zh-CN" w:bidi="ar-SA"/>
        </w:rPr>
      </w:pPr>
      <w:bookmarkStart w:id="22" w:name="_Toc30972"/>
      <w:r>
        <w:rPr>
          <w:rFonts w:hint="default" w:ascii="Times New Roman" w:hAnsi="Times New Roman" w:eastAsia="宋体" w:cs="Times New Roman"/>
          <w:snapToGrid/>
          <w:color w:val="auto"/>
          <w:sz w:val="32"/>
          <w:highlight w:val="none"/>
          <w:lang w:val="en-US" w:eastAsia="zh-CN" w:bidi="ar-SA"/>
        </w:rPr>
        <w:t>2.</w:t>
      </w:r>
      <w:r>
        <w:rPr>
          <w:rFonts w:hint="eastAsia" w:ascii="Times New Roman" w:hAnsi="Times New Roman" w:eastAsia="宋体" w:cs="Times New Roman"/>
          <w:snapToGrid/>
          <w:color w:val="auto"/>
          <w:sz w:val="32"/>
          <w:highlight w:val="none"/>
          <w:lang w:val="en-US" w:eastAsia="zh-CN" w:bidi="ar-SA"/>
        </w:rPr>
        <w:t>5环境功能区划与评价标准</w:t>
      </w:r>
      <w:bookmarkEnd w:id="22"/>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2.5.1环境功能区划</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（1）大气环境</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大庆市人民政府关于印发大庆市声环境功能区划分、大庆市环境空气质量功能区划分、大庆市地表水环境功能区划分的通知》及《环境空气质量标准》（GB3095-2012）的规定，本项目位于大同区大同镇境内，项目所在区域环境空气功能区为二类区。</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（2）地表水环境</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大庆市人民政府关于印发大庆市声环境功能区划分、大庆市环境空气质量功能区划分、大庆市地表水环境功能区划分的通知》及《环境空气质量标准》（GB3095-2012）的规定，本项目属位于大同区安肇新河入库里泡排口上游左侧岸边处，项目所在区域地表水体水域功能《地表水环境质量》（GB3838-2002）Ⅴ类。</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）地下水环境：评价区域地下水使用功能为工农业用水及生活饮用水，地下水环境质量执行《地下水质量标准》（GB/T14848-2017）中的III类标准。</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）声环境：根据《大庆市人民政府关于印发大庆市声环境功能区划分、大庆市环境空气质量功能区划分、大庆市地表水环境功能区划分的通知》（庆政发〔2019〕11号，2019年10月17日），本</w:t>
      </w: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w:t>
      </w:r>
      <w:r>
        <w:rPr>
          <w:rFonts w:hint="default" w:ascii="Times New Roman" w:hAnsi="Times New Roman" w:eastAsia="宋体" w:cs="Times New Roman"/>
          <w:caps w:val="0"/>
          <w:smallCaps w:val="0"/>
          <w:color w:val="auto"/>
          <w:spacing w:val="0"/>
          <w:w w:val="100"/>
          <w:kern w:val="0"/>
          <w:sz w:val="24"/>
          <w:szCs w:val="24"/>
          <w:highlight w:val="none"/>
          <w:lang w:val="en-US" w:eastAsia="zh-CN"/>
        </w:rPr>
        <w:t>所在区域未划分功能区划，声环境执行《声环境质量标准》（GB3095-2012）2类区标准。</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）土壤环境：项目所在地土壤及河道底泥环境质量标准执行《土壤环境质量—建设用地土壤污染风险管控标准（试行）》（GB36600-2018）第二类用地筛选标准。</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2.5.2环境质量标准</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（1）环境空气质量标准</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评价区内区域环境空气评价执行《环境空气质量标准》（GB3095-2012）中的二级标准；</w:t>
      </w:r>
      <w:r>
        <w:rPr>
          <w:rFonts w:hint="eastAsia" w:ascii="Times New Roman" w:hAnsi="Times New Roman" w:eastAsia="宋体" w:cs="Times New Roman"/>
          <w:caps w:val="0"/>
          <w:smallCaps w:val="0"/>
          <w:color w:val="auto"/>
          <w:spacing w:val="0"/>
          <w:w w:val="100"/>
          <w:kern w:val="0"/>
          <w:sz w:val="24"/>
          <w:szCs w:val="24"/>
          <w:highlight w:val="none"/>
          <w:lang w:val="en-US" w:eastAsia="zh-CN"/>
        </w:rPr>
        <w:t>氨及硫化氢执行《环境影响评价技术导则 大气环境》（HI2.2-2018）附录D中小时值限值</w:t>
      </w:r>
      <w:r>
        <w:rPr>
          <w:rFonts w:hint="default" w:ascii="Times New Roman" w:hAnsi="Times New Roman" w:eastAsia="宋体" w:cs="Times New Roman"/>
          <w:caps w:val="0"/>
          <w:smallCaps w:val="0"/>
          <w:color w:val="auto"/>
          <w:spacing w:val="0"/>
          <w:w w:val="100"/>
          <w:kern w:val="0"/>
          <w:sz w:val="24"/>
          <w:szCs w:val="24"/>
          <w:highlight w:val="none"/>
          <w:lang w:val="en-US" w:eastAsia="zh-CN"/>
        </w:rPr>
        <w:t>标准</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-1环境空气质量标准</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14"/>
        <w:gridCol w:w="3563"/>
        <w:gridCol w:w="28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污染物名称</w:t>
            </w:r>
          </w:p>
        </w:tc>
        <w:tc>
          <w:tcPr>
            <w:tcW w:w="35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取值时间</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标准值（μg/m3）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21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二氧化硫（SO2）</w:t>
            </w:r>
          </w:p>
        </w:tc>
        <w:tc>
          <w:tcPr>
            <w:tcW w:w="35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年平均</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二氧化氮（NO2）</w:t>
            </w:r>
          </w:p>
        </w:tc>
        <w:tc>
          <w:tcPr>
            <w:tcW w:w="35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年平均</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颗粒物PM10</w:t>
            </w:r>
          </w:p>
        </w:tc>
        <w:tc>
          <w:tcPr>
            <w:tcW w:w="35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年平均</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颗粒物PM2.5</w:t>
            </w:r>
          </w:p>
        </w:tc>
        <w:tc>
          <w:tcPr>
            <w:tcW w:w="35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年平均</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臭氧（O3）</w:t>
            </w:r>
          </w:p>
        </w:tc>
        <w:tc>
          <w:tcPr>
            <w:tcW w:w="35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日最大8小时平均</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一氧化碳（CO）</w:t>
            </w:r>
          </w:p>
        </w:tc>
        <w:tc>
          <w:tcPr>
            <w:tcW w:w="35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24小时平均</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氨</w:t>
            </w:r>
          </w:p>
        </w:tc>
        <w:tc>
          <w:tcPr>
            <w:tcW w:w="35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1小时平均</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硫化氢</w:t>
            </w:r>
          </w:p>
        </w:tc>
        <w:tc>
          <w:tcPr>
            <w:tcW w:w="356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1小时平均</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w:t>
            </w:r>
          </w:p>
        </w:tc>
      </w:tr>
    </w:tbl>
    <w:p>
      <w:pPr>
        <w:keepNext w:val="0"/>
        <w:keepLines w:val="0"/>
        <w:widowControl/>
        <w:suppressLineNumbers w:val="0"/>
        <w:spacing w:line="360" w:lineRule="auto"/>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2</w:t>
      </w:r>
      <w:r>
        <w:rPr>
          <w:rFonts w:hint="default" w:ascii="Times New Roman" w:hAnsi="Times New Roman" w:eastAsia="宋体" w:cs="Times New Roman"/>
          <w:color w:val="auto"/>
          <w:kern w:val="0"/>
          <w:sz w:val="24"/>
          <w:szCs w:val="24"/>
          <w:highlight w:val="none"/>
          <w:lang w:val="en-US" w:eastAsia="zh-CN" w:bidi="ar"/>
        </w:rPr>
        <w:t>）地</w:t>
      </w:r>
      <w:r>
        <w:rPr>
          <w:rFonts w:hint="eastAsia" w:ascii="Times New Roman" w:hAnsi="Times New Roman" w:eastAsia="宋体" w:cs="Times New Roman"/>
          <w:color w:val="auto"/>
          <w:kern w:val="0"/>
          <w:sz w:val="24"/>
          <w:szCs w:val="24"/>
          <w:highlight w:val="none"/>
          <w:lang w:val="en-US" w:eastAsia="zh-CN" w:bidi="ar"/>
        </w:rPr>
        <w:t>表</w:t>
      </w:r>
      <w:r>
        <w:rPr>
          <w:rFonts w:hint="default" w:ascii="Times New Roman" w:hAnsi="Times New Roman" w:eastAsia="宋体" w:cs="Times New Roman"/>
          <w:color w:val="auto"/>
          <w:kern w:val="0"/>
          <w:sz w:val="24"/>
          <w:szCs w:val="24"/>
          <w:highlight w:val="none"/>
          <w:lang w:val="en-US" w:eastAsia="zh-CN" w:bidi="ar"/>
        </w:rPr>
        <w:t>水</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区域地表水体执行《地表水环境质量》（GB3838-2002）Ⅴ类标准。</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2地表水</w:t>
      </w:r>
      <w:r>
        <w:rPr>
          <w:rFonts w:hint="default" w:ascii="Times New Roman" w:hAnsi="Times New Roman" w:eastAsia="宋体" w:cs="Times New Roman"/>
          <w:b/>
          <w:bCs/>
          <w:color w:val="auto"/>
          <w:kern w:val="0"/>
          <w:sz w:val="24"/>
          <w:szCs w:val="24"/>
          <w:highlight w:val="none"/>
          <w:lang w:val="en-US" w:eastAsia="zh-CN" w:bidi="ar"/>
        </w:rPr>
        <w:t>质量标准</w:t>
      </w:r>
    </w:p>
    <w:tbl>
      <w:tblPr>
        <w:tblStyle w:val="13"/>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48"/>
        <w:gridCol w:w="2154"/>
        <w:gridCol w:w="1703"/>
        <w:gridCol w:w="1703"/>
        <w:gridCol w:w="17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序号</w:t>
            </w:r>
          </w:p>
        </w:tc>
        <w:tc>
          <w:tcPr>
            <w:tcW w:w="1265"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w:t>
            </w:r>
          </w:p>
        </w:tc>
        <w:tc>
          <w:tcPr>
            <w:tcW w:w="1000" w:type="pct"/>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单位</w:t>
            </w:r>
          </w:p>
        </w:tc>
        <w:tc>
          <w:tcPr>
            <w:tcW w:w="1000" w:type="pct"/>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Ⅲ类</w:t>
            </w:r>
          </w:p>
        </w:tc>
        <w:tc>
          <w:tcPr>
            <w:tcW w:w="1000" w:type="pct"/>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Ⅴ类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1265" w:type="pct"/>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ascii="Times New Roman" w:hAnsi="Times New Roman"/>
                <w:color w:val="auto"/>
                <w:sz w:val="21"/>
                <w:szCs w:val="21"/>
                <w:highlight w:val="none"/>
              </w:rPr>
              <w:t>pH</w:t>
            </w:r>
          </w:p>
        </w:tc>
        <w:tc>
          <w:tcPr>
            <w:tcW w:w="1000" w:type="pct"/>
            <w:tcBorders>
              <w:tl2br w:val="nil"/>
              <w:tr2bl w:val="nil"/>
            </w:tcBorders>
          </w:tcPr>
          <w:p>
            <w:pPr>
              <w:jc w:val="center"/>
              <w:rPr>
                <w:rFonts w:ascii="Times New Roman" w:hAnsi="Times New Roman"/>
                <w:color w:val="auto"/>
                <w:sz w:val="21"/>
                <w:szCs w:val="21"/>
                <w:highlight w:val="none"/>
              </w:rPr>
            </w:pPr>
            <w:r>
              <w:rPr>
                <w:rFonts w:hint="eastAsia" w:ascii="Times New Roman" w:hAnsi="Times New Roman"/>
                <w:color w:val="auto"/>
                <w:sz w:val="21"/>
                <w:szCs w:val="21"/>
                <w:highlight w:val="none"/>
                <w:lang w:eastAsia="zh-CN"/>
              </w:rPr>
              <w:t>无量纲</w:t>
            </w:r>
          </w:p>
        </w:tc>
        <w:tc>
          <w:tcPr>
            <w:tcW w:w="1000" w:type="pct"/>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kern w:val="2"/>
                <w:sz w:val="21"/>
                <w:szCs w:val="24"/>
                <w:highlight w:val="none"/>
                <w:lang w:val="en-US" w:eastAsia="zh-CN" w:bidi="ar-SA"/>
              </w:rPr>
              <w:t>6-9</w:t>
            </w:r>
          </w:p>
        </w:tc>
        <w:tc>
          <w:tcPr>
            <w:tcW w:w="1000" w:type="pct"/>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kern w:val="2"/>
                <w:sz w:val="21"/>
                <w:szCs w:val="24"/>
                <w:highlight w:val="none"/>
                <w:lang w:val="en-US" w:eastAsia="zh-CN" w:bidi="ar-SA"/>
              </w:rPr>
              <w:t>6-9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w:t>
            </w:r>
          </w:p>
        </w:tc>
        <w:tc>
          <w:tcPr>
            <w:tcW w:w="1265" w:type="pct"/>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化学需氧量</w:t>
            </w:r>
          </w:p>
        </w:tc>
        <w:tc>
          <w:tcPr>
            <w:tcW w:w="1000" w:type="pct"/>
            <w:tcBorders>
              <w:tl2br w:val="nil"/>
              <w:tr2bl w:val="nil"/>
            </w:tcBorders>
            <w:vAlign w:val="center"/>
          </w:tcPr>
          <w:p>
            <w:pPr>
              <w:jc w:val="center"/>
              <w:rPr>
                <w:rFonts w:hint="eastAsia" w:ascii="Times New Roman" w:hAnsi="Times New Roman"/>
                <w:color w:val="auto"/>
                <w:sz w:val="21"/>
                <w:szCs w:val="21"/>
                <w:highlight w:val="none"/>
                <w:lang w:eastAsia="zh-CN"/>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≤20</w:t>
            </w:r>
          </w:p>
        </w:tc>
        <w:tc>
          <w:tcPr>
            <w:tcW w:w="1000" w:type="pct"/>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w:t>
            </w:r>
          </w:p>
        </w:tc>
        <w:tc>
          <w:tcPr>
            <w:tcW w:w="1265" w:type="pct"/>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ascii="Times New Roman" w:hAnsi="宋体"/>
                <w:color w:val="auto"/>
                <w:sz w:val="21"/>
                <w:szCs w:val="21"/>
                <w:highlight w:val="none"/>
              </w:rPr>
              <w:t>氨氮</w:t>
            </w:r>
          </w:p>
        </w:tc>
        <w:tc>
          <w:tcPr>
            <w:tcW w:w="1000" w:type="pct"/>
            <w:tcBorders>
              <w:tl2br w:val="nil"/>
              <w:tr2bl w:val="nil"/>
            </w:tcBorders>
            <w:vAlign w:val="center"/>
          </w:tcPr>
          <w:p>
            <w:pPr>
              <w:jc w:val="center"/>
              <w:rPr>
                <w:rFonts w:ascii="Times New Roman" w:hAnsi="宋体"/>
                <w:color w:val="auto"/>
                <w:sz w:val="21"/>
                <w:szCs w:val="21"/>
                <w:highlight w:val="none"/>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≤1</w:t>
            </w:r>
            <w:r>
              <w:rPr>
                <w:rFonts w:hint="eastAsia" w:ascii="Times New Roman" w:hAnsi="Times New Roman" w:cs="Times New Roman"/>
                <w:color w:val="auto"/>
                <w:kern w:val="2"/>
                <w:sz w:val="21"/>
                <w:szCs w:val="24"/>
                <w:highlight w:val="none"/>
                <w:lang w:val="en-US" w:eastAsia="zh-CN" w:bidi="ar-SA"/>
              </w:rPr>
              <w:t>.0</w:t>
            </w:r>
          </w:p>
        </w:tc>
        <w:tc>
          <w:tcPr>
            <w:tcW w:w="1000" w:type="pct"/>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kern w:val="2"/>
                <w:sz w:val="21"/>
                <w:szCs w:val="24"/>
                <w:highlight w:val="none"/>
                <w:lang w:val="en-US" w:eastAsia="zh-CN" w:bidi="ar-SA"/>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总磷</w:t>
            </w:r>
          </w:p>
        </w:tc>
        <w:tc>
          <w:tcPr>
            <w:tcW w:w="1000" w:type="pct"/>
            <w:tcBorders>
              <w:tl2br w:val="nil"/>
              <w:tr2bl w:val="nil"/>
            </w:tcBorders>
            <w:vAlign w:val="center"/>
          </w:tcPr>
          <w:p>
            <w:pPr>
              <w:spacing w:line="240" w:lineRule="auto"/>
              <w:jc w:val="center"/>
              <w:rPr>
                <w:rFonts w:hint="eastAsia" w:ascii="Times New Roman" w:hAnsi="Times New Roman"/>
                <w:color w:val="auto"/>
                <w:sz w:val="21"/>
                <w:szCs w:val="21"/>
                <w:highlight w:val="none"/>
                <w:lang w:eastAsia="zh-CN"/>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kern w:val="2"/>
                <w:sz w:val="21"/>
                <w:szCs w:val="24"/>
                <w:highlight w:val="none"/>
                <w:lang w:val="en-US" w:eastAsia="zh-CN" w:bidi="ar-SA"/>
              </w:rPr>
              <w:t>0.2（湖、库0.05）</w:t>
            </w:r>
          </w:p>
        </w:tc>
        <w:tc>
          <w:tcPr>
            <w:tcW w:w="1000" w:type="pct"/>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kern w:val="2"/>
                <w:sz w:val="21"/>
                <w:szCs w:val="24"/>
                <w:highlight w:val="none"/>
                <w:lang w:val="en-US" w:eastAsia="zh-CN" w:bidi="ar-SA"/>
              </w:rPr>
              <w:t>0.4（湖、库0.2）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总氮</w:t>
            </w:r>
          </w:p>
        </w:tc>
        <w:tc>
          <w:tcPr>
            <w:tcW w:w="1000" w:type="pct"/>
            <w:tcBorders>
              <w:tl2br w:val="nil"/>
              <w:tr2bl w:val="nil"/>
            </w:tcBorders>
            <w:vAlign w:val="center"/>
          </w:tcPr>
          <w:p>
            <w:pPr>
              <w:spacing w:line="240" w:lineRule="auto"/>
              <w:jc w:val="center"/>
              <w:rPr>
                <w:rFonts w:hint="eastAsia" w:ascii="Times New Roman" w:hAnsi="Times New Roman"/>
                <w:color w:val="auto"/>
                <w:sz w:val="21"/>
                <w:szCs w:val="21"/>
                <w:highlight w:val="none"/>
                <w:lang w:eastAsia="zh-CN"/>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3" w:name="_Toc25397"/>
            <w:bookmarkStart w:id="24" w:name="_Toc20101"/>
            <w:r>
              <w:rPr>
                <w:rFonts w:hint="eastAsia" w:ascii="Times New Roman" w:hAnsi="Times New Roman" w:cs="Times New Roman"/>
                <w:b w:val="0"/>
                <w:bCs w:val="0"/>
                <w:color w:val="auto"/>
                <w:kern w:val="2"/>
                <w:sz w:val="21"/>
                <w:szCs w:val="24"/>
                <w:highlight w:val="none"/>
                <w:lang w:val="en-US" w:eastAsia="zh-CN" w:bidi="ar-SA"/>
              </w:rPr>
              <w:t>≤1</w:t>
            </w:r>
            <w:r>
              <w:rPr>
                <w:rFonts w:hint="eastAsia" w:ascii="Times New Roman" w:hAnsi="Times New Roman" w:cs="Times New Roman"/>
                <w:color w:val="auto"/>
                <w:szCs w:val="21"/>
                <w:highlight w:val="none"/>
                <w:lang w:val="en-US" w:eastAsia="zh-CN"/>
              </w:rPr>
              <w:t>.0</w:t>
            </w:r>
            <w:bookmarkEnd w:id="23"/>
            <w:bookmarkEnd w:id="24"/>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5" w:name="_Toc30937"/>
            <w:bookmarkStart w:id="26" w:name="_Toc3592"/>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2.0</w:t>
            </w:r>
            <w:bookmarkEnd w:id="25"/>
            <w:bookmarkEnd w:id="26"/>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BOD</w:t>
            </w:r>
            <w:r>
              <w:rPr>
                <w:rFonts w:hint="eastAsia" w:ascii="Times New Roman" w:hAnsi="Times New Roman"/>
                <w:color w:val="auto"/>
                <w:sz w:val="21"/>
                <w:szCs w:val="21"/>
                <w:highlight w:val="none"/>
                <w:vertAlign w:val="subscript"/>
                <w:lang w:val="en-US" w:eastAsia="zh-CN"/>
              </w:rPr>
              <w:t>5</w:t>
            </w:r>
          </w:p>
        </w:tc>
        <w:tc>
          <w:tcPr>
            <w:tcW w:w="1000" w:type="pct"/>
            <w:tcBorders>
              <w:tl2br w:val="nil"/>
              <w:tr2bl w:val="nil"/>
            </w:tcBorders>
            <w:vAlign w:val="center"/>
          </w:tcPr>
          <w:p>
            <w:pPr>
              <w:spacing w:line="240" w:lineRule="auto"/>
              <w:jc w:val="center"/>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7" w:name="_Toc30822"/>
            <w:bookmarkStart w:id="28" w:name="_Toc23894"/>
            <w:r>
              <w:rPr>
                <w:rFonts w:hint="eastAsia" w:ascii="Times New Roman" w:hAnsi="Times New Roman" w:cs="Times New Roman"/>
                <w:b w:val="0"/>
                <w:bCs w:val="0"/>
                <w:color w:val="auto"/>
                <w:kern w:val="2"/>
                <w:sz w:val="21"/>
                <w:szCs w:val="24"/>
                <w:highlight w:val="none"/>
                <w:lang w:val="en-US" w:eastAsia="zh-CN" w:bidi="ar-SA"/>
              </w:rPr>
              <w:t>≤4</w:t>
            </w:r>
            <w:bookmarkEnd w:id="27"/>
            <w:bookmarkEnd w:id="28"/>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9" w:name="_Toc13632"/>
            <w:bookmarkStart w:id="30" w:name="_Toc7001"/>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10</w:t>
            </w:r>
            <w:bookmarkEnd w:id="29"/>
            <w:bookmarkEnd w:id="30"/>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挥发酚</w:t>
            </w:r>
          </w:p>
        </w:tc>
        <w:tc>
          <w:tcPr>
            <w:tcW w:w="1000" w:type="pct"/>
            <w:tcBorders>
              <w:tl2br w:val="nil"/>
              <w:tr2bl w:val="nil"/>
            </w:tcBorders>
            <w:vAlign w:val="center"/>
          </w:tcPr>
          <w:p>
            <w:pPr>
              <w:spacing w:line="240" w:lineRule="auto"/>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31" w:name="_Toc5473"/>
            <w:bookmarkStart w:id="32" w:name="_Toc7484"/>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0.005</w:t>
            </w:r>
            <w:bookmarkEnd w:id="31"/>
            <w:bookmarkEnd w:id="32"/>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33" w:name="_Toc5475"/>
            <w:bookmarkStart w:id="34" w:name="_Toc25791"/>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0.1</w:t>
            </w:r>
            <w:bookmarkEnd w:id="33"/>
            <w:bookmarkEnd w:id="34"/>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石油类</w:t>
            </w:r>
          </w:p>
        </w:tc>
        <w:tc>
          <w:tcPr>
            <w:tcW w:w="1000" w:type="pct"/>
            <w:tcBorders>
              <w:tl2br w:val="nil"/>
              <w:tr2bl w:val="nil"/>
            </w:tcBorders>
            <w:vAlign w:val="center"/>
          </w:tcPr>
          <w:p>
            <w:pPr>
              <w:spacing w:line="240" w:lineRule="auto"/>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35" w:name="_Toc18143"/>
            <w:bookmarkStart w:id="36" w:name="_Toc25565"/>
            <w:r>
              <w:rPr>
                <w:rFonts w:hint="eastAsia" w:ascii="Times New Roman" w:hAnsi="Times New Roman" w:cs="Times New Roman"/>
                <w:b w:val="0"/>
                <w:bCs w:val="0"/>
                <w:color w:val="auto"/>
                <w:kern w:val="2"/>
                <w:sz w:val="21"/>
                <w:szCs w:val="24"/>
                <w:highlight w:val="none"/>
                <w:lang w:val="en-US" w:eastAsia="zh-CN" w:bidi="ar-SA"/>
              </w:rPr>
              <w:t>≤0.05</w:t>
            </w:r>
            <w:bookmarkEnd w:id="35"/>
            <w:bookmarkEnd w:id="36"/>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37" w:name="_Toc9686"/>
            <w:bookmarkStart w:id="38" w:name="_Toc28158"/>
            <w:r>
              <w:rPr>
                <w:rFonts w:hint="eastAsia" w:ascii="Times New Roman" w:hAnsi="Times New Roman" w:cs="Times New Roman"/>
                <w:b w:val="0"/>
                <w:bCs w:val="0"/>
                <w:color w:val="auto"/>
                <w:kern w:val="2"/>
                <w:sz w:val="21"/>
                <w:szCs w:val="24"/>
                <w:highlight w:val="none"/>
                <w:lang w:val="en-US" w:eastAsia="zh-CN" w:bidi="ar-SA"/>
              </w:rPr>
              <w:t>≤1.0</w:t>
            </w:r>
            <w:bookmarkEnd w:id="37"/>
            <w:bookmarkEnd w:id="38"/>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六价铬</w:t>
            </w:r>
          </w:p>
        </w:tc>
        <w:tc>
          <w:tcPr>
            <w:tcW w:w="1000" w:type="pct"/>
            <w:tcBorders>
              <w:tl2br w:val="nil"/>
              <w:tr2bl w:val="nil"/>
            </w:tcBorders>
            <w:vAlign w:val="center"/>
          </w:tcPr>
          <w:p>
            <w:pPr>
              <w:spacing w:line="240" w:lineRule="auto"/>
              <w:jc w:val="center"/>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39" w:name="_Toc22236"/>
            <w:bookmarkStart w:id="40" w:name="_Toc24543"/>
            <w:r>
              <w:rPr>
                <w:rFonts w:hint="eastAsia" w:ascii="Times New Roman" w:hAnsi="Times New Roman" w:cs="Times New Roman"/>
                <w:b w:val="0"/>
                <w:bCs w:val="0"/>
                <w:color w:val="auto"/>
                <w:kern w:val="2"/>
                <w:sz w:val="21"/>
                <w:szCs w:val="24"/>
                <w:highlight w:val="none"/>
                <w:lang w:val="en-US" w:eastAsia="zh-CN" w:bidi="ar-SA"/>
              </w:rPr>
              <w:t>≤0.05</w:t>
            </w:r>
            <w:bookmarkEnd w:id="39"/>
            <w:bookmarkEnd w:id="40"/>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41" w:name="_Toc8568"/>
            <w:bookmarkStart w:id="42" w:name="_Toc9572"/>
            <w:r>
              <w:rPr>
                <w:rFonts w:hint="eastAsia" w:ascii="Times New Roman" w:hAnsi="Times New Roman" w:cs="Times New Roman"/>
                <w:b w:val="0"/>
                <w:bCs w:val="0"/>
                <w:color w:val="auto"/>
                <w:kern w:val="2"/>
                <w:sz w:val="21"/>
                <w:szCs w:val="24"/>
                <w:highlight w:val="none"/>
                <w:lang w:val="en-US" w:eastAsia="zh-CN" w:bidi="ar-SA"/>
              </w:rPr>
              <w:t>≤0.1</w:t>
            </w:r>
            <w:bookmarkEnd w:id="41"/>
            <w:bookmarkEnd w:id="42"/>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溶解氧</w:t>
            </w:r>
          </w:p>
        </w:tc>
        <w:tc>
          <w:tcPr>
            <w:tcW w:w="1000" w:type="pct"/>
            <w:tcBorders>
              <w:tl2br w:val="nil"/>
              <w:tr2bl w:val="nil"/>
            </w:tcBorders>
            <w:vAlign w:val="center"/>
          </w:tcPr>
          <w:p>
            <w:pPr>
              <w:spacing w:line="240" w:lineRule="auto"/>
              <w:jc w:val="center"/>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43" w:name="_Toc4681"/>
            <w:bookmarkStart w:id="44" w:name="_Toc24456"/>
            <w:r>
              <w:rPr>
                <w:rFonts w:hint="eastAsia" w:ascii="Times New Roman" w:hAnsi="Times New Roman" w:cs="Times New Roman"/>
                <w:b w:val="0"/>
                <w:bCs w:val="0"/>
                <w:color w:val="auto"/>
                <w:kern w:val="2"/>
                <w:sz w:val="21"/>
                <w:szCs w:val="24"/>
                <w:highlight w:val="none"/>
                <w:lang w:val="en-US" w:eastAsia="zh-CN" w:bidi="ar-SA"/>
              </w:rPr>
              <w:t>≥5</w:t>
            </w:r>
            <w:bookmarkEnd w:id="43"/>
            <w:bookmarkEnd w:id="44"/>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45" w:name="_Toc20697"/>
            <w:bookmarkStart w:id="46" w:name="_Toc15473"/>
            <w:r>
              <w:rPr>
                <w:rFonts w:hint="eastAsia" w:ascii="Times New Roman" w:hAnsi="Times New Roman" w:cs="Times New Roman"/>
                <w:b w:val="0"/>
                <w:bCs w:val="0"/>
                <w:color w:val="auto"/>
                <w:kern w:val="2"/>
                <w:sz w:val="21"/>
                <w:szCs w:val="24"/>
                <w:highlight w:val="none"/>
                <w:lang w:val="en-US" w:eastAsia="zh-CN" w:bidi="ar-SA"/>
              </w:rPr>
              <w:t>≥2</w:t>
            </w:r>
            <w:bookmarkEnd w:id="45"/>
            <w:bookmarkEnd w:id="46"/>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11</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硫化物</w:t>
            </w:r>
          </w:p>
        </w:tc>
        <w:tc>
          <w:tcPr>
            <w:tcW w:w="1000" w:type="pct"/>
            <w:tcBorders>
              <w:tl2br w:val="nil"/>
              <w:tr2bl w:val="nil"/>
            </w:tcBorders>
            <w:vAlign w:val="center"/>
          </w:tcPr>
          <w:p>
            <w:pPr>
              <w:spacing w:line="240" w:lineRule="auto"/>
              <w:jc w:val="center"/>
              <w:rPr>
                <w:rFonts w:hint="eastAsia" w:ascii="Times New Roman" w:hAnsi="Times New Roman"/>
                <w:color w:val="auto"/>
                <w:sz w:val="21"/>
                <w:szCs w:val="21"/>
                <w:highlight w:val="none"/>
                <w:lang w:val="en-US" w:eastAsia="zh-CN"/>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47" w:name="_Toc6478"/>
            <w:bookmarkStart w:id="48" w:name="_Toc16747"/>
            <w:r>
              <w:rPr>
                <w:rFonts w:hint="eastAsia" w:ascii="Times New Roman" w:hAnsi="Times New Roman" w:cs="Times New Roman"/>
                <w:b w:val="0"/>
                <w:bCs w:val="0"/>
                <w:color w:val="auto"/>
                <w:kern w:val="2"/>
                <w:sz w:val="21"/>
                <w:szCs w:val="24"/>
                <w:highlight w:val="none"/>
                <w:lang w:val="en-US" w:eastAsia="zh-CN" w:bidi="ar-SA"/>
              </w:rPr>
              <w:t>≤0.2</w:t>
            </w:r>
            <w:bookmarkEnd w:id="47"/>
            <w:bookmarkEnd w:id="48"/>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49" w:name="_Toc19955"/>
            <w:bookmarkStart w:id="50" w:name="_Toc26190"/>
            <w:r>
              <w:rPr>
                <w:rFonts w:hint="eastAsia" w:ascii="Times New Roman" w:hAnsi="Times New Roman" w:cs="Times New Roman"/>
                <w:b w:val="0"/>
                <w:bCs w:val="0"/>
                <w:color w:val="auto"/>
                <w:kern w:val="2"/>
                <w:sz w:val="21"/>
                <w:szCs w:val="24"/>
                <w:highlight w:val="none"/>
                <w:lang w:val="en-US" w:eastAsia="zh-CN" w:bidi="ar-SA"/>
              </w:rPr>
              <w:t>≤1.0</w:t>
            </w:r>
            <w:bookmarkEnd w:id="49"/>
            <w:bookmarkEnd w:id="50"/>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阴离子表面活性剂</w:t>
            </w:r>
          </w:p>
        </w:tc>
        <w:tc>
          <w:tcPr>
            <w:tcW w:w="1000" w:type="pct"/>
            <w:tcBorders>
              <w:tl2br w:val="nil"/>
              <w:tr2bl w:val="nil"/>
            </w:tcBorders>
            <w:vAlign w:val="center"/>
          </w:tcPr>
          <w:p>
            <w:pPr>
              <w:spacing w:line="240" w:lineRule="auto"/>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51" w:name="_Toc30374"/>
            <w:bookmarkStart w:id="52" w:name="_Toc1888"/>
            <w:r>
              <w:rPr>
                <w:rFonts w:hint="eastAsia" w:ascii="Times New Roman" w:hAnsi="Times New Roman" w:cs="Times New Roman"/>
                <w:b w:val="0"/>
                <w:bCs w:val="0"/>
                <w:color w:val="auto"/>
                <w:kern w:val="2"/>
                <w:sz w:val="21"/>
                <w:szCs w:val="24"/>
                <w:highlight w:val="none"/>
                <w:lang w:val="en-US" w:eastAsia="zh-CN" w:bidi="ar-SA"/>
              </w:rPr>
              <w:t>≤0.2</w:t>
            </w:r>
            <w:bookmarkEnd w:id="51"/>
            <w:bookmarkEnd w:id="52"/>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53" w:name="_Toc5782"/>
            <w:bookmarkStart w:id="54" w:name="_Toc13156"/>
            <w:r>
              <w:rPr>
                <w:rFonts w:hint="eastAsia" w:ascii="Times New Roman" w:hAnsi="Times New Roman" w:cs="Times New Roman"/>
                <w:b w:val="0"/>
                <w:bCs w:val="0"/>
                <w:color w:val="auto"/>
                <w:kern w:val="2"/>
                <w:sz w:val="21"/>
                <w:szCs w:val="24"/>
                <w:highlight w:val="none"/>
                <w:lang w:val="en-US" w:eastAsia="zh-CN" w:bidi="ar-SA"/>
              </w:rPr>
              <w:t>≤0.3</w:t>
            </w:r>
            <w:bookmarkEnd w:id="53"/>
            <w:bookmarkEnd w:id="54"/>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铜</w:t>
            </w:r>
          </w:p>
        </w:tc>
        <w:tc>
          <w:tcPr>
            <w:tcW w:w="1000" w:type="pct"/>
            <w:tcBorders>
              <w:tl2br w:val="nil"/>
              <w:tr2bl w:val="nil"/>
            </w:tcBorders>
            <w:vAlign w:val="center"/>
          </w:tcPr>
          <w:p>
            <w:pPr>
              <w:spacing w:line="240" w:lineRule="auto"/>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55" w:name="_Toc24285"/>
            <w:bookmarkStart w:id="56" w:name="_Toc1628"/>
            <w:r>
              <w:rPr>
                <w:rFonts w:hint="eastAsia" w:ascii="Times New Roman" w:hAnsi="Times New Roman" w:cs="Times New Roman"/>
                <w:b w:val="0"/>
                <w:bCs w:val="0"/>
                <w:color w:val="auto"/>
                <w:kern w:val="2"/>
                <w:sz w:val="21"/>
                <w:szCs w:val="24"/>
                <w:highlight w:val="none"/>
                <w:lang w:val="en-US" w:eastAsia="zh-CN" w:bidi="ar-SA"/>
              </w:rPr>
              <w:t>≤1.0</w:t>
            </w:r>
            <w:bookmarkEnd w:id="55"/>
            <w:bookmarkEnd w:id="56"/>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57" w:name="_Toc27439"/>
            <w:bookmarkStart w:id="58" w:name="_Toc14938"/>
            <w:r>
              <w:rPr>
                <w:rFonts w:hint="eastAsia" w:ascii="Times New Roman" w:hAnsi="Times New Roman" w:cs="Times New Roman"/>
                <w:b w:val="0"/>
                <w:bCs w:val="0"/>
                <w:color w:val="auto"/>
                <w:kern w:val="2"/>
                <w:sz w:val="21"/>
                <w:szCs w:val="24"/>
                <w:highlight w:val="none"/>
                <w:lang w:val="en-US" w:eastAsia="zh-CN" w:bidi="ar-SA"/>
              </w:rPr>
              <w:t>≤1.0</w:t>
            </w:r>
            <w:bookmarkEnd w:id="57"/>
            <w:bookmarkEnd w:id="58"/>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14</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锌</w:t>
            </w:r>
          </w:p>
        </w:tc>
        <w:tc>
          <w:tcPr>
            <w:tcW w:w="1000" w:type="pct"/>
            <w:tcBorders>
              <w:tl2br w:val="nil"/>
              <w:tr2bl w:val="nil"/>
            </w:tcBorders>
            <w:vAlign w:val="center"/>
          </w:tcPr>
          <w:p>
            <w:pPr>
              <w:spacing w:line="240" w:lineRule="auto"/>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59" w:name="_Toc15992"/>
            <w:bookmarkStart w:id="60" w:name="_Toc16865"/>
            <w:r>
              <w:rPr>
                <w:rFonts w:hint="eastAsia" w:ascii="Times New Roman" w:hAnsi="Times New Roman" w:cs="Times New Roman"/>
                <w:b w:val="0"/>
                <w:bCs w:val="0"/>
                <w:color w:val="auto"/>
                <w:kern w:val="2"/>
                <w:sz w:val="21"/>
                <w:szCs w:val="24"/>
                <w:highlight w:val="none"/>
                <w:lang w:val="en-US" w:eastAsia="zh-CN" w:bidi="ar-SA"/>
              </w:rPr>
              <w:t>≤1.0</w:t>
            </w:r>
            <w:bookmarkEnd w:id="59"/>
            <w:bookmarkEnd w:id="60"/>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61" w:name="_Toc9429"/>
            <w:bookmarkStart w:id="62" w:name="_Toc568"/>
            <w:r>
              <w:rPr>
                <w:rFonts w:hint="eastAsia" w:ascii="Times New Roman" w:hAnsi="Times New Roman" w:cs="Times New Roman"/>
                <w:b w:val="0"/>
                <w:bCs w:val="0"/>
                <w:color w:val="auto"/>
                <w:kern w:val="2"/>
                <w:sz w:val="21"/>
                <w:szCs w:val="24"/>
                <w:highlight w:val="none"/>
                <w:lang w:val="en-US" w:eastAsia="zh-CN" w:bidi="ar-SA"/>
              </w:rPr>
              <w:t>≤2.0</w:t>
            </w:r>
            <w:bookmarkEnd w:id="61"/>
            <w:bookmarkEnd w:id="62"/>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氰化物</w:t>
            </w:r>
          </w:p>
        </w:tc>
        <w:tc>
          <w:tcPr>
            <w:tcW w:w="1000" w:type="pct"/>
            <w:tcBorders>
              <w:tl2br w:val="nil"/>
              <w:tr2bl w:val="nil"/>
            </w:tcBorders>
            <w:vAlign w:val="center"/>
          </w:tcPr>
          <w:p>
            <w:pPr>
              <w:spacing w:line="240" w:lineRule="auto"/>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63" w:name="_Toc13894"/>
            <w:bookmarkStart w:id="64" w:name="_Toc14368"/>
            <w:r>
              <w:rPr>
                <w:rFonts w:hint="eastAsia" w:ascii="Times New Roman" w:hAnsi="Times New Roman" w:cs="Times New Roman"/>
                <w:b w:val="0"/>
                <w:bCs w:val="0"/>
                <w:color w:val="auto"/>
                <w:kern w:val="2"/>
                <w:sz w:val="21"/>
                <w:szCs w:val="24"/>
                <w:highlight w:val="none"/>
                <w:lang w:val="en-US" w:eastAsia="zh-CN" w:bidi="ar-SA"/>
              </w:rPr>
              <w:t>≤0.2</w:t>
            </w:r>
            <w:bookmarkEnd w:id="63"/>
            <w:bookmarkEnd w:id="64"/>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65" w:name="_Toc17607"/>
            <w:bookmarkStart w:id="66" w:name="_Toc32397"/>
            <w:r>
              <w:rPr>
                <w:rFonts w:hint="eastAsia" w:ascii="Times New Roman" w:hAnsi="Times New Roman" w:cs="Times New Roman"/>
                <w:b w:val="0"/>
                <w:bCs w:val="0"/>
                <w:color w:val="auto"/>
                <w:kern w:val="2"/>
                <w:sz w:val="21"/>
                <w:szCs w:val="24"/>
                <w:highlight w:val="none"/>
                <w:lang w:val="en-US" w:eastAsia="zh-CN" w:bidi="ar-SA"/>
              </w:rPr>
              <w:t>≤0.2</w:t>
            </w:r>
            <w:bookmarkEnd w:id="65"/>
            <w:bookmarkEnd w:id="66"/>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16</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砷</w:t>
            </w:r>
          </w:p>
        </w:tc>
        <w:tc>
          <w:tcPr>
            <w:tcW w:w="1000" w:type="pct"/>
            <w:tcBorders>
              <w:tl2br w:val="nil"/>
              <w:tr2bl w:val="nil"/>
            </w:tcBorders>
            <w:vAlign w:val="center"/>
          </w:tcPr>
          <w:p>
            <w:pPr>
              <w:spacing w:line="240" w:lineRule="auto"/>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67" w:name="_Toc24440"/>
            <w:bookmarkStart w:id="68" w:name="_Toc19464"/>
            <w:r>
              <w:rPr>
                <w:rFonts w:hint="eastAsia" w:ascii="Times New Roman" w:hAnsi="Times New Roman" w:cs="Times New Roman"/>
                <w:b w:val="0"/>
                <w:bCs w:val="0"/>
                <w:color w:val="auto"/>
                <w:kern w:val="2"/>
                <w:sz w:val="21"/>
                <w:szCs w:val="24"/>
                <w:highlight w:val="none"/>
                <w:lang w:val="en-US" w:eastAsia="zh-CN" w:bidi="ar-SA"/>
              </w:rPr>
              <w:t>≤0.05</w:t>
            </w:r>
            <w:bookmarkEnd w:id="67"/>
            <w:bookmarkEnd w:id="68"/>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69" w:name="_Toc20665"/>
            <w:bookmarkStart w:id="70" w:name="_Toc13761"/>
            <w:r>
              <w:rPr>
                <w:rFonts w:hint="eastAsia" w:ascii="Times New Roman" w:hAnsi="Times New Roman" w:cs="Times New Roman"/>
                <w:b w:val="0"/>
                <w:bCs w:val="0"/>
                <w:color w:val="auto"/>
                <w:kern w:val="2"/>
                <w:sz w:val="21"/>
                <w:szCs w:val="24"/>
                <w:highlight w:val="none"/>
                <w:lang w:val="en-US" w:eastAsia="zh-CN" w:bidi="ar-SA"/>
              </w:rPr>
              <w:t>≤0.1</w:t>
            </w:r>
            <w:bookmarkEnd w:id="69"/>
            <w:bookmarkEnd w:id="70"/>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17</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汞</w:t>
            </w:r>
          </w:p>
        </w:tc>
        <w:tc>
          <w:tcPr>
            <w:tcW w:w="1000" w:type="pct"/>
            <w:tcBorders>
              <w:tl2br w:val="nil"/>
              <w:tr2bl w:val="nil"/>
            </w:tcBorders>
            <w:vAlign w:val="center"/>
          </w:tcPr>
          <w:p>
            <w:pPr>
              <w:spacing w:line="240" w:lineRule="auto"/>
              <w:jc w:val="center"/>
              <w:rPr>
                <w:rFonts w:hint="eastAsia" w:ascii="Times New Roman" w:hAnsi="Times New Roman"/>
                <w:color w:val="auto"/>
                <w:sz w:val="21"/>
                <w:szCs w:val="21"/>
                <w:highlight w:val="none"/>
              </w:rPr>
            </w:pPr>
            <w:r>
              <w:rPr>
                <w:rFonts w:hint="eastAsia" w:ascii="Times New Roman" w:hAnsi="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71" w:name="_Toc15660"/>
            <w:bookmarkStart w:id="72" w:name="_Toc9420"/>
            <w:r>
              <w:rPr>
                <w:rFonts w:hint="eastAsia" w:ascii="Times New Roman" w:hAnsi="Times New Roman" w:cs="Times New Roman"/>
                <w:b w:val="0"/>
                <w:bCs w:val="0"/>
                <w:color w:val="auto"/>
                <w:kern w:val="2"/>
                <w:sz w:val="21"/>
                <w:szCs w:val="24"/>
                <w:highlight w:val="none"/>
                <w:lang w:val="en-US" w:eastAsia="zh-CN" w:bidi="ar-SA"/>
              </w:rPr>
              <w:t>≤0.001</w:t>
            </w:r>
            <w:bookmarkEnd w:id="71"/>
            <w:bookmarkEnd w:id="72"/>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73" w:name="_Toc27296"/>
            <w:bookmarkStart w:id="74" w:name="_Toc11003"/>
            <w:r>
              <w:rPr>
                <w:rFonts w:hint="eastAsia" w:ascii="Times New Roman" w:hAnsi="Times New Roman" w:cs="Times New Roman"/>
                <w:b w:val="0"/>
                <w:bCs w:val="0"/>
                <w:color w:val="auto"/>
                <w:kern w:val="2"/>
                <w:sz w:val="21"/>
                <w:szCs w:val="24"/>
                <w:highlight w:val="none"/>
                <w:lang w:val="en-US" w:eastAsia="zh-CN" w:bidi="ar-SA"/>
              </w:rPr>
              <w:t>≤0.001</w:t>
            </w:r>
            <w:bookmarkEnd w:id="73"/>
            <w:bookmarkEnd w:id="74"/>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18</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硒</w:t>
            </w:r>
          </w:p>
        </w:tc>
        <w:tc>
          <w:tcPr>
            <w:tcW w:w="1000"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75" w:name="_Toc12170"/>
            <w:bookmarkStart w:id="76" w:name="_Toc22189"/>
            <w:r>
              <w:rPr>
                <w:rFonts w:hint="eastAsia" w:ascii="Times New Roman" w:hAnsi="Times New Roman" w:cs="Times New Roman"/>
                <w:b w:val="0"/>
                <w:bCs w:val="0"/>
                <w:color w:val="auto"/>
                <w:kern w:val="2"/>
                <w:sz w:val="21"/>
                <w:szCs w:val="24"/>
                <w:highlight w:val="none"/>
                <w:lang w:val="en-US" w:eastAsia="zh-CN" w:bidi="ar-SA"/>
              </w:rPr>
              <w:t>≤0.01</w:t>
            </w:r>
            <w:bookmarkEnd w:id="75"/>
            <w:bookmarkEnd w:id="76"/>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77" w:name="_Toc18407"/>
            <w:bookmarkStart w:id="78" w:name="_Toc12361"/>
            <w:r>
              <w:rPr>
                <w:rFonts w:hint="eastAsia" w:ascii="Times New Roman" w:hAnsi="Times New Roman" w:cs="Times New Roman"/>
                <w:b w:val="0"/>
                <w:bCs w:val="0"/>
                <w:color w:val="auto"/>
                <w:kern w:val="2"/>
                <w:sz w:val="21"/>
                <w:szCs w:val="24"/>
                <w:highlight w:val="none"/>
                <w:lang w:val="en-US" w:eastAsia="zh-CN" w:bidi="ar-SA"/>
              </w:rPr>
              <w:t>≤0.02</w:t>
            </w:r>
            <w:bookmarkEnd w:id="77"/>
            <w:bookmarkEnd w:id="78"/>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19</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铅</w:t>
            </w:r>
          </w:p>
        </w:tc>
        <w:tc>
          <w:tcPr>
            <w:tcW w:w="1000"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79" w:name="_Toc7344"/>
            <w:bookmarkStart w:id="80" w:name="_Toc1806"/>
            <w:r>
              <w:rPr>
                <w:rFonts w:hint="eastAsia" w:ascii="Times New Roman" w:hAnsi="Times New Roman" w:cs="Times New Roman"/>
                <w:b w:val="0"/>
                <w:bCs w:val="0"/>
                <w:color w:val="auto"/>
                <w:kern w:val="2"/>
                <w:sz w:val="21"/>
                <w:szCs w:val="24"/>
                <w:highlight w:val="none"/>
                <w:lang w:val="en-US" w:eastAsia="zh-CN" w:bidi="ar-SA"/>
              </w:rPr>
              <w:t>≤0.05</w:t>
            </w:r>
            <w:bookmarkEnd w:id="79"/>
            <w:bookmarkEnd w:id="80"/>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81" w:name="_Toc2858"/>
            <w:bookmarkStart w:id="82" w:name="_Toc10983"/>
            <w:r>
              <w:rPr>
                <w:rFonts w:hint="eastAsia" w:ascii="Times New Roman" w:hAnsi="Times New Roman" w:cs="Times New Roman"/>
                <w:b w:val="0"/>
                <w:bCs w:val="0"/>
                <w:color w:val="auto"/>
                <w:kern w:val="2"/>
                <w:sz w:val="21"/>
                <w:szCs w:val="24"/>
                <w:highlight w:val="none"/>
                <w:lang w:val="en-US" w:eastAsia="zh-CN" w:bidi="ar-SA"/>
              </w:rPr>
              <w:t>≤0.1</w:t>
            </w:r>
            <w:bookmarkEnd w:id="81"/>
            <w:bookmarkEnd w:id="82"/>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镉</w:t>
            </w:r>
          </w:p>
        </w:tc>
        <w:tc>
          <w:tcPr>
            <w:tcW w:w="1000"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83" w:name="_Toc26097"/>
            <w:bookmarkStart w:id="84" w:name="_Toc3603"/>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0.005</w:t>
            </w:r>
            <w:bookmarkEnd w:id="83"/>
            <w:bookmarkEnd w:id="84"/>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85" w:name="_Toc23786"/>
            <w:bookmarkStart w:id="86" w:name="_Toc25303"/>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0.01</w:t>
            </w:r>
            <w:bookmarkEnd w:id="85"/>
            <w:bookmarkEnd w:id="86"/>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21</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高锰酸盐指数</w:t>
            </w:r>
          </w:p>
        </w:tc>
        <w:tc>
          <w:tcPr>
            <w:tcW w:w="1000"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mg/L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87" w:name="_Toc13377"/>
            <w:bookmarkStart w:id="88" w:name="_Toc27234"/>
            <w:r>
              <w:rPr>
                <w:rFonts w:hint="eastAsia" w:ascii="Times New Roman" w:hAnsi="Times New Roman" w:cs="Times New Roman"/>
                <w:b w:val="0"/>
                <w:bCs w:val="0"/>
                <w:color w:val="auto"/>
                <w:kern w:val="2"/>
                <w:sz w:val="21"/>
                <w:szCs w:val="24"/>
                <w:highlight w:val="none"/>
                <w:lang w:val="en-US" w:eastAsia="zh-CN" w:bidi="ar-SA"/>
              </w:rPr>
              <w:t>≤6</w:t>
            </w:r>
            <w:bookmarkEnd w:id="87"/>
            <w:bookmarkEnd w:id="88"/>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89" w:name="_Toc17122"/>
            <w:bookmarkStart w:id="90" w:name="_Toc43"/>
            <w:r>
              <w:rPr>
                <w:rFonts w:hint="eastAsia" w:ascii="Times New Roman" w:hAnsi="Times New Roman" w:cs="Times New Roman"/>
                <w:b w:val="0"/>
                <w:bCs w:val="0"/>
                <w:color w:val="auto"/>
                <w:kern w:val="2"/>
                <w:sz w:val="21"/>
                <w:szCs w:val="24"/>
                <w:highlight w:val="none"/>
                <w:lang w:val="en-US" w:eastAsia="zh-CN" w:bidi="ar-SA"/>
              </w:rPr>
              <w:t>≤15</w:t>
            </w:r>
            <w:bookmarkEnd w:id="89"/>
            <w:bookmarkEnd w:id="90"/>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22</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宋体" w:hAnsi="宋体" w:cs="宋体"/>
                <w:color w:val="auto"/>
                <w:kern w:val="0"/>
                <w:szCs w:val="21"/>
                <w:highlight w:val="none"/>
                <w:lang w:eastAsia="zh-CN" w:bidi="ar"/>
              </w:rPr>
              <w:t>叶绿素</w:t>
            </w:r>
            <w:r>
              <w:rPr>
                <w:rFonts w:hint="eastAsia" w:ascii="宋体" w:hAnsi="宋体" w:cs="宋体"/>
                <w:color w:val="auto"/>
                <w:kern w:val="0"/>
                <w:szCs w:val="21"/>
                <w:highlight w:val="none"/>
                <w:lang w:val="en-US" w:eastAsia="zh-CN" w:bidi="ar"/>
              </w:rPr>
              <w:t>a</w:t>
            </w:r>
          </w:p>
        </w:tc>
        <w:tc>
          <w:tcPr>
            <w:tcW w:w="1000" w:type="pct"/>
            <w:tcBorders>
              <w:tl2br w:val="nil"/>
              <w:tr2bl w:val="nil"/>
            </w:tcBorders>
            <w:vAlign w:val="center"/>
          </w:tcPr>
          <w:p>
            <w:pPr>
              <w:spacing w:line="240" w:lineRule="auto"/>
              <w:jc w:val="center"/>
              <w:rPr>
                <w:rFonts w:hint="default" w:ascii="Times New Roman" w:hAnsi="Times New Roman" w:cs="Times New Roman"/>
                <w:color w:val="auto"/>
                <w:kern w:val="0"/>
                <w:szCs w:val="21"/>
                <w:highlight w:val="none"/>
                <w:lang w:eastAsia="zh-CN" w:bidi="ar"/>
              </w:rPr>
            </w:pPr>
            <w:r>
              <w:rPr>
                <w:rFonts w:hint="default" w:ascii="Times New Roman" w:hAnsi="Times New Roman" w:cs="Times New Roman"/>
                <w:color w:val="auto"/>
                <w:kern w:val="0"/>
                <w:szCs w:val="21"/>
                <w:highlight w:val="none"/>
                <w:lang w:val="en-US" w:eastAsia="zh-CN"/>
              </w:rPr>
              <w:t>ug/L</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91" w:name="_Toc15551"/>
            <w:bookmarkStart w:id="92" w:name="_Toc16318"/>
            <w:r>
              <w:rPr>
                <w:rFonts w:hint="eastAsia" w:ascii="Times New Roman" w:hAnsi="Times New Roman" w:cs="Times New Roman"/>
                <w:color w:val="auto"/>
                <w:szCs w:val="21"/>
                <w:highlight w:val="none"/>
                <w:lang w:val="en-US" w:eastAsia="zh-CN"/>
              </w:rPr>
              <w:t>/</w:t>
            </w:r>
            <w:bookmarkEnd w:id="91"/>
            <w:bookmarkEnd w:id="92"/>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93" w:name="_Toc29399"/>
            <w:bookmarkStart w:id="94" w:name="_Toc11185"/>
            <w:r>
              <w:rPr>
                <w:rFonts w:hint="eastAsia" w:ascii="Times New Roman" w:hAnsi="Times New Roman" w:cs="Times New Roman"/>
                <w:color w:val="auto"/>
                <w:szCs w:val="21"/>
                <w:highlight w:val="none"/>
                <w:lang w:val="en-US" w:eastAsia="zh-CN"/>
              </w:rPr>
              <w:t>/</w:t>
            </w:r>
            <w:bookmarkEnd w:id="93"/>
            <w:bookmarkEnd w:id="94"/>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2" w:hRule="atLeast"/>
        </w:trPr>
        <w:tc>
          <w:tcPr>
            <w:tcW w:w="733"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23</w:t>
            </w:r>
          </w:p>
        </w:tc>
        <w:tc>
          <w:tcPr>
            <w:tcW w:w="1265" w:type="pct"/>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kern w:val="0"/>
                <w:szCs w:val="21"/>
                <w:highlight w:val="none"/>
                <w:lang w:val="zh-CN" w:eastAsia="zh-CN"/>
              </w:rPr>
              <w:t>透明度</w:t>
            </w:r>
          </w:p>
        </w:tc>
        <w:tc>
          <w:tcPr>
            <w:tcW w:w="1000" w:type="pct"/>
            <w:tcBorders>
              <w:tl2br w:val="nil"/>
              <w:tr2bl w:val="nil"/>
            </w:tcBorders>
            <w:vAlign w:val="center"/>
          </w:tcPr>
          <w:p>
            <w:pPr>
              <w:spacing w:line="240" w:lineRule="auto"/>
              <w:jc w:val="center"/>
              <w:rPr>
                <w:rFonts w:hint="default" w:ascii="Times New Roman" w:hAnsi="Times New Roman" w:cs="Times New Roman"/>
                <w:color w:val="auto"/>
                <w:kern w:val="0"/>
                <w:szCs w:val="21"/>
                <w:highlight w:val="none"/>
                <w:lang w:val="zh-CN" w:eastAsia="zh-CN"/>
              </w:rPr>
            </w:pPr>
            <w:r>
              <w:rPr>
                <w:rFonts w:hint="default" w:ascii="Times New Roman" w:hAnsi="Times New Roman" w:cs="Times New Roman"/>
                <w:color w:val="auto"/>
                <w:kern w:val="0"/>
                <w:szCs w:val="21"/>
                <w:highlight w:val="none"/>
                <w:lang w:val="en-US" w:eastAsia="zh-CN"/>
              </w:rPr>
              <w:t>cm</w:t>
            </w:r>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95" w:name="_Toc26293"/>
            <w:bookmarkStart w:id="96" w:name="_Toc8073"/>
            <w:r>
              <w:rPr>
                <w:rFonts w:hint="eastAsia" w:ascii="Times New Roman" w:hAnsi="Times New Roman" w:cs="Times New Roman"/>
                <w:color w:val="auto"/>
                <w:szCs w:val="21"/>
                <w:highlight w:val="none"/>
                <w:lang w:val="en-US" w:eastAsia="zh-CN"/>
              </w:rPr>
              <w:t>/</w:t>
            </w:r>
            <w:bookmarkEnd w:id="95"/>
            <w:bookmarkEnd w:id="96"/>
          </w:p>
        </w:tc>
        <w:tc>
          <w:tcPr>
            <w:tcW w:w="1000" w:type="pct"/>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97" w:name="_Toc1308"/>
            <w:bookmarkStart w:id="98" w:name="_Toc13787"/>
            <w:r>
              <w:rPr>
                <w:rFonts w:hint="eastAsia" w:ascii="Times New Roman" w:hAnsi="Times New Roman" w:cs="Times New Roman"/>
                <w:color w:val="auto"/>
                <w:szCs w:val="21"/>
                <w:highlight w:val="none"/>
                <w:lang w:val="en-US" w:eastAsia="zh-CN"/>
              </w:rPr>
              <w:t>/</w:t>
            </w:r>
            <w:bookmarkEnd w:id="97"/>
            <w:bookmarkEnd w:id="98"/>
          </w:p>
        </w:tc>
      </w:tr>
    </w:tbl>
    <w:p>
      <w:pPr>
        <w:keepNext w:val="0"/>
        <w:keepLines w:val="0"/>
        <w:widowControl/>
        <w:suppressLineNumbers w:val="0"/>
        <w:spacing w:line="360" w:lineRule="auto"/>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3</w:t>
      </w:r>
      <w:r>
        <w:rPr>
          <w:rFonts w:hint="default" w:ascii="Times New Roman" w:hAnsi="Times New Roman" w:eastAsia="宋体" w:cs="Times New Roman"/>
          <w:color w:val="auto"/>
          <w:kern w:val="0"/>
          <w:sz w:val="24"/>
          <w:szCs w:val="24"/>
          <w:highlight w:val="none"/>
          <w:lang w:val="en-US" w:eastAsia="zh-CN" w:bidi="ar"/>
        </w:rPr>
        <w:t>）地下水</w:t>
      </w:r>
    </w:p>
    <w:p>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项目地下水执行《地下水质量标准》（GB/T14848-2017）III类，石油类参照《地表水环境质量标准》（GB3838-2002）III类标准。</w:t>
      </w:r>
    </w:p>
    <w:p>
      <w:pPr>
        <w:keepNext w:val="0"/>
        <w:keepLines w:val="0"/>
        <w:widowControl/>
        <w:suppressLineNumbers w:val="0"/>
        <w:spacing w:line="360" w:lineRule="auto"/>
        <w:ind w:firstLine="482" w:firstLineChars="200"/>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3</w:t>
      </w:r>
      <w:r>
        <w:rPr>
          <w:rFonts w:hint="default" w:ascii="Times New Roman" w:hAnsi="Times New Roman" w:eastAsia="宋体" w:cs="Times New Roman"/>
          <w:b/>
          <w:bCs/>
          <w:color w:val="auto"/>
          <w:kern w:val="0"/>
          <w:sz w:val="24"/>
          <w:szCs w:val="24"/>
          <w:highlight w:val="none"/>
          <w:lang w:val="en-US" w:eastAsia="zh-CN" w:bidi="ar"/>
        </w:rPr>
        <w:t>地下水质量标准</w:t>
      </w:r>
    </w:p>
    <w:tbl>
      <w:tblPr>
        <w:tblStyle w:val="13"/>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12"/>
        <w:gridCol w:w="3044"/>
        <w:gridCol w:w="2130"/>
        <w:gridCol w:w="213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序号</w:t>
            </w:r>
          </w:p>
        </w:tc>
        <w:tc>
          <w:tcPr>
            <w:tcW w:w="1787"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监测项目</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单位</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标准值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w:t>
            </w:r>
          </w:p>
        </w:tc>
        <w:tc>
          <w:tcPr>
            <w:tcW w:w="1787"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钠</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氯化物</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硫酸盐</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pH</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无量纲</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w:t>
            </w:r>
            <w:r>
              <w:rPr>
                <w:rFonts w:hint="eastAsia" w:ascii="Times New Roman" w:hAnsi="Times New Roman" w:cs="Times New Roman"/>
                <w:color w:val="auto"/>
                <w:sz w:val="21"/>
                <w:szCs w:val="21"/>
                <w:highlight w:val="none"/>
                <w:vertAlign w:val="baseline"/>
                <w:lang w:val="en-US" w:eastAsia="zh-CN"/>
              </w:rPr>
              <w:t>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总硬度</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氨氮</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7</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氰化物</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8</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挥发酚</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9</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耗氧量</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氟化物</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11</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砷</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12</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汞</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13</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镉</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14</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铅</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15</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六价铬</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16</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铁</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17</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锰</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18</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硝酸盐</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19</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亚硝酸盐</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溶解性总固体</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21</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总大肠菌群</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MPN/100mL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22</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菌落总数</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CFU/mL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23</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硫化物</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w:t>
            </w:r>
            <w:r>
              <w:rPr>
                <w:rFonts w:hint="eastAsia" w:ascii="Times New Roman" w:hAnsi="Times New Roman" w:cs="Times New Roman"/>
                <w:color w:val="auto"/>
                <w:sz w:val="21"/>
                <w:szCs w:val="21"/>
                <w:highlight w:val="none"/>
                <w:vertAlign w:val="baseli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2"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24</w:t>
            </w:r>
          </w:p>
        </w:tc>
        <w:tc>
          <w:tcPr>
            <w:tcW w:w="178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石油类</w:t>
            </w:r>
          </w:p>
        </w:tc>
        <w:tc>
          <w:tcPr>
            <w:tcW w:w="1250"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mg/L</w:t>
            </w:r>
          </w:p>
        </w:tc>
        <w:tc>
          <w:tcPr>
            <w:tcW w:w="125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≤0.05</w:t>
            </w:r>
          </w:p>
        </w:tc>
      </w:tr>
    </w:tbl>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（3）声环境</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项目所在区域执行2类功能区标准。</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4</w:t>
      </w:r>
      <w:r>
        <w:rPr>
          <w:rFonts w:hint="default" w:ascii="Times New Roman" w:hAnsi="Times New Roman" w:eastAsia="宋体" w:cs="Times New Roman"/>
          <w:b/>
          <w:bCs/>
          <w:color w:val="auto"/>
          <w:kern w:val="0"/>
          <w:sz w:val="24"/>
          <w:szCs w:val="24"/>
          <w:highlight w:val="none"/>
          <w:lang w:val="en-US" w:eastAsia="zh-CN" w:bidi="ar"/>
        </w:rPr>
        <w:t>声环境质量标准</w:t>
      </w:r>
    </w:p>
    <w:tbl>
      <w:tblPr>
        <w:tblStyle w:val="13"/>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838"/>
        <w:gridCol w:w="2839"/>
        <w:gridCol w:w="28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类别</w:t>
            </w:r>
          </w:p>
        </w:tc>
        <w:tc>
          <w:tcPr>
            <w:tcW w:w="1666"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昼间dB(A)</w:t>
            </w:r>
          </w:p>
        </w:tc>
        <w:tc>
          <w:tcPr>
            <w:tcW w:w="1666"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夜间dB(A)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66"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2类</w:t>
            </w:r>
          </w:p>
        </w:tc>
        <w:tc>
          <w:tcPr>
            <w:tcW w:w="1666"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60</w:t>
            </w:r>
          </w:p>
        </w:tc>
        <w:tc>
          <w:tcPr>
            <w:tcW w:w="1666" w:type="pct"/>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50</w:t>
            </w:r>
          </w:p>
        </w:tc>
      </w:tr>
    </w:tbl>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（5）土壤环境</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项目</w:t>
      </w:r>
      <w:r>
        <w:rPr>
          <w:rFonts w:hint="eastAsia" w:ascii="Times New Roman" w:hAnsi="Times New Roman" w:eastAsia="宋体" w:cs="Times New Roman"/>
          <w:caps w:val="0"/>
          <w:smallCaps w:val="0"/>
          <w:color w:val="auto"/>
          <w:spacing w:val="0"/>
          <w:w w:val="100"/>
          <w:kern w:val="0"/>
          <w:sz w:val="24"/>
          <w:szCs w:val="24"/>
          <w:highlight w:val="none"/>
          <w:lang w:val="en-US" w:eastAsia="zh-CN"/>
        </w:rPr>
        <w:t>所在区域土壤</w:t>
      </w:r>
      <w:r>
        <w:rPr>
          <w:rFonts w:hint="default" w:ascii="Times New Roman" w:hAnsi="Times New Roman" w:eastAsia="宋体" w:cs="Times New Roman"/>
          <w:caps w:val="0"/>
          <w:smallCaps w:val="0"/>
          <w:color w:val="auto"/>
          <w:spacing w:val="0"/>
          <w:w w:val="100"/>
          <w:kern w:val="0"/>
          <w:sz w:val="24"/>
          <w:szCs w:val="24"/>
          <w:highlight w:val="none"/>
          <w:lang w:val="en-US" w:eastAsia="zh-CN"/>
        </w:rPr>
        <w:t>执行《土壤环境质量 建设用地土壤污染风险管控标准（试行）》（GB36600-2018）第二类土壤污染风险筛选值。</w:t>
      </w:r>
    </w:p>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建设用地第二类用地土壤污染风险管控标准  单位：mg/kg</w:t>
      </w:r>
    </w:p>
    <w:tbl>
      <w:tblPr>
        <w:tblStyle w:val="12"/>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99"/>
        <w:gridCol w:w="2041"/>
        <w:gridCol w:w="1083"/>
        <w:gridCol w:w="780"/>
        <w:gridCol w:w="2487"/>
        <w:gridCol w:w="132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序号</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污染物项目</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筛选值</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序号</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污染物项目</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筛选值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砷</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60</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24</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1,2,3-三氯丙烷</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镉</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65</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25</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氯乙烯</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0.43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3</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铬（六价）</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5.7</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26</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苯</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4</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铜</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18000</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27</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氯苯</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5</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铅</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800</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28</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1,2-二氯苯</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560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6</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汞</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38</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29</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1,4-二氯苯</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7</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镍</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900</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30</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乙苯</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8</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四氯化碳</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2.8</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31</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苯乙烯</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1290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9</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氯仿</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0.9</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32</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甲苯</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10</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氯甲烷</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37</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33</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间二甲苯+对二甲苯</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570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11</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1,1-二氯乙烷</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9</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34</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邻二甲苯</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640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12</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1,2-二氯乙烷</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5</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35</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硝基苯</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13</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1,1-二氯乙烯</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66</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36</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苯胺</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14</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顺-1,2-二氯乙烯</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596</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37</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2-氯酚</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2256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15</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反-1,2-二氯乙烯</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54</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38</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苯并[a]蒽</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16</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二氯甲烷</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616</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39</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苯并[a]芘</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17</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1,2-二氯丙烷</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5</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40</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苯并[b]</w:t>
            </w:r>
            <w:bookmarkStart w:id="99" w:name="OLE_LINK1"/>
            <w:r>
              <w:rPr>
                <w:rFonts w:hint="default" w:ascii="Times New Roman" w:hAnsi="Times New Roman" w:cs="Times New Roman"/>
                <w:color w:val="auto"/>
                <w:sz w:val="21"/>
                <w:szCs w:val="21"/>
                <w:highlight w:val="none"/>
                <w:vertAlign w:val="baseline"/>
                <w:lang w:val="zh-CN" w:eastAsia="zh-CN"/>
              </w:rPr>
              <w:t>荧蒽</w:t>
            </w:r>
            <w:bookmarkEnd w:id="99"/>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18</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1,1,1,2-四氯乙烷</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10</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41</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苯并[k]荧蒽</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19</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1,1,2,2-四氯乙烷</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6.8</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42</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䓛</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1293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20</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四氯乙烯</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53</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43</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二苯并[a,h]蒽</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21</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1,1,1-三氯乙烷</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840</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44</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茚并[1,2,3-cd]芘</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22</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1,1,2-三氯乙烷</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2.8</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45</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萘</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70" w:hRule="atLeast"/>
          <w:jc w:val="center"/>
        </w:trPr>
        <w:tc>
          <w:tcPr>
            <w:tcW w:w="46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23</w:t>
            </w:r>
          </w:p>
        </w:tc>
        <w:tc>
          <w:tcPr>
            <w:tcW w:w="119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三氯乙烯</w:t>
            </w:r>
          </w:p>
        </w:tc>
        <w:tc>
          <w:tcPr>
            <w:tcW w:w="63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2.8</w:t>
            </w:r>
          </w:p>
        </w:tc>
        <w:tc>
          <w:tcPr>
            <w:tcW w:w="4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46</w:t>
            </w:r>
          </w:p>
        </w:tc>
        <w:tc>
          <w:tcPr>
            <w:tcW w:w="146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石油烃（C10-C40）</w:t>
            </w:r>
          </w:p>
        </w:tc>
        <w:tc>
          <w:tcPr>
            <w:tcW w:w="77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zh-CN" w:eastAsia="zh-CN"/>
              </w:rPr>
            </w:pPr>
            <w:r>
              <w:rPr>
                <w:rFonts w:hint="default" w:ascii="Times New Roman" w:hAnsi="Times New Roman" w:cs="Times New Roman"/>
                <w:color w:val="auto"/>
                <w:sz w:val="21"/>
                <w:szCs w:val="21"/>
                <w:highlight w:val="none"/>
                <w:vertAlign w:val="baseline"/>
                <w:lang w:val="zh-CN" w:eastAsia="zh-CN"/>
              </w:rPr>
              <w:t>4500</w:t>
            </w:r>
          </w:p>
        </w:tc>
      </w:tr>
    </w:tbl>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2.4.</w:t>
      </w: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污染物排放标准</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（1）废气</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施工期厂界扬尘执行《大气污染物综合排放标准》（GB16297-1996）中表2无组织排放监控浓度限值。</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运行期间锅炉烟气执行《锅炉大气污染物排放标准》（GB13271-2014）表2新建锅炉大气污染物（燃煤锅炉）排放浓度限值；食堂油烟执行《饮食业油烟排放标准》（GB18483-2001）排放限值要求。</w:t>
      </w:r>
    </w:p>
    <w:p>
      <w:pPr>
        <w:keepNext w:val="0"/>
        <w:keepLines w:val="0"/>
        <w:widowControl/>
        <w:suppressLineNumbers w:val="0"/>
        <w:spacing w:line="360" w:lineRule="auto"/>
        <w:ind w:firstLine="482" w:firstLineChars="200"/>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表2.</w:t>
      </w:r>
      <w:r>
        <w:rPr>
          <w:rFonts w:hint="eastAsia" w:ascii="Times New Roman" w:hAnsi="Times New Roman" w:eastAsia="宋体" w:cs="Times New Roman"/>
          <w:b/>
          <w:bCs/>
          <w:color w:val="auto"/>
          <w:kern w:val="0"/>
          <w:sz w:val="24"/>
          <w:szCs w:val="24"/>
          <w:highlight w:val="none"/>
          <w:lang w:val="en-US" w:eastAsia="zh-CN" w:bidi="ar"/>
        </w:rPr>
        <w:t>5</w:t>
      </w:r>
      <w:r>
        <w:rPr>
          <w:rFonts w:hint="default" w:ascii="Times New Roman" w:hAnsi="Times New Roman" w:eastAsia="宋体" w:cs="Times New Roman"/>
          <w:b/>
          <w:bCs/>
          <w:color w:val="auto"/>
          <w:kern w:val="0"/>
          <w:sz w:val="24"/>
          <w:szCs w:val="24"/>
          <w:highlight w:val="none"/>
          <w:lang w:val="en-US" w:eastAsia="zh-CN" w:bidi="ar"/>
        </w:rPr>
        <w:t>-</w:t>
      </w:r>
      <w:r>
        <w:rPr>
          <w:rFonts w:hint="eastAsia" w:ascii="Times New Roman" w:hAnsi="Times New Roman" w:eastAsia="宋体" w:cs="Times New Roman"/>
          <w:b/>
          <w:bCs/>
          <w:color w:val="auto"/>
          <w:kern w:val="0"/>
          <w:sz w:val="24"/>
          <w:szCs w:val="24"/>
          <w:highlight w:val="none"/>
          <w:lang w:val="en-US" w:eastAsia="zh-CN" w:bidi="ar"/>
        </w:rPr>
        <w:t>6</w:t>
      </w:r>
      <w:r>
        <w:rPr>
          <w:rFonts w:hint="default" w:ascii="Times New Roman" w:hAnsi="Times New Roman" w:eastAsia="宋体" w:cs="Times New Roman"/>
          <w:b/>
          <w:bCs/>
          <w:color w:val="auto"/>
          <w:kern w:val="0"/>
          <w:sz w:val="24"/>
          <w:szCs w:val="24"/>
          <w:highlight w:val="none"/>
          <w:lang w:val="en-US" w:eastAsia="zh-CN" w:bidi="ar"/>
        </w:rPr>
        <w:t>大气污染物综合排放标准</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838"/>
        <w:gridCol w:w="2839"/>
        <w:gridCol w:w="28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污染物</w:t>
            </w:r>
          </w:p>
        </w:tc>
        <w:tc>
          <w:tcPr>
            <w:tcW w:w="5678" w:type="dxa"/>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无组织排放监控浓度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颗粒物</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周界外浓度最高点</w:t>
            </w:r>
          </w:p>
        </w:tc>
        <w:tc>
          <w:tcPr>
            <w:tcW w:w="283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1.0mg/m</w:t>
            </w:r>
            <w:r>
              <w:rPr>
                <w:rFonts w:hint="default" w:ascii="Times New Roman" w:hAnsi="Times New Roman" w:cs="Times New Roman"/>
                <w:color w:val="auto"/>
                <w:sz w:val="21"/>
                <w:szCs w:val="21"/>
                <w:highlight w:val="none"/>
                <w:vertAlign w:val="superscript"/>
                <w:lang w:val="en-US" w:eastAsia="zh-CN"/>
              </w:rPr>
              <w:t>3</w:t>
            </w:r>
          </w:p>
        </w:tc>
      </w:tr>
    </w:tbl>
    <w:p>
      <w:pPr>
        <w:pStyle w:val="17"/>
        <w:spacing w:line="500" w:lineRule="exact"/>
        <w:ind w:firstLine="0" w:firstLineChars="0"/>
        <w:jc w:val="center"/>
        <w:rPr>
          <w:rFonts w:hint="default" w:ascii="Times New Roman" w:hAnsi="Times New Roman"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eastAsia" w:eastAsia="宋体" w:cs="Times New Roman"/>
          <w:b/>
          <w:bCs/>
          <w:color w:val="auto"/>
          <w:kern w:val="0"/>
          <w:sz w:val="24"/>
          <w:szCs w:val="24"/>
          <w:highlight w:val="none"/>
          <w:lang w:val="en-US" w:eastAsia="zh-CN" w:bidi="ar"/>
        </w:rPr>
        <w:t>2.5-7</w:t>
      </w:r>
      <w:r>
        <w:rPr>
          <w:rFonts w:hint="eastAsia" w:ascii="Times New Roman" w:hAnsi="Times New Roman" w:eastAsia="宋体" w:cs="Times New Roman"/>
          <w:b/>
          <w:bCs/>
          <w:color w:val="auto"/>
          <w:kern w:val="0"/>
          <w:sz w:val="24"/>
          <w:szCs w:val="24"/>
          <w:highlight w:val="none"/>
          <w:lang w:val="en-US" w:eastAsia="zh-CN" w:bidi="ar"/>
        </w:rPr>
        <w:t>锅炉烟气</w:t>
      </w:r>
      <w:r>
        <w:rPr>
          <w:rFonts w:hint="default" w:ascii="Times New Roman" w:hAnsi="Times New Roman" w:eastAsia="宋体" w:cs="Times New Roman"/>
          <w:b/>
          <w:bCs/>
          <w:color w:val="auto"/>
          <w:kern w:val="0"/>
          <w:sz w:val="24"/>
          <w:szCs w:val="24"/>
          <w:highlight w:val="none"/>
          <w:lang w:val="en-US" w:eastAsia="zh-CN" w:bidi="ar"/>
        </w:rPr>
        <w:t>污染物</w:t>
      </w:r>
      <w:r>
        <w:rPr>
          <w:rFonts w:hint="eastAsia" w:ascii="Times New Roman" w:hAnsi="Times New Roman" w:eastAsia="宋体" w:cs="Times New Roman"/>
          <w:b/>
          <w:bCs/>
          <w:color w:val="auto"/>
          <w:kern w:val="0"/>
          <w:sz w:val="24"/>
          <w:szCs w:val="24"/>
          <w:highlight w:val="none"/>
          <w:lang w:val="en-US" w:eastAsia="zh-CN" w:bidi="ar"/>
        </w:rPr>
        <w:t>排放限值  单位：mg/m3</w:t>
      </w:r>
    </w:p>
    <w:tbl>
      <w:tblPr>
        <w:tblStyle w:val="13"/>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274"/>
        <w:gridCol w:w="3511"/>
        <w:gridCol w:w="27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5" w:type="pct"/>
            <w:vMerge w:val="restar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污染物项目</w:t>
            </w:r>
          </w:p>
        </w:tc>
        <w:tc>
          <w:tcPr>
            <w:tcW w:w="2061"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限值</w:t>
            </w:r>
          </w:p>
        </w:tc>
        <w:tc>
          <w:tcPr>
            <w:tcW w:w="1602" w:type="pct"/>
            <w:vMerge w:val="restar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污染物排放监控位置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5" w:type="pct"/>
            <w:vMerge w:val="continue"/>
            <w:tcBorders>
              <w:tl2br w:val="nil"/>
              <w:tr2bl w:val="nil"/>
            </w:tcBorders>
            <w:noWrap w:val="0"/>
            <w:vAlign w:val="top"/>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2061"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污染物项目</w:t>
            </w:r>
          </w:p>
        </w:tc>
        <w:tc>
          <w:tcPr>
            <w:tcW w:w="1602" w:type="pct"/>
            <w:vMerge w:val="continue"/>
            <w:tcBorders>
              <w:tl2br w:val="nil"/>
              <w:tr2bl w:val="nil"/>
            </w:tcBorders>
            <w:noWrap w:val="0"/>
            <w:vAlign w:val="top"/>
          </w:tcPr>
          <w:p>
            <w:pPr>
              <w:spacing w:line="360" w:lineRule="exact"/>
              <w:jc w:val="center"/>
              <w:rPr>
                <w:rFonts w:hint="eastAsia" w:ascii="Times New Roman" w:hAnsi="Times New Roman" w:eastAsia="宋体" w:cs="Times New Roman"/>
                <w:color w:val="auto"/>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5"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颗粒物</w:t>
            </w:r>
          </w:p>
        </w:tc>
        <w:tc>
          <w:tcPr>
            <w:tcW w:w="2061"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1602" w:type="pct"/>
            <w:vMerge w:val="restar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烟囱或烟道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5"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二氧化硫</w:t>
            </w:r>
          </w:p>
        </w:tc>
        <w:tc>
          <w:tcPr>
            <w:tcW w:w="2061"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300</w:t>
            </w:r>
          </w:p>
        </w:tc>
        <w:tc>
          <w:tcPr>
            <w:tcW w:w="1602" w:type="pct"/>
            <w:vMerge w:val="continue"/>
            <w:tcBorders>
              <w:tl2br w:val="nil"/>
              <w:tr2bl w:val="nil"/>
            </w:tcBorders>
            <w:noWrap w:val="0"/>
            <w:vAlign w:val="top"/>
          </w:tcPr>
          <w:p>
            <w:pPr>
              <w:spacing w:line="360" w:lineRule="exact"/>
              <w:jc w:val="center"/>
              <w:rPr>
                <w:rFonts w:hint="eastAsia" w:ascii="Times New Roman" w:hAnsi="Times New Roman" w:eastAsia="宋体" w:cs="Times New Roman"/>
                <w:color w:val="auto"/>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5"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氮氧化物</w:t>
            </w:r>
          </w:p>
        </w:tc>
        <w:tc>
          <w:tcPr>
            <w:tcW w:w="2061"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300</w:t>
            </w:r>
          </w:p>
        </w:tc>
        <w:tc>
          <w:tcPr>
            <w:tcW w:w="1602" w:type="pct"/>
            <w:vMerge w:val="continue"/>
            <w:tcBorders>
              <w:tl2br w:val="nil"/>
              <w:tr2bl w:val="nil"/>
            </w:tcBorders>
            <w:noWrap w:val="0"/>
            <w:vAlign w:val="top"/>
          </w:tcPr>
          <w:p>
            <w:pPr>
              <w:spacing w:line="360" w:lineRule="exact"/>
              <w:jc w:val="center"/>
              <w:rPr>
                <w:rFonts w:hint="eastAsia" w:ascii="Times New Roman" w:hAnsi="Times New Roman" w:eastAsia="宋体" w:cs="Times New Roman"/>
                <w:color w:val="auto"/>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5"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汞及其化合物</w:t>
            </w:r>
          </w:p>
        </w:tc>
        <w:tc>
          <w:tcPr>
            <w:tcW w:w="2061"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0.05</w:t>
            </w:r>
          </w:p>
        </w:tc>
        <w:tc>
          <w:tcPr>
            <w:tcW w:w="1602" w:type="pct"/>
            <w:vMerge w:val="continue"/>
            <w:tcBorders>
              <w:tl2br w:val="nil"/>
              <w:tr2bl w:val="nil"/>
            </w:tcBorders>
            <w:noWrap w:val="0"/>
            <w:vAlign w:val="top"/>
          </w:tcPr>
          <w:p>
            <w:pPr>
              <w:spacing w:line="360" w:lineRule="exact"/>
              <w:jc w:val="center"/>
              <w:rPr>
                <w:rFonts w:hint="eastAsia" w:ascii="Times New Roman" w:hAnsi="Times New Roman" w:eastAsia="宋体" w:cs="Times New Roman"/>
                <w:color w:val="auto"/>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5"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烟气黑度</w:t>
            </w:r>
          </w:p>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r>
              <w:rPr>
                <w:rFonts w:hint="eastAsia" w:ascii="Times New Roman" w:hAnsi="Times New Roman" w:eastAsia="宋体" w:cs="Times New Roman"/>
                <w:color w:val="auto"/>
                <w:szCs w:val="21"/>
                <w:highlight w:val="none"/>
              </w:rPr>
              <w:t>林格曼黑度，级</w:t>
            </w:r>
            <w:r>
              <w:rPr>
                <w:rFonts w:hint="eastAsia" w:ascii="Times New Roman" w:hAnsi="Times New Roman" w:eastAsia="宋体" w:cs="Times New Roman"/>
                <w:color w:val="auto"/>
                <w:szCs w:val="21"/>
                <w:highlight w:val="none"/>
                <w:lang w:val="en-US" w:eastAsia="zh-CN"/>
              </w:rPr>
              <w:t>）</w:t>
            </w:r>
          </w:p>
        </w:tc>
        <w:tc>
          <w:tcPr>
            <w:tcW w:w="2061"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1602" w:type="pct"/>
            <w:tcBorders>
              <w:tl2br w:val="nil"/>
              <w:tr2bl w:val="nil"/>
            </w:tcBorders>
            <w:noWrap w:val="0"/>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烟囱排放口</w:t>
            </w:r>
          </w:p>
        </w:tc>
      </w:tr>
    </w:tbl>
    <w:p>
      <w:pPr>
        <w:pStyle w:val="17"/>
        <w:spacing w:line="500" w:lineRule="exact"/>
        <w:ind w:firstLine="0" w:firstLineChars="0"/>
        <w:jc w:val="center"/>
        <w:rPr>
          <w:rFonts w:hint="eastAsia" w:eastAsia="宋体" w:cs="Times New Roman"/>
          <w:b/>
          <w:bCs/>
          <w:color w:val="auto"/>
          <w:kern w:val="0"/>
          <w:sz w:val="24"/>
          <w:szCs w:val="24"/>
          <w:highlight w:val="none"/>
          <w:lang w:val="en-US" w:eastAsia="zh-CN" w:bidi="ar"/>
        </w:rPr>
      </w:pPr>
      <w:r>
        <w:rPr>
          <w:rFonts w:hint="eastAsia" w:ascii="Times New Roman" w:hAnsi="Times New Roman" w:eastAsia="宋体" w:cs="Times New Roman"/>
          <w:b/>
          <w:bCs/>
          <w:color w:val="auto"/>
          <w:kern w:val="0"/>
          <w:sz w:val="24"/>
          <w:szCs w:val="24"/>
          <w:highlight w:val="none"/>
          <w:lang w:val="en-US" w:eastAsia="zh-CN" w:bidi="ar"/>
        </w:rPr>
        <w:t>表</w:t>
      </w:r>
      <w:r>
        <w:rPr>
          <w:rFonts w:hint="eastAsia" w:eastAsia="宋体" w:cs="Times New Roman"/>
          <w:b/>
          <w:bCs/>
          <w:color w:val="auto"/>
          <w:kern w:val="0"/>
          <w:sz w:val="24"/>
          <w:szCs w:val="24"/>
          <w:highlight w:val="none"/>
          <w:lang w:val="en-US" w:eastAsia="zh-CN" w:bidi="ar"/>
        </w:rPr>
        <w:t>2.5-8饮食业油烟排放标准</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58"/>
        <w:gridCol w:w="425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规模</w:t>
            </w:r>
          </w:p>
        </w:tc>
        <w:tc>
          <w:tcPr>
            <w:tcW w:w="4258"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小型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tcBorders>
              <w:tl2br w:val="nil"/>
              <w:tr2bl w:val="nil"/>
            </w:tcBorders>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最高允许排放浓度（mg/m3）</w:t>
            </w:r>
          </w:p>
        </w:tc>
        <w:tc>
          <w:tcPr>
            <w:tcW w:w="4258"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tcBorders>
              <w:tl2br w:val="nil"/>
              <w:tr2bl w:val="nil"/>
            </w:tcBorders>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净化设施最低去除效率（%）</w:t>
            </w:r>
          </w:p>
        </w:tc>
        <w:tc>
          <w:tcPr>
            <w:tcW w:w="4258"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w:t>
            </w:r>
          </w:p>
        </w:tc>
      </w:tr>
    </w:tbl>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（2）废水</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施工期间生活污水排入移动环保旱厕内，定期清掏，外运堆肥。</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含泥沙雨水、河塘内积水及底泥出水经临时沉淀池沉淀后，用于施工区域抑尘，不外排。</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运行期间生活污水排入化粪池内，定期清掏，拉运至大同污水处理厂处理，处理后的尾水执行《城镇污水处理厂污染物排放标准》（GB18918-2002）一级A标准，排入安肇新河内。</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锅炉排污水排入潜流湿地内，经净化进入安肇新河内。食堂废水经隔油池处置后，排入化粪池，与生活污水一同拉运处置。</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本项目人工湿地设计出水标准见下表。</w:t>
      </w:r>
    </w:p>
    <w:p>
      <w:pPr>
        <w:pStyle w:val="17"/>
        <w:spacing w:line="500" w:lineRule="exact"/>
        <w:ind w:firstLine="0" w:firstLineChars="0"/>
        <w:jc w:val="center"/>
        <w:rPr>
          <w:rFonts w:hint="default"/>
          <w:b/>
          <w:color w:val="auto"/>
          <w:sz w:val="21"/>
          <w:szCs w:val="21"/>
          <w:highlight w:val="none"/>
          <w:vertAlign w:val="superscript"/>
          <w:lang w:val="en-US" w:eastAsia="zh-CN"/>
        </w:rPr>
      </w:pPr>
      <w:r>
        <w:rPr>
          <w:rFonts w:hint="eastAsia" w:ascii="Times New Roman" w:hAnsi="Times New Roman" w:eastAsia="宋体" w:cs="Times New Roman"/>
          <w:b/>
          <w:bCs/>
          <w:color w:val="auto"/>
          <w:kern w:val="2"/>
          <w:sz w:val="21"/>
          <w:szCs w:val="21"/>
          <w:highlight w:val="none"/>
          <w:lang w:val="en-US" w:eastAsia="zh-CN" w:bidi="ar-SA"/>
        </w:rPr>
        <w:t>表</w:t>
      </w:r>
      <w:r>
        <w:rPr>
          <w:rFonts w:hint="eastAsia" w:eastAsia="宋体" w:cs="Times New Roman"/>
          <w:b/>
          <w:bCs/>
          <w:color w:val="auto"/>
          <w:kern w:val="0"/>
          <w:sz w:val="24"/>
          <w:szCs w:val="24"/>
          <w:highlight w:val="none"/>
          <w:lang w:val="en-US" w:eastAsia="zh-CN" w:bidi="ar"/>
        </w:rPr>
        <w:t>2.5-9</w:t>
      </w:r>
      <w:r>
        <w:rPr>
          <w:rFonts w:hint="eastAsia" w:eastAsia="宋体" w:cs="Times New Roman"/>
          <w:b/>
          <w:bCs/>
          <w:color w:val="auto"/>
          <w:kern w:val="2"/>
          <w:sz w:val="21"/>
          <w:szCs w:val="21"/>
          <w:highlight w:val="none"/>
          <w:lang w:val="en-US" w:eastAsia="zh-CN" w:bidi="ar-SA"/>
        </w:rPr>
        <w:t>人工湿地设计出水标准</w:t>
      </w:r>
      <w:r>
        <w:rPr>
          <w:rFonts w:hint="eastAsia"/>
          <w:b/>
          <w:color w:val="auto"/>
          <w:sz w:val="21"/>
          <w:szCs w:val="21"/>
          <w:highlight w:val="none"/>
          <w:lang w:val="en-US" w:eastAsia="zh-CN"/>
        </w:rPr>
        <w:t xml:space="preserve">  单位：mg/L</w:t>
      </w:r>
    </w:p>
    <w:tbl>
      <w:tblPr>
        <w:tblStyle w:val="13"/>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41"/>
        <w:gridCol w:w="2264"/>
        <w:gridCol w:w="1702"/>
        <w:gridCol w:w="1702"/>
        <w:gridCol w:w="170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99" w:type="pct"/>
            <w:gridSpan w:val="2"/>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指标项目</w:t>
            </w:r>
          </w:p>
        </w:tc>
        <w:tc>
          <w:tcPr>
            <w:tcW w:w="99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CODcr</w:t>
            </w:r>
          </w:p>
        </w:tc>
        <w:tc>
          <w:tcPr>
            <w:tcW w:w="99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NH3-N</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TP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0" w:type="pct"/>
            <w:vMerge w:val="restar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融雪期</w:t>
            </w:r>
          </w:p>
        </w:tc>
        <w:tc>
          <w:tcPr>
            <w:tcW w:w="1329" w:type="pct"/>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设计进水指标</w:t>
            </w:r>
          </w:p>
        </w:tc>
        <w:tc>
          <w:tcPr>
            <w:tcW w:w="99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≤60</w:t>
            </w:r>
          </w:p>
        </w:tc>
        <w:tc>
          <w:tcPr>
            <w:tcW w:w="99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≤4.21</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0" w:type="pct"/>
            <w:vMerge w:val="continue"/>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p>
        </w:tc>
        <w:tc>
          <w:tcPr>
            <w:tcW w:w="1329" w:type="pct"/>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设计出水指标</w:t>
            </w:r>
          </w:p>
        </w:tc>
        <w:tc>
          <w:tcPr>
            <w:tcW w:w="99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30~40</w:t>
            </w:r>
          </w:p>
        </w:tc>
        <w:tc>
          <w:tcPr>
            <w:tcW w:w="999"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1.5~2</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0.1~0.15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0" w:type="pct"/>
            <w:vMerge w:val="restart"/>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冰封期</w:t>
            </w:r>
          </w:p>
        </w:tc>
        <w:tc>
          <w:tcPr>
            <w:tcW w:w="2264" w:type="dxa"/>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设计进水指标</w:t>
            </w:r>
          </w:p>
        </w:tc>
        <w:tc>
          <w:tcPr>
            <w:tcW w:w="17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≤60</w:t>
            </w:r>
          </w:p>
        </w:tc>
        <w:tc>
          <w:tcPr>
            <w:tcW w:w="17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≤4.21</w:t>
            </w:r>
          </w:p>
        </w:tc>
        <w:tc>
          <w:tcPr>
            <w:tcW w:w="170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0" w:type="pct"/>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2264" w:type="dxa"/>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设计出水指标</w:t>
            </w:r>
          </w:p>
        </w:tc>
        <w:tc>
          <w:tcPr>
            <w:tcW w:w="17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40~50</w:t>
            </w:r>
          </w:p>
        </w:tc>
        <w:tc>
          <w:tcPr>
            <w:tcW w:w="17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2.5~3.5</w:t>
            </w:r>
          </w:p>
        </w:tc>
        <w:tc>
          <w:tcPr>
            <w:tcW w:w="170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0.2~0.27</w:t>
            </w:r>
          </w:p>
        </w:tc>
      </w:tr>
    </w:tbl>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大同污水处理厂进水指标见下表。</w:t>
      </w:r>
    </w:p>
    <w:p>
      <w:pPr>
        <w:keepLines w:val="0"/>
        <w:pageBreakBefore w:val="0"/>
        <w:widowControl w:val="0"/>
        <w:kinsoku/>
        <w:wordWrap/>
        <w:topLinePunct w:val="0"/>
        <w:autoSpaceDE/>
        <w:autoSpaceDN/>
        <w:bidi w:val="0"/>
        <w:adjustRightInd/>
        <w:spacing w:line="500" w:lineRule="exact"/>
        <w:jc w:val="center"/>
        <w:textAlignment w:val="auto"/>
        <w:rPr>
          <w:rFonts w:hint="eastAsia" w:ascii="Times New Roman" w:hAnsi="Times New Roman" w:eastAsia="宋体" w:cs="Times New Roman"/>
          <w:b/>
          <w:bCs/>
          <w:color w:val="auto"/>
          <w:szCs w:val="21"/>
          <w:highlight w:val="none"/>
          <w:lang w:val="en-US" w:eastAsia="zh-CN"/>
        </w:rPr>
      </w:pPr>
      <w:r>
        <w:rPr>
          <w:rFonts w:hint="eastAsia" w:ascii="Times New Roman" w:hAnsi="Times New Roman" w:eastAsia="宋体" w:cs="Times New Roman"/>
          <w:b/>
          <w:bCs/>
          <w:color w:val="auto"/>
          <w:kern w:val="2"/>
          <w:sz w:val="21"/>
          <w:szCs w:val="21"/>
          <w:highlight w:val="none"/>
          <w:lang w:val="en-US" w:eastAsia="zh-CN" w:bidi="ar-SA"/>
        </w:rPr>
        <w:t>表2.5-10大同区污水</w:t>
      </w:r>
      <w:r>
        <w:rPr>
          <w:rFonts w:hint="eastAsia" w:ascii="Times New Roman" w:hAnsi="Times New Roman" w:eastAsia="宋体" w:cs="Times New Roman"/>
          <w:b/>
          <w:bCs/>
          <w:color w:val="auto"/>
          <w:szCs w:val="21"/>
          <w:highlight w:val="none"/>
          <w:lang w:val="en-US" w:eastAsia="zh-CN"/>
        </w:rPr>
        <w:t>处理厂进水指标</w:t>
      </w:r>
    </w:p>
    <w:tbl>
      <w:tblPr>
        <w:tblStyle w:val="13"/>
        <w:tblW w:w="4999"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857"/>
        <w:gridCol w:w="1981"/>
        <w:gridCol w:w="1887"/>
        <w:gridCol w:w="278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0"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污染物</w:t>
            </w:r>
          </w:p>
        </w:tc>
        <w:tc>
          <w:tcPr>
            <w:tcW w:w="1163"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单位</w:t>
            </w:r>
          </w:p>
        </w:tc>
        <w:tc>
          <w:tcPr>
            <w:tcW w:w="1108"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限值</w:t>
            </w:r>
          </w:p>
        </w:tc>
        <w:tc>
          <w:tcPr>
            <w:tcW w:w="1637"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标准来源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0"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COD</w:t>
            </w:r>
            <w:r>
              <w:rPr>
                <w:rFonts w:hint="default" w:ascii="Times New Roman" w:hAnsi="Times New Roman" w:eastAsia="宋体" w:cs="Times New Roman"/>
                <w:color w:val="auto"/>
                <w:highlight w:val="none"/>
                <w:vertAlign w:val="subscript"/>
                <w:lang w:val="en-US" w:eastAsia="zh-CN"/>
              </w:rPr>
              <w:t>Cr</w:t>
            </w:r>
          </w:p>
        </w:tc>
        <w:tc>
          <w:tcPr>
            <w:tcW w:w="1163"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mg/L</w:t>
            </w:r>
          </w:p>
        </w:tc>
        <w:tc>
          <w:tcPr>
            <w:tcW w:w="110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350</w:t>
            </w:r>
          </w:p>
        </w:tc>
        <w:tc>
          <w:tcPr>
            <w:tcW w:w="1637" w:type="pct"/>
            <w:vMerge w:val="restart"/>
            <w:tcBorders>
              <w:tl2br w:val="nil"/>
              <w:tr2bl w:val="nil"/>
            </w:tcBorders>
            <w:vAlign w:val="center"/>
          </w:tcPr>
          <w:p>
            <w:pPr>
              <w:spacing w:line="360" w:lineRule="exact"/>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大同区污水处理厂</w:t>
            </w:r>
            <w:r>
              <w:rPr>
                <w:rFonts w:hint="eastAsia" w:ascii="Times New Roman" w:hAnsi="Times New Roman" w:eastAsia="宋体" w:cs="Times New Roman"/>
                <w:color w:val="auto"/>
                <w:highlight w:val="none"/>
                <w:lang w:val="en-US" w:eastAsia="zh-CN"/>
              </w:rPr>
              <w:t>进水标准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0"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BOD</w:t>
            </w:r>
            <w:r>
              <w:rPr>
                <w:rFonts w:hint="default" w:ascii="Times New Roman" w:hAnsi="Times New Roman" w:eastAsia="宋体" w:cs="Times New Roman"/>
                <w:color w:val="auto"/>
                <w:highlight w:val="none"/>
                <w:vertAlign w:val="subscript"/>
                <w:lang w:val="en-US" w:eastAsia="zh-CN"/>
              </w:rPr>
              <w:t>5</w:t>
            </w:r>
          </w:p>
        </w:tc>
        <w:tc>
          <w:tcPr>
            <w:tcW w:w="1163"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mg/L</w:t>
            </w:r>
          </w:p>
        </w:tc>
        <w:tc>
          <w:tcPr>
            <w:tcW w:w="110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1637" w:type="pct"/>
            <w:vMerge w:val="continue"/>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0"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SS</w:t>
            </w:r>
          </w:p>
        </w:tc>
        <w:tc>
          <w:tcPr>
            <w:tcW w:w="1163"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mg/L</w:t>
            </w:r>
          </w:p>
        </w:tc>
        <w:tc>
          <w:tcPr>
            <w:tcW w:w="110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1637" w:type="pct"/>
            <w:vMerge w:val="continue"/>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0"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氨氮</w:t>
            </w:r>
          </w:p>
        </w:tc>
        <w:tc>
          <w:tcPr>
            <w:tcW w:w="1163"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mg/L</w:t>
            </w:r>
          </w:p>
        </w:tc>
        <w:tc>
          <w:tcPr>
            <w:tcW w:w="110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55</w:t>
            </w:r>
          </w:p>
        </w:tc>
        <w:tc>
          <w:tcPr>
            <w:tcW w:w="1637" w:type="pct"/>
            <w:vMerge w:val="continue"/>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0"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总磷</w:t>
            </w:r>
          </w:p>
        </w:tc>
        <w:tc>
          <w:tcPr>
            <w:tcW w:w="1163"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mg/L</w:t>
            </w:r>
          </w:p>
        </w:tc>
        <w:tc>
          <w:tcPr>
            <w:tcW w:w="110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1637" w:type="pct"/>
            <w:vMerge w:val="continue"/>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0"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总氮</w:t>
            </w:r>
          </w:p>
        </w:tc>
        <w:tc>
          <w:tcPr>
            <w:tcW w:w="1163" w:type="pct"/>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mg/L</w:t>
            </w:r>
          </w:p>
        </w:tc>
        <w:tc>
          <w:tcPr>
            <w:tcW w:w="1108" w:type="pc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1637" w:type="pct"/>
            <w:vMerge w:val="continue"/>
            <w:tcBorders>
              <w:tl2br w:val="nil"/>
              <w:tr2bl w:val="nil"/>
            </w:tcBorders>
          </w:tcPr>
          <w:p>
            <w:pPr>
              <w:spacing w:line="360" w:lineRule="exact"/>
              <w:jc w:val="center"/>
              <w:rPr>
                <w:rFonts w:hint="default" w:ascii="Times New Roman" w:hAnsi="Times New Roman" w:eastAsia="宋体" w:cs="Times New Roman"/>
                <w:color w:val="auto"/>
                <w:highlight w:val="none"/>
                <w:lang w:val="en-US" w:eastAsia="zh-CN"/>
              </w:rPr>
            </w:pPr>
          </w:p>
        </w:tc>
      </w:tr>
    </w:tbl>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（3）噪声</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施工期噪声执行《建筑施工场界环境噪声排放标准》（GB12523-2011）。</w:t>
      </w:r>
    </w:p>
    <w:p>
      <w:pPr>
        <w:pStyle w:val="5"/>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运行期厂界执行《工业企业厂界环境噪声排放标准》（GB12348-2008）2类标准。</w:t>
      </w:r>
    </w:p>
    <w:p>
      <w:pPr>
        <w:widowControl/>
        <w:spacing w:line="360" w:lineRule="auto"/>
        <w:ind w:firstLine="482" w:firstLineChars="200"/>
        <w:jc w:val="center"/>
        <w:rPr>
          <w:rFonts w:ascii="Times New Roman" w:hAnsi="Times New Roman" w:eastAsia="宋体" w:cs="Times New Roman"/>
          <w:b/>
          <w:bCs/>
          <w:smallCaps w:val="0"/>
          <w:color w:val="auto"/>
          <w:spacing w:val="0"/>
          <w:w w:val="100"/>
          <w:kern w:val="0"/>
          <w:sz w:val="24"/>
          <w:highlight w:val="none"/>
          <w:lang w:bidi="ar"/>
        </w:rPr>
      </w:pPr>
      <w:r>
        <w:rPr>
          <w:rFonts w:ascii="Times New Roman" w:hAnsi="Times New Roman" w:eastAsia="宋体" w:cs="Times New Roman"/>
          <w:b/>
          <w:bCs/>
          <w:smallCaps w:val="0"/>
          <w:color w:val="auto"/>
          <w:spacing w:val="0"/>
          <w:w w:val="100"/>
          <w:kern w:val="0"/>
          <w:sz w:val="24"/>
          <w:highlight w:val="none"/>
          <w:lang w:bidi="ar"/>
        </w:rPr>
        <w:t>表</w:t>
      </w:r>
      <w:r>
        <w:rPr>
          <w:rFonts w:hint="eastAsia" w:eastAsia="宋体" w:cs="Times New Roman"/>
          <w:b/>
          <w:bCs/>
          <w:color w:val="auto"/>
          <w:kern w:val="0"/>
          <w:sz w:val="24"/>
          <w:szCs w:val="24"/>
          <w:highlight w:val="none"/>
          <w:lang w:val="en-US" w:eastAsia="zh-CN" w:bidi="ar"/>
        </w:rPr>
        <w:t>2.5-11</w:t>
      </w:r>
      <w:r>
        <w:rPr>
          <w:rFonts w:ascii="Times New Roman" w:hAnsi="Times New Roman" w:eastAsia="宋体" w:cs="Times New Roman"/>
          <w:b/>
          <w:bCs/>
          <w:smallCaps w:val="0"/>
          <w:color w:val="auto"/>
          <w:spacing w:val="0"/>
          <w:w w:val="100"/>
          <w:kern w:val="0"/>
          <w:sz w:val="24"/>
          <w:highlight w:val="none"/>
          <w:lang w:bidi="ar"/>
        </w:rPr>
        <w:t>建筑施工场界环境噪声排放标准 单位：[dB(A)]</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58"/>
        <w:gridCol w:w="425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4258" w:type="dxa"/>
            <w:tcBorders>
              <w:tl2br w:val="nil"/>
              <w:tr2bl w:val="nil"/>
            </w:tcBorders>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昼间</w:t>
            </w:r>
          </w:p>
        </w:tc>
        <w:tc>
          <w:tcPr>
            <w:tcW w:w="4258" w:type="dxa"/>
            <w:tcBorders>
              <w:tl2br w:val="nil"/>
              <w:tr2bl w:val="nil"/>
            </w:tcBorders>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0" w:hRule="atLeast"/>
        </w:trPr>
        <w:tc>
          <w:tcPr>
            <w:tcW w:w="4258" w:type="dxa"/>
            <w:tcBorders>
              <w:tl2br w:val="nil"/>
              <w:tr2bl w:val="nil"/>
            </w:tcBorders>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70</w:t>
            </w:r>
          </w:p>
        </w:tc>
        <w:tc>
          <w:tcPr>
            <w:tcW w:w="4258" w:type="dxa"/>
            <w:tcBorders>
              <w:tl2br w:val="nil"/>
              <w:tr2bl w:val="nil"/>
            </w:tcBorders>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55</w:t>
            </w:r>
          </w:p>
        </w:tc>
      </w:tr>
    </w:tbl>
    <w:p>
      <w:pPr>
        <w:widowControl/>
        <w:spacing w:line="360" w:lineRule="auto"/>
        <w:ind w:firstLine="482" w:firstLineChars="200"/>
        <w:jc w:val="center"/>
        <w:rPr>
          <w:rFonts w:ascii="Times New Roman" w:hAnsi="Times New Roman" w:eastAsia="宋体" w:cs="Times New Roman"/>
          <w:b/>
          <w:bCs/>
          <w:smallCaps w:val="0"/>
          <w:color w:val="auto"/>
          <w:spacing w:val="0"/>
          <w:w w:val="100"/>
          <w:kern w:val="0"/>
          <w:sz w:val="24"/>
          <w:highlight w:val="none"/>
          <w:lang w:bidi="ar"/>
        </w:rPr>
      </w:pPr>
      <w:r>
        <w:rPr>
          <w:rFonts w:hint="eastAsia" w:ascii="Times New Roman" w:hAnsi="Times New Roman" w:eastAsia="宋体" w:cs="Times New Roman"/>
          <w:b/>
          <w:bCs/>
          <w:smallCaps w:val="0"/>
          <w:color w:val="auto"/>
          <w:spacing w:val="0"/>
          <w:w w:val="100"/>
          <w:kern w:val="0"/>
          <w:sz w:val="24"/>
          <w:highlight w:val="none"/>
          <w:lang w:bidi="ar"/>
        </w:rPr>
        <w:t>表</w:t>
      </w:r>
      <w:r>
        <w:rPr>
          <w:rFonts w:hint="eastAsia" w:eastAsia="宋体" w:cs="Times New Roman"/>
          <w:b/>
          <w:bCs/>
          <w:color w:val="auto"/>
          <w:kern w:val="0"/>
          <w:sz w:val="24"/>
          <w:szCs w:val="24"/>
          <w:highlight w:val="none"/>
          <w:lang w:val="en-US" w:eastAsia="zh-CN" w:bidi="ar"/>
        </w:rPr>
        <w:t>2.5-12</w:t>
      </w:r>
      <w:r>
        <w:rPr>
          <w:rFonts w:hint="eastAsia" w:ascii="Times New Roman" w:hAnsi="Times New Roman" w:eastAsia="宋体" w:cs="Times New Roman"/>
          <w:b/>
          <w:bCs/>
          <w:smallCaps w:val="0"/>
          <w:color w:val="auto"/>
          <w:spacing w:val="0"/>
          <w:w w:val="100"/>
          <w:kern w:val="0"/>
          <w:sz w:val="24"/>
          <w:highlight w:val="none"/>
          <w:lang w:bidi="ar"/>
        </w:rPr>
        <w:t xml:space="preserve">厂界噪声评价标准 </w:t>
      </w:r>
      <w:r>
        <w:rPr>
          <w:rFonts w:ascii="Times New Roman" w:hAnsi="Times New Roman" w:eastAsia="宋体" w:cs="Times New Roman"/>
          <w:b/>
          <w:bCs/>
          <w:smallCaps w:val="0"/>
          <w:color w:val="auto"/>
          <w:spacing w:val="0"/>
          <w:w w:val="100"/>
          <w:kern w:val="0"/>
          <w:sz w:val="24"/>
          <w:highlight w:val="none"/>
          <w:lang w:bidi="ar"/>
        </w:rPr>
        <w:t>单位：[dB(A)]</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3103"/>
        <w:gridCol w:w="2574"/>
        <w:gridCol w:w="28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103" w:type="dxa"/>
            <w:vMerge w:val="restart"/>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厂界外声环境功能区类别</w:t>
            </w:r>
          </w:p>
        </w:tc>
        <w:tc>
          <w:tcPr>
            <w:tcW w:w="5413" w:type="dxa"/>
            <w:gridSpan w:val="2"/>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时段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103" w:type="dxa"/>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2574" w:type="dxa"/>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昼间</w:t>
            </w:r>
          </w:p>
        </w:tc>
        <w:tc>
          <w:tcPr>
            <w:tcW w:w="2839" w:type="dxa"/>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103" w:type="dxa"/>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2类</w:t>
            </w:r>
          </w:p>
        </w:tc>
        <w:tc>
          <w:tcPr>
            <w:tcW w:w="2574" w:type="dxa"/>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w:t>
            </w:r>
          </w:p>
        </w:tc>
        <w:tc>
          <w:tcPr>
            <w:tcW w:w="2839" w:type="dxa"/>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r>
    </w:tbl>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（4）固体废物</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施工期施工场地产生的固体废物主要是建筑垃圾</w:t>
      </w:r>
      <w:r>
        <w:rPr>
          <w:rFonts w:hint="eastAsia" w:ascii="Times New Roman" w:hAnsi="Times New Roman" w:eastAsia="宋体" w:cs="Times New Roman"/>
          <w:caps w:val="0"/>
          <w:smallCaps w:val="0"/>
          <w:color w:val="auto"/>
          <w:spacing w:val="0"/>
          <w:w w:val="100"/>
          <w:kern w:val="0"/>
          <w:sz w:val="24"/>
          <w:szCs w:val="24"/>
          <w:highlight w:val="none"/>
          <w:lang w:val="en-US" w:eastAsia="zh-CN"/>
        </w:rPr>
        <w:t>及生活垃圾。</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建筑垃圾属于一般工业固体废物，其贮存、处置参照《一般工业固体废物贮存和填埋污染控制标准》（GB18599-2020）执行。</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运营期产生的固废主要是</w:t>
      </w:r>
      <w:r>
        <w:rPr>
          <w:rFonts w:hint="eastAsia" w:ascii="Times New Roman" w:hAnsi="Times New Roman" w:eastAsia="宋体" w:cs="Times New Roman"/>
          <w:caps w:val="0"/>
          <w:smallCaps w:val="0"/>
          <w:color w:val="auto"/>
          <w:spacing w:val="0"/>
          <w:w w:val="100"/>
          <w:kern w:val="0"/>
          <w:sz w:val="24"/>
          <w:szCs w:val="24"/>
          <w:highlight w:val="none"/>
          <w:lang w:val="en-US" w:eastAsia="zh-CN"/>
        </w:rPr>
        <w:t>运维人员生活垃圾、人工湿地</w:t>
      </w:r>
      <w:r>
        <w:rPr>
          <w:rFonts w:hint="default" w:ascii="Times New Roman" w:hAnsi="Times New Roman" w:eastAsia="宋体" w:cs="Times New Roman"/>
          <w:caps w:val="0"/>
          <w:smallCaps w:val="0"/>
          <w:color w:val="auto"/>
          <w:spacing w:val="0"/>
          <w:w w:val="100"/>
          <w:kern w:val="0"/>
          <w:sz w:val="24"/>
          <w:szCs w:val="24"/>
          <w:highlight w:val="none"/>
          <w:lang w:val="en-US" w:eastAsia="zh-CN"/>
        </w:rPr>
        <w:t>植物废弃物</w:t>
      </w:r>
      <w:r>
        <w:rPr>
          <w:rFonts w:hint="eastAsia" w:ascii="Times New Roman" w:hAnsi="Times New Roman" w:eastAsia="宋体" w:cs="Times New Roman"/>
          <w:caps w:val="0"/>
          <w:smallCaps w:val="0"/>
          <w:color w:val="auto"/>
          <w:spacing w:val="0"/>
          <w:w w:val="100"/>
          <w:kern w:val="0"/>
          <w:sz w:val="24"/>
          <w:szCs w:val="24"/>
          <w:highlight w:val="none"/>
          <w:lang w:val="en-US" w:eastAsia="zh-CN"/>
        </w:rPr>
        <w:t>、供暖期间锅炉灰渣及除尘器收集沉渣。</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生活垃圾及</w:t>
      </w:r>
      <w:r>
        <w:rPr>
          <w:rFonts w:hint="default" w:ascii="Times New Roman" w:hAnsi="Times New Roman" w:eastAsia="宋体" w:cs="Times New Roman"/>
          <w:caps w:val="0"/>
          <w:smallCaps w:val="0"/>
          <w:color w:val="auto"/>
          <w:spacing w:val="0"/>
          <w:w w:val="100"/>
          <w:kern w:val="0"/>
          <w:sz w:val="24"/>
          <w:szCs w:val="24"/>
          <w:highlight w:val="none"/>
          <w:lang w:val="en-US" w:eastAsia="zh-CN"/>
        </w:rPr>
        <w:t>植物废弃物</w:t>
      </w:r>
      <w:r>
        <w:rPr>
          <w:rFonts w:hint="eastAsia" w:ascii="Times New Roman" w:hAnsi="Times New Roman" w:eastAsia="宋体" w:cs="Times New Roman"/>
          <w:caps w:val="0"/>
          <w:smallCaps w:val="0"/>
          <w:color w:val="auto"/>
          <w:spacing w:val="0"/>
          <w:w w:val="100"/>
          <w:kern w:val="0"/>
          <w:sz w:val="24"/>
          <w:szCs w:val="24"/>
          <w:highlight w:val="none"/>
          <w:lang w:val="en-US" w:eastAsia="zh-CN"/>
        </w:rPr>
        <w:t>处置执行《生活垃圾填埋场污染控制标准》（GB16889-2008）。</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供暖期灰渣及沉渣定期外售，综合利用。</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100" w:name="_Toc4740"/>
      <w:r>
        <w:rPr>
          <w:rFonts w:hint="default" w:ascii="Times New Roman" w:hAnsi="Times New Roman" w:eastAsia="宋体" w:cs="Times New Roman"/>
          <w:snapToGrid/>
          <w:color w:val="auto"/>
          <w:sz w:val="32"/>
          <w:highlight w:val="none"/>
          <w:lang w:val="en-US" w:eastAsia="zh-CN" w:bidi="ar-SA"/>
        </w:rPr>
        <w:t>2.</w:t>
      </w:r>
      <w:r>
        <w:rPr>
          <w:rFonts w:hint="eastAsia" w:ascii="Times New Roman" w:hAnsi="Times New Roman" w:eastAsia="宋体" w:cs="Times New Roman"/>
          <w:snapToGrid/>
          <w:color w:val="auto"/>
          <w:sz w:val="32"/>
          <w:highlight w:val="none"/>
          <w:lang w:val="en-US" w:eastAsia="zh-CN" w:bidi="ar-SA"/>
        </w:rPr>
        <w:t>6评价工作等级及评价范围</w:t>
      </w:r>
      <w:bookmarkEnd w:id="100"/>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2.6.1大气环境</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（1）评价等级</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依据《环境影响评价技术导则 大气环境》（HJ2.2-2018），大气环境影响评价工作分级方法，根据项目污染源初步调查结果，分别计算项目排放主要污染物的最大地面空气质量浓度占标率Pi（第i个污染物，简称“最大浓度占标率”），及第i个污染物的地面空气质量浓度达到标准值的10%时所对应的最远距离D10%。其中Pi定义为：</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Pi=Ci/C0i×100%</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式中：Pi—第i个污染物的最大地面空气质量浓度占标率，%</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Ci—采用估算模型计算出的第i个污染物的最大1h地面空气质量浓度，μg/m3；</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C0i—第i个污染物的环境空气质量浓度标准，μg/m3；一般选用GB3095中1小时平均取样时间的二级标准的浓度限值，对于没有小时浓度限值的污染物，可取日平均浓度限值的3倍折算</w:t>
      </w: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h平均质量浓度限值。</w:t>
      </w:r>
      <w:r>
        <w:rPr>
          <w:rFonts w:hint="eastAsia" w:ascii="Times New Roman" w:hAnsi="Times New Roman" w:eastAsia="宋体" w:cs="Times New Roman"/>
          <w:caps w:val="0"/>
          <w:smallCaps w:val="0"/>
          <w:color w:val="auto"/>
          <w:spacing w:val="0"/>
          <w:w w:val="100"/>
          <w:kern w:val="0"/>
          <w:sz w:val="24"/>
          <w:szCs w:val="24"/>
          <w:highlight w:val="none"/>
          <w:lang w:val="en-US" w:eastAsia="zh-CN"/>
        </w:rPr>
        <w:t>评价等级的划分原则见表2.6-1。</w:t>
      </w:r>
    </w:p>
    <w:p>
      <w:pPr>
        <w:widowControl/>
        <w:spacing w:line="360" w:lineRule="auto"/>
        <w:ind w:firstLine="482" w:firstLineChars="200"/>
        <w:jc w:val="center"/>
        <w:rPr>
          <w:rFonts w:ascii="Times New Roman" w:hAnsi="Times New Roman" w:eastAsia="宋体" w:cs="Times New Roman"/>
          <w:b/>
          <w:bCs/>
          <w:smallCaps w:val="0"/>
          <w:color w:val="auto"/>
          <w:spacing w:val="0"/>
          <w:w w:val="100"/>
          <w:kern w:val="0"/>
          <w:sz w:val="24"/>
          <w:highlight w:val="none"/>
          <w:lang w:bidi="ar"/>
        </w:rPr>
      </w:pPr>
      <w:r>
        <w:rPr>
          <w:rFonts w:hint="eastAsia" w:ascii="Times New Roman" w:hAnsi="Times New Roman" w:eastAsia="宋体" w:cs="Times New Roman"/>
          <w:b/>
          <w:bCs/>
          <w:smallCaps w:val="0"/>
          <w:color w:val="auto"/>
          <w:spacing w:val="0"/>
          <w:w w:val="100"/>
          <w:kern w:val="0"/>
          <w:sz w:val="24"/>
          <w:highlight w:val="none"/>
          <w:lang w:bidi="ar"/>
        </w:rPr>
        <w:t>表2.</w:t>
      </w:r>
      <w:r>
        <w:rPr>
          <w:rFonts w:hint="eastAsia" w:ascii="Times New Roman" w:hAnsi="Times New Roman" w:eastAsia="宋体" w:cs="Times New Roman"/>
          <w:b/>
          <w:bCs/>
          <w:smallCaps w:val="0"/>
          <w:color w:val="auto"/>
          <w:spacing w:val="0"/>
          <w:w w:val="100"/>
          <w:kern w:val="0"/>
          <w:sz w:val="24"/>
          <w:highlight w:val="none"/>
          <w:lang w:val="en-US" w:eastAsia="zh-CN" w:bidi="ar"/>
        </w:rPr>
        <w:t xml:space="preserve">6-1 </w:t>
      </w:r>
      <w:r>
        <w:rPr>
          <w:rFonts w:hint="eastAsia" w:ascii="Times New Roman" w:hAnsi="Times New Roman" w:eastAsia="宋体" w:cs="Times New Roman"/>
          <w:b/>
          <w:bCs/>
          <w:smallCaps w:val="0"/>
          <w:color w:val="auto"/>
          <w:spacing w:val="0"/>
          <w:w w:val="100"/>
          <w:kern w:val="0"/>
          <w:sz w:val="24"/>
          <w:highlight w:val="none"/>
          <w:lang w:bidi="ar"/>
        </w:rPr>
        <w:t>大气评价工作级别划分</w:t>
      </w:r>
    </w:p>
    <w:tbl>
      <w:tblPr>
        <w:tblStyle w:val="13"/>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003"/>
        <w:gridCol w:w="651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6" w:type="pct"/>
            <w:tcBorders>
              <w:tl2br w:val="nil"/>
              <w:tr2bl w:val="nil"/>
            </w:tcBorders>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评价工作等级</w:t>
            </w:r>
          </w:p>
        </w:tc>
        <w:tc>
          <w:tcPr>
            <w:tcW w:w="3823" w:type="pct"/>
            <w:tcBorders>
              <w:tl2br w:val="nil"/>
              <w:tr2bl w:val="nil"/>
            </w:tcBorders>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评价工作分级判据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6" w:type="pct"/>
            <w:tcBorders>
              <w:tl2br w:val="nil"/>
              <w:tr2bl w:val="nil"/>
            </w:tcBorders>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一级</w:t>
            </w:r>
          </w:p>
        </w:tc>
        <w:tc>
          <w:tcPr>
            <w:tcW w:w="3823" w:type="pct"/>
            <w:tcBorders>
              <w:tl2br w:val="nil"/>
              <w:tr2bl w:val="nil"/>
            </w:tcBorders>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P</w:t>
            </w:r>
            <w:r>
              <w:rPr>
                <w:rFonts w:hint="eastAsia" w:ascii="Times New Roman" w:hAnsi="Times New Roman" w:cs="Times New Roman"/>
                <w:smallCaps w:val="0"/>
                <w:color w:val="auto"/>
                <w:spacing w:val="0"/>
                <w:w w:val="100"/>
                <w:sz w:val="21"/>
                <w:szCs w:val="21"/>
                <w:highlight w:val="none"/>
                <w:vertAlign w:val="subscript"/>
              </w:rPr>
              <w:t>max</w:t>
            </w:r>
            <w:r>
              <w:rPr>
                <w:rFonts w:hint="eastAsia" w:ascii="Times New Roman" w:hAnsi="Times New Roman" w:cs="Times New Roman"/>
                <w:smallCaps w:val="0"/>
                <w:color w:val="auto"/>
                <w:spacing w:val="0"/>
                <w:w w:val="100"/>
                <w:sz w:val="21"/>
                <w:szCs w:val="21"/>
                <w:highlight w:val="none"/>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6" w:type="pct"/>
            <w:tcBorders>
              <w:tl2br w:val="nil"/>
              <w:tr2bl w:val="nil"/>
            </w:tcBorders>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二级</w:t>
            </w:r>
          </w:p>
        </w:tc>
        <w:tc>
          <w:tcPr>
            <w:tcW w:w="3823" w:type="pct"/>
            <w:tcBorders>
              <w:tl2br w:val="nil"/>
              <w:tr2bl w:val="nil"/>
            </w:tcBorders>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1%≤P</w:t>
            </w:r>
            <w:r>
              <w:rPr>
                <w:rFonts w:hint="eastAsia" w:ascii="Times New Roman" w:hAnsi="Times New Roman" w:cs="Times New Roman"/>
                <w:smallCaps w:val="0"/>
                <w:color w:val="auto"/>
                <w:spacing w:val="0"/>
                <w:w w:val="100"/>
                <w:sz w:val="21"/>
                <w:szCs w:val="21"/>
                <w:highlight w:val="none"/>
                <w:vertAlign w:val="subscript"/>
              </w:rPr>
              <w:t>max</w:t>
            </w:r>
            <w:r>
              <w:rPr>
                <w:rFonts w:hint="eastAsia" w:ascii="Times New Roman" w:hAnsi="Times New Roman" w:cs="Times New Roman"/>
                <w:smallCaps w:val="0"/>
                <w:color w:val="auto"/>
                <w:spacing w:val="0"/>
                <w:w w:val="100"/>
                <w:sz w:val="21"/>
                <w:szCs w:val="21"/>
                <w:highlight w:val="none"/>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6" w:type="pct"/>
            <w:tcBorders>
              <w:tl2br w:val="nil"/>
              <w:tr2bl w:val="nil"/>
            </w:tcBorders>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三级</w:t>
            </w:r>
          </w:p>
        </w:tc>
        <w:tc>
          <w:tcPr>
            <w:tcW w:w="3823" w:type="pct"/>
            <w:tcBorders>
              <w:tl2br w:val="nil"/>
              <w:tr2bl w:val="nil"/>
            </w:tcBorders>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P</w:t>
            </w:r>
            <w:r>
              <w:rPr>
                <w:rFonts w:hint="eastAsia" w:ascii="Times New Roman" w:hAnsi="Times New Roman" w:cs="Times New Roman"/>
                <w:smallCaps w:val="0"/>
                <w:color w:val="auto"/>
                <w:spacing w:val="0"/>
                <w:w w:val="100"/>
                <w:sz w:val="21"/>
                <w:szCs w:val="21"/>
                <w:highlight w:val="none"/>
                <w:vertAlign w:val="subscript"/>
              </w:rPr>
              <w:t>max</w:t>
            </w:r>
            <w:r>
              <w:rPr>
                <w:rFonts w:hint="eastAsia" w:ascii="Times New Roman" w:hAnsi="Times New Roman" w:cs="Times New Roman"/>
                <w:smallCaps w:val="0"/>
                <w:color w:val="auto"/>
                <w:spacing w:val="0"/>
                <w:w w:val="100"/>
                <w:sz w:val="21"/>
                <w:szCs w:val="21"/>
                <w:highlight w:val="none"/>
              </w:rPr>
              <w:t>＜1%</w:t>
            </w:r>
          </w:p>
        </w:tc>
      </w:tr>
    </w:tbl>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（2）估算模式计算结果</w:t>
      </w:r>
    </w:p>
    <w:p>
      <w:pPr>
        <w:widowControl/>
        <w:spacing w:line="360" w:lineRule="auto"/>
        <w:ind w:firstLine="482" w:firstLineChars="200"/>
        <w:jc w:val="center"/>
        <w:rPr>
          <w:rFonts w:ascii="Times New Roman" w:hAnsi="Times New Roman" w:eastAsia="宋体" w:cs="Times New Roman"/>
          <w:b/>
          <w:bCs/>
          <w:smallCaps w:val="0"/>
          <w:color w:val="auto"/>
          <w:spacing w:val="0"/>
          <w:w w:val="100"/>
          <w:kern w:val="0"/>
          <w:sz w:val="24"/>
          <w:highlight w:val="none"/>
          <w:lang w:bidi="ar"/>
        </w:rPr>
      </w:pPr>
      <w:r>
        <w:rPr>
          <w:rFonts w:hint="eastAsia" w:ascii="Times New Roman" w:hAnsi="Times New Roman" w:eastAsia="宋体" w:cs="Times New Roman"/>
          <w:b/>
          <w:bCs/>
          <w:smallCaps w:val="0"/>
          <w:color w:val="auto"/>
          <w:spacing w:val="0"/>
          <w:w w:val="100"/>
          <w:kern w:val="0"/>
          <w:sz w:val="24"/>
          <w:highlight w:val="none"/>
          <w:lang w:bidi="ar"/>
        </w:rPr>
        <w:t>表2.</w:t>
      </w:r>
      <w:r>
        <w:rPr>
          <w:rFonts w:hint="eastAsia" w:ascii="Times New Roman" w:hAnsi="Times New Roman" w:eastAsia="宋体" w:cs="Times New Roman"/>
          <w:b/>
          <w:bCs/>
          <w:smallCaps w:val="0"/>
          <w:color w:val="auto"/>
          <w:spacing w:val="0"/>
          <w:w w:val="100"/>
          <w:kern w:val="0"/>
          <w:sz w:val="24"/>
          <w:highlight w:val="none"/>
          <w:lang w:val="en-US" w:eastAsia="zh-CN" w:bidi="ar"/>
        </w:rPr>
        <w:t xml:space="preserve">6-2 </w:t>
      </w:r>
      <w:r>
        <w:rPr>
          <w:rFonts w:hint="eastAsia" w:ascii="Times New Roman" w:hAnsi="Times New Roman" w:eastAsia="宋体" w:cs="Times New Roman"/>
          <w:b/>
          <w:bCs/>
          <w:smallCaps w:val="0"/>
          <w:color w:val="auto"/>
          <w:spacing w:val="0"/>
          <w:w w:val="100"/>
          <w:kern w:val="0"/>
          <w:sz w:val="24"/>
          <w:highlight w:val="none"/>
          <w:lang w:bidi="ar"/>
        </w:rPr>
        <w:t>估算模型参数表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982"/>
        <w:gridCol w:w="3695"/>
        <w:gridCol w:w="28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677" w:type="dxa"/>
            <w:gridSpan w:val="2"/>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参数</w:t>
            </w:r>
          </w:p>
        </w:tc>
        <w:tc>
          <w:tcPr>
            <w:tcW w:w="2839"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取值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82" w:type="dxa"/>
            <w:vMerge w:val="restart"/>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城市/农村选项</w:t>
            </w:r>
          </w:p>
        </w:tc>
        <w:tc>
          <w:tcPr>
            <w:tcW w:w="3695"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城市/农村</w:t>
            </w:r>
          </w:p>
        </w:tc>
        <w:tc>
          <w:tcPr>
            <w:tcW w:w="2839"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农村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82" w:type="dxa"/>
            <w:vMerge w:val="continue"/>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p>
        </w:tc>
        <w:tc>
          <w:tcPr>
            <w:tcW w:w="3695"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 xml:space="preserve">人口数 </w:t>
            </w:r>
            <w:r>
              <w:rPr>
                <w:rFonts w:hint="eastAsia" w:ascii="Times New Roman" w:hAnsi="Times New Roman" w:cs="Times New Roman"/>
                <w:smallCaps w:val="0"/>
                <w:color w:val="auto"/>
                <w:spacing w:val="0"/>
                <w:w w:val="100"/>
                <w:sz w:val="21"/>
                <w:szCs w:val="21"/>
                <w:highlight w:val="none"/>
                <w:lang w:eastAsia="zh-CN"/>
              </w:rPr>
              <w:t>（</w:t>
            </w:r>
            <w:r>
              <w:rPr>
                <w:rFonts w:hint="eastAsia" w:ascii="Times New Roman" w:hAnsi="Times New Roman" w:cs="Times New Roman"/>
                <w:smallCaps w:val="0"/>
                <w:color w:val="auto"/>
                <w:spacing w:val="0"/>
                <w:w w:val="100"/>
                <w:sz w:val="21"/>
                <w:szCs w:val="21"/>
                <w:highlight w:val="none"/>
              </w:rPr>
              <w:t>城市选项时</w:t>
            </w:r>
            <w:r>
              <w:rPr>
                <w:rFonts w:hint="eastAsia" w:ascii="Times New Roman" w:hAnsi="Times New Roman" w:cs="Times New Roman"/>
                <w:smallCaps w:val="0"/>
                <w:color w:val="auto"/>
                <w:spacing w:val="0"/>
                <w:w w:val="100"/>
                <w:sz w:val="21"/>
                <w:szCs w:val="21"/>
                <w:highlight w:val="none"/>
                <w:lang w:eastAsia="zh-CN"/>
              </w:rPr>
              <w:t>）</w:t>
            </w:r>
          </w:p>
        </w:tc>
        <w:tc>
          <w:tcPr>
            <w:tcW w:w="2839"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677" w:type="dxa"/>
            <w:gridSpan w:val="2"/>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最高环境温度/    ℃</w:t>
            </w:r>
          </w:p>
        </w:tc>
        <w:tc>
          <w:tcPr>
            <w:tcW w:w="2839"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38.9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677" w:type="dxa"/>
            <w:gridSpan w:val="2"/>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最低环境温度/    ℃</w:t>
            </w:r>
          </w:p>
        </w:tc>
        <w:tc>
          <w:tcPr>
            <w:tcW w:w="2839"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-36.2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677" w:type="dxa"/>
            <w:gridSpan w:val="2"/>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土地利用类型</w:t>
            </w:r>
          </w:p>
        </w:tc>
        <w:tc>
          <w:tcPr>
            <w:tcW w:w="2839"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荒草地及天然形成低洼河塘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677" w:type="dxa"/>
            <w:gridSpan w:val="2"/>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区域湿度条件</w:t>
            </w:r>
          </w:p>
        </w:tc>
        <w:tc>
          <w:tcPr>
            <w:tcW w:w="2839"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中等湿润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82" w:type="dxa"/>
            <w:vMerge w:val="restart"/>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是否考虑地形</w:t>
            </w:r>
          </w:p>
        </w:tc>
        <w:tc>
          <w:tcPr>
            <w:tcW w:w="3695"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考虑地形</w:t>
            </w:r>
          </w:p>
        </w:tc>
        <w:tc>
          <w:tcPr>
            <w:tcW w:w="2839"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☑是  □否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82" w:type="dxa"/>
            <w:vMerge w:val="continue"/>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p>
        </w:tc>
        <w:tc>
          <w:tcPr>
            <w:tcW w:w="3695"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地形数据分辨率/m</w:t>
            </w:r>
          </w:p>
        </w:tc>
        <w:tc>
          <w:tcPr>
            <w:tcW w:w="2839"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82" w:type="dxa"/>
            <w:vMerge w:val="restart"/>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是否考虑岸线熏烟</w:t>
            </w:r>
          </w:p>
        </w:tc>
        <w:tc>
          <w:tcPr>
            <w:tcW w:w="3695"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考虑岸线熏烟</w:t>
            </w:r>
          </w:p>
        </w:tc>
        <w:tc>
          <w:tcPr>
            <w:tcW w:w="2839"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□是  ☑否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82" w:type="dxa"/>
            <w:vMerge w:val="continue"/>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p>
        </w:tc>
        <w:tc>
          <w:tcPr>
            <w:tcW w:w="3695"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岸线距离/km</w:t>
            </w:r>
          </w:p>
        </w:tc>
        <w:tc>
          <w:tcPr>
            <w:tcW w:w="2839"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82" w:type="dxa"/>
            <w:vMerge w:val="continue"/>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p>
        </w:tc>
        <w:tc>
          <w:tcPr>
            <w:tcW w:w="3695"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岸线方向/°</w:t>
            </w:r>
          </w:p>
        </w:tc>
        <w:tc>
          <w:tcPr>
            <w:tcW w:w="2839" w:type="dxa"/>
            <w:tcBorders>
              <w:tl2br w:val="nil"/>
              <w:tr2bl w:val="nil"/>
            </w:tcBorders>
            <w:vAlign w:val="center"/>
          </w:tcPr>
          <w:p>
            <w:pPr>
              <w:keepNext w:val="0"/>
              <w:keepLines w:val="0"/>
              <w:widowControl/>
              <w:suppressLineNumbers w:val="0"/>
              <w:spacing w:before="0" w:beforeAutospacing="0" w:after="0" w:afterAutospacing="0" w:line="360" w:lineRule="exact"/>
              <w:ind w:left="0" w:right="0"/>
              <w:jc w:val="center"/>
              <w:rPr>
                <w:rFonts w:hint="default"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w:t>
            </w:r>
          </w:p>
        </w:tc>
      </w:tr>
    </w:tbl>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本项目运行期产生的废气主要为锅炉燃烧烟气及生态稳定塘无组织散发的恶臭气体，估算模型预测出来的各污染物计算结果见下表。</w:t>
      </w:r>
    </w:p>
    <w:p>
      <w:pPr>
        <w:widowControl/>
        <w:spacing w:line="360" w:lineRule="auto"/>
        <w:jc w:val="center"/>
        <w:rPr>
          <w:rFonts w:hint="eastAsia" w:ascii="Times New Roman" w:hAnsi="Times New Roman" w:eastAsia="宋体" w:cs="Times New Roman"/>
          <w:b/>
          <w:bCs/>
          <w:smallCaps w:val="0"/>
          <w:color w:val="auto"/>
          <w:spacing w:val="0"/>
          <w:w w:val="100"/>
          <w:kern w:val="0"/>
          <w:sz w:val="24"/>
          <w:highlight w:val="none"/>
          <w:lang w:bidi="ar"/>
        </w:rPr>
      </w:pPr>
      <w:r>
        <w:rPr>
          <w:rFonts w:hint="eastAsia" w:ascii="Times New Roman" w:hAnsi="Times New Roman" w:eastAsia="宋体" w:cs="Times New Roman"/>
          <w:b/>
          <w:bCs/>
          <w:smallCaps w:val="0"/>
          <w:color w:val="auto"/>
          <w:spacing w:val="0"/>
          <w:w w:val="100"/>
          <w:kern w:val="0"/>
          <w:sz w:val="24"/>
          <w:highlight w:val="none"/>
          <w:lang w:bidi="ar"/>
        </w:rPr>
        <w:t>表2.</w:t>
      </w:r>
      <w:r>
        <w:rPr>
          <w:rFonts w:hint="eastAsia" w:ascii="Times New Roman" w:hAnsi="Times New Roman" w:eastAsia="宋体" w:cs="Times New Roman"/>
          <w:b/>
          <w:bCs/>
          <w:smallCaps w:val="0"/>
          <w:color w:val="auto"/>
          <w:spacing w:val="0"/>
          <w:w w:val="100"/>
          <w:kern w:val="0"/>
          <w:sz w:val="24"/>
          <w:highlight w:val="none"/>
          <w:lang w:val="en-US" w:eastAsia="zh-CN" w:bidi="ar"/>
        </w:rPr>
        <w:t>6-3</w:t>
      </w:r>
      <w:r>
        <w:rPr>
          <w:rFonts w:hint="eastAsia" w:ascii="Times New Roman" w:hAnsi="Times New Roman" w:eastAsia="宋体" w:cs="Times New Roman"/>
          <w:b/>
          <w:bCs/>
          <w:smallCaps w:val="0"/>
          <w:color w:val="auto"/>
          <w:spacing w:val="0"/>
          <w:w w:val="100"/>
          <w:kern w:val="0"/>
          <w:sz w:val="24"/>
          <w:highlight w:val="none"/>
          <w:lang w:bidi="ar"/>
        </w:rPr>
        <w:t>各污染物最大落地浓度及浓度占标率情况</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19"/>
        <w:gridCol w:w="1419"/>
        <w:gridCol w:w="1419"/>
        <w:gridCol w:w="1419"/>
        <w:gridCol w:w="1420"/>
        <w:gridCol w:w="142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污染源名称</w:t>
            </w:r>
          </w:p>
        </w:tc>
        <w:tc>
          <w:tcPr>
            <w:tcW w:w="1419"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评价因子</w:t>
            </w:r>
          </w:p>
        </w:tc>
        <w:tc>
          <w:tcPr>
            <w:tcW w:w="1419"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评价标准（μg/m3）</w:t>
            </w:r>
          </w:p>
        </w:tc>
        <w:tc>
          <w:tcPr>
            <w:tcW w:w="1419"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Cmax（μg/m3）</w:t>
            </w:r>
          </w:p>
        </w:tc>
        <w:tc>
          <w:tcPr>
            <w:tcW w:w="1420"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Pmax（%）</w:t>
            </w:r>
          </w:p>
        </w:tc>
        <w:tc>
          <w:tcPr>
            <w:tcW w:w="1420"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D10%（m）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vMerge w:val="restar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锅炉排气筒</w:t>
            </w:r>
          </w:p>
        </w:tc>
        <w:tc>
          <w:tcPr>
            <w:tcW w:w="1419"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TSP</w:t>
            </w:r>
          </w:p>
        </w:tc>
        <w:tc>
          <w:tcPr>
            <w:tcW w:w="1419"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300</w:t>
            </w:r>
          </w:p>
        </w:tc>
        <w:tc>
          <w:tcPr>
            <w:tcW w:w="14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1.36E-06</w:t>
            </w:r>
          </w:p>
        </w:tc>
        <w:tc>
          <w:tcPr>
            <w:tcW w:w="14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4.53E-06</w:t>
            </w:r>
          </w:p>
        </w:tc>
        <w:tc>
          <w:tcPr>
            <w:tcW w:w="1420"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1419"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SO2</w:t>
            </w:r>
          </w:p>
        </w:tc>
        <w:tc>
          <w:tcPr>
            <w:tcW w:w="1419"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500</w:t>
            </w:r>
          </w:p>
        </w:tc>
        <w:tc>
          <w:tcPr>
            <w:tcW w:w="14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2.00E-03</w:t>
            </w:r>
          </w:p>
        </w:tc>
        <w:tc>
          <w:tcPr>
            <w:tcW w:w="14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0.40</w:t>
            </w:r>
          </w:p>
        </w:tc>
        <w:tc>
          <w:tcPr>
            <w:tcW w:w="1420"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1419"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NOX</w:t>
            </w:r>
          </w:p>
        </w:tc>
        <w:tc>
          <w:tcPr>
            <w:tcW w:w="1419"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250</w:t>
            </w:r>
          </w:p>
        </w:tc>
        <w:tc>
          <w:tcPr>
            <w:tcW w:w="14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2.41E-03</w:t>
            </w:r>
          </w:p>
        </w:tc>
        <w:tc>
          <w:tcPr>
            <w:tcW w:w="14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0.96</w:t>
            </w:r>
          </w:p>
        </w:tc>
        <w:tc>
          <w:tcPr>
            <w:tcW w:w="1420"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56</w:t>
            </w:r>
          </w:p>
        </w:tc>
      </w:tr>
    </w:tbl>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环境影响评价技术导则—大气环境》（HJ2.2-2018）规定的评价工作等级的划分原则和方法，按AERScreen估算模式进行评价等级及评价范围的计算，计算结果Pmax为0.96%；因此，确定本项目大气环评工作等级为三级。</w:t>
      </w:r>
    </w:p>
    <w:p>
      <w:pPr>
        <w:widowControl/>
        <w:spacing w:line="360" w:lineRule="auto"/>
        <w:jc w:val="both"/>
        <w:rPr>
          <w:rFonts w:hint="eastAsia" w:ascii="Times New Roman" w:hAnsi="Times New Roman" w:eastAsia="宋体" w:cs="Times New Roman"/>
          <w:b w:val="0"/>
          <w:bCs w:val="0"/>
          <w:smallCaps w:val="0"/>
          <w:color w:val="auto"/>
          <w:spacing w:val="0"/>
          <w:w w:val="100"/>
          <w:kern w:val="0"/>
          <w:sz w:val="24"/>
          <w:highlight w:val="none"/>
          <w:lang w:bidi="ar"/>
        </w:rPr>
      </w:pPr>
      <w:r>
        <w:rPr>
          <w:rFonts w:hint="eastAsia" w:ascii="Times New Roman" w:hAnsi="Times New Roman" w:eastAsia="宋体" w:cs="Times New Roman"/>
          <w:b w:val="0"/>
          <w:bCs w:val="0"/>
          <w:smallCaps w:val="0"/>
          <w:color w:val="auto"/>
          <w:spacing w:val="0"/>
          <w:w w:val="100"/>
          <w:kern w:val="0"/>
          <w:sz w:val="24"/>
          <w:highlight w:val="none"/>
          <w:lang w:bidi="ar"/>
        </w:rPr>
        <w:t>（2）评价范围</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b/>
          <w:bCs/>
          <w:smallCaps w:val="0"/>
          <w:color w:val="auto"/>
          <w:spacing w:val="0"/>
          <w:w w:val="100"/>
          <w:kern w:val="0"/>
          <w:sz w:val="24"/>
          <w:highlight w:val="none"/>
          <w:lang w:bidi="ar"/>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依据《环境影响评价技术导则 大气环境》（HJ2.2-2018），三级评价项目不设置大气环境影响评价范围。</w:t>
      </w:r>
    </w:p>
    <w:p>
      <w:pPr>
        <w:pStyle w:val="8"/>
        <w:jc w:val="center"/>
        <w:rPr>
          <w:rFonts w:hint="default" w:ascii="Times New Roman" w:hAnsi="Times New Roman" w:eastAsia="宋体" w:cs="Times New Roman"/>
          <w:b/>
          <w:bCs/>
          <w:smallCaps w:val="0"/>
          <w:color w:val="auto"/>
          <w:spacing w:val="0"/>
          <w:w w:val="100"/>
          <w:kern w:val="0"/>
          <w:sz w:val="24"/>
          <w:szCs w:val="24"/>
          <w:highlight w:val="none"/>
          <w:lang w:val="en-US" w:eastAsia="zh-CN" w:bidi="ar"/>
        </w:rPr>
      </w:pPr>
      <w:r>
        <w:rPr>
          <w:rFonts w:hint="eastAsia" w:ascii="Times New Roman" w:hAnsi="Times New Roman" w:eastAsia="宋体" w:cs="Times New Roman"/>
          <w:b/>
          <w:bCs/>
          <w:smallCaps w:val="0"/>
          <w:color w:val="auto"/>
          <w:spacing w:val="0"/>
          <w:w w:val="100"/>
          <w:kern w:val="0"/>
          <w:sz w:val="24"/>
          <w:szCs w:val="24"/>
          <w:highlight w:val="none"/>
          <w:lang w:val="en-US" w:eastAsia="zh-CN" w:bidi="ar"/>
        </w:rPr>
        <w:t>表</w:t>
      </w:r>
      <w:r>
        <w:rPr>
          <w:rFonts w:hint="eastAsia" w:ascii="Times New Roman" w:hAnsi="Times New Roman" w:eastAsia="宋体" w:cs="Times New Roman"/>
          <w:b/>
          <w:bCs/>
          <w:smallCaps w:val="0"/>
          <w:color w:val="auto"/>
          <w:spacing w:val="0"/>
          <w:w w:val="100"/>
          <w:kern w:val="0"/>
          <w:sz w:val="24"/>
          <w:highlight w:val="none"/>
          <w:lang w:bidi="ar"/>
        </w:rPr>
        <w:t>2.</w:t>
      </w:r>
      <w:r>
        <w:rPr>
          <w:rFonts w:hint="eastAsia" w:ascii="Times New Roman" w:hAnsi="Times New Roman" w:eastAsia="宋体" w:cs="Times New Roman"/>
          <w:b/>
          <w:bCs/>
          <w:smallCaps w:val="0"/>
          <w:color w:val="auto"/>
          <w:spacing w:val="0"/>
          <w:w w:val="100"/>
          <w:kern w:val="0"/>
          <w:sz w:val="24"/>
          <w:highlight w:val="none"/>
          <w:lang w:val="en-US" w:eastAsia="zh-CN" w:bidi="ar"/>
        </w:rPr>
        <w:t>6-4 锅炉烟气有组织排放污染物估算模型计算结果表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16"/>
        <w:gridCol w:w="1216"/>
        <w:gridCol w:w="1216"/>
        <w:gridCol w:w="1216"/>
        <w:gridCol w:w="1216"/>
        <w:gridCol w:w="1216"/>
        <w:gridCol w:w="121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下方向距离(m)</w:t>
            </w:r>
          </w:p>
        </w:tc>
        <w:tc>
          <w:tcPr>
            <w:tcW w:w="1216" w:type="dxa"/>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w:t>
            </w:r>
          </w:p>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浓度</w:t>
            </w:r>
          </w:p>
        </w:tc>
        <w:tc>
          <w:tcPr>
            <w:tcW w:w="1216"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占标率（%）</w:t>
            </w:r>
          </w:p>
        </w:tc>
        <w:tc>
          <w:tcPr>
            <w:tcW w:w="1216"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二氧化硫浓度</w:t>
            </w:r>
          </w:p>
        </w:tc>
        <w:tc>
          <w:tcPr>
            <w:tcW w:w="1216"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占标率（%）</w:t>
            </w:r>
          </w:p>
        </w:tc>
        <w:tc>
          <w:tcPr>
            <w:tcW w:w="1216"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氮氧化物浓度</w:t>
            </w:r>
          </w:p>
        </w:tc>
        <w:tc>
          <w:tcPr>
            <w:tcW w:w="1216"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占标率（%）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2.37E-08</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7.90E-08</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3.47E-05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0.01</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4.18E-05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7.58E-07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2.53E-06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1.11E-03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0.22</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1.34E-03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50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1.33E-06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4.43E-06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1.95E-03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0.39</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2.35E-03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0.94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56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1.36E-06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4.53E-06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2.00E-03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0.40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2.41E-03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75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1.27E-06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4.23E-06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1.86E-03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0.37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2.23E-03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0.89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100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1.07E-06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3.57E-06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1.56E-03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0.31</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1.88E-03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125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1.07E-06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3.57E-06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1.57E-03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0.31</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1.89E-03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150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9.88E-07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3.29E-06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1.45E-03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0.29</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1.74E-03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175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8.83E-07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2.94E-06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1.30E-03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0.26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1.56E-03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200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7.81E-07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2.60E-06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1.15E-03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0.23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1.38E-03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225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6.94E-07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2.31E-06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1.02E-03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0.20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1.23E-03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0.49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250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6.74E-07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2.25E-06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9.88E-04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0.20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1.19E-03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275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6.60E-07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2.20E-06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9.69E-04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0.19</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1.17E-03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300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6.41E-07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2.14E-06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9.40E-04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0.19</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1.13E-03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325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6.25E-07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2.08E-06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9.16E-04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0.18</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1.10E-03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350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6.23E-07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2.08E-06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9.14E-04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0.18</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1.10E-03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375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6.18E-07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2.06E-06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9.06E-04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0.18</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1.09E-03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400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6.06E-07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2.02E-06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8.89E-04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0.18</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1.07E-03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425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5.92E-07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1.97E-06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8.69E-04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0.17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1.05E-03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0.42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450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5.76E-07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1.92E-06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8.45E-04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0.17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1.02E-03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475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5.59E-07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1.86E-06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8.20E-04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0.16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9.88E-04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500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5.41E-07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1.80E-06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7.94E-04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0.16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9.56E-04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 w:val="21"/>
                <w:szCs w:val="21"/>
                <w:highlight w:val="none"/>
                <w:vertAlign w:val="baseline"/>
                <w:lang w:val="en-US" w:eastAsia="zh-CN"/>
              </w:rPr>
              <w:t>0.38</w:t>
            </w:r>
          </w:p>
        </w:tc>
      </w:tr>
    </w:tbl>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2.6.2地表水环境</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（1）评价等级</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位于大同区安肇新河入库里泡排口上游左侧岸边处，左岸区域原为自然形成的河塘，与安肇新河不相连。项目施工不会造成水量、流速、径流、水位等水文要素的变化。且本项目为污水处理及其再生利用工程，因此本项目地表水评价不按照水文要素影响性进行评定。</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根据《环境影响评价技术导则 地表水环境》（HJ2.3-2018）中表</w:t>
      </w: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的分级判据进行划分工作等级，具体划分要求见表 2.6-7。</w:t>
      </w:r>
    </w:p>
    <w:p>
      <w:pPr>
        <w:widowControl/>
        <w:spacing w:line="360" w:lineRule="auto"/>
        <w:ind w:firstLine="482" w:firstLineChars="200"/>
        <w:jc w:val="center"/>
        <w:rPr>
          <w:rFonts w:ascii="Times New Roman" w:hAnsi="Times New Roman" w:eastAsia="宋体" w:cs="Times New Roman"/>
          <w:b/>
          <w:bCs/>
          <w:smallCaps w:val="0"/>
          <w:color w:val="auto"/>
          <w:spacing w:val="0"/>
          <w:w w:val="100"/>
          <w:kern w:val="0"/>
          <w:sz w:val="24"/>
          <w:highlight w:val="none"/>
          <w:lang w:bidi="ar"/>
        </w:rPr>
      </w:pPr>
      <w:r>
        <w:rPr>
          <w:rFonts w:hint="eastAsia" w:ascii="Times New Roman" w:hAnsi="Times New Roman" w:eastAsia="宋体" w:cs="Times New Roman"/>
          <w:b/>
          <w:bCs/>
          <w:smallCaps w:val="0"/>
          <w:color w:val="auto"/>
          <w:spacing w:val="0"/>
          <w:w w:val="100"/>
          <w:kern w:val="0"/>
          <w:sz w:val="24"/>
          <w:highlight w:val="none"/>
          <w:lang w:bidi="ar"/>
        </w:rPr>
        <w:t>表2.</w:t>
      </w:r>
      <w:r>
        <w:rPr>
          <w:rFonts w:hint="eastAsia" w:ascii="Times New Roman" w:hAnsi="Times New Roman" w:eastAsia="宋体" w:cs="Times New Roman"/>
          <w:b/>
          <w:bCs/>
          <w:smallCaps w:val="0"/>
          <w:color w:val="auto"/>
          <w:spacing w:val="0"/>
          <w:w w:val="100"/>
          <w:kern w:val="0"/>
          <w:sz w:val="24"/>
          <w:highlight w:val="none"/>
          <w:lang w:val="en-US" w:eastAsia="zh-CN" w:bidi="ar"/>
        </w:rPr>
        <w:t>6-7</w:t>
      </w:r>
      <w:r>
        <w:rPr>
          <w:rFonts w:hint="eastAsia" w:ascii="Times New Roman" w:hAnsi="Times New Roman" w:eastAsia="宋体" w:cs="Times New Roman"/>
          <w:b/>
          <w:bCs/>
          <w:smallCaps w:val="0"/>
          <w:color w:val="auto"/>
          <w:spacing w:val="0"/>
          <w:w w:val="100"/>
          <w:kern w:val="0"/>
          <w:sz w:val="24"/>
          <w:highlight w:val="none"/>
          <w:lang w:bidi="ar"/>
        </w:rPr>
        <w:t>水污染影响型建设项目评价等级判定</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853"/>
        <w:gridCol w:w="2464"/>
        <w:gridCol w:w="419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853" w:type="dxa"/>
            <w:vMerge w:val="restar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评价等级</w:t>
            </w:r>
          </w:p>
        </w:tc>
        <w:tc>
          <w:tcPr>
            <w:tcW w:w="6663" w:type="dxa"/>
            <w:gridSpan w:val="2"/>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判定依据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853" w:type="dxa"/>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2464"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排放方式</w:t>
            </w:r>
          </w:p>
        </w:tc>
        <w:tc>
          <w:tcPr>
            <w:tcW w:w="4199"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废水排放量Q/</w:t>
            </w:r>
            <w:r>
              <w:rPr>
                <w:rFonts w:hint="eastAsia" w:ascii="Times New Roman" w:hAnsi="Times New Roman" w:cs="Times New Roman"/>
                <w:smallCaps w:val="0"/>
                <w:color w:val="auto"/>
                <w:spacing w:val="0"/>
                <w:w w:val="100"/>
                <w:sz w:val="21"/>
                <w:szCs w:val="21"/>
                <w:highlight w:val="none"/>
              </w:rPr>
              <w:t>（</w:t>
            </w:r>
            <w:r>
              <w:rPr>
                <w:rFonts w:ascii="Times New Roman" w:hAnsi="Times New Roman" w:cs="Times New Roman"/>
                <w:smallCaps w:val="0"/>
                <w:color w:val="auto"/>
                <w:spacing w:val="0"/>
                <w:w w:val="100"/>
                <w:sz w:val="21"/>
                <w:szCs w:val="21"/>
                <w:highlight w:val="none"/>
              </w:rPr>
              <w:t>m</w:t>
            </w:r>
            <w:r>
              <w:rPr>
                <w:rFonts w:ascii="Times New Roman" w:hAnsi="Times New Roman" w:cs="Times New Roman"/>
                <w:smallCaps w:val="0"/>
                <w:color w:val="auto"/>
                <w:spacing w:val="0"/>
                <w:w w:val="100"/>
                <w:sz w:val="21"/>
                <w:szCs w:val="21"/>
                <w:highlight w:val="none"/>
                <w:vertAlign w:val="superscript"/>
              </w:rPr>
              <w:t>3</w:t>
            </w:r>
            <w:r>
              <w:rPr>
                <w:rFonts w:ascii="Times New Roman" w:hAnsi="Times New Roman" w:cs="Times New Roman"/>
                <w:smallCaps w:val="0"/>
                <w:color w:val="auto"/>
                <w:spacing w:val="0"/>
                <w:w w:val="100"/>
                <w:sz w:val="21"/>
                <w:szCs w:val="21"/>
                <w:highlight w:val="none"/>
              </w:rPr>
              <w:t>/d</w:t>
            </w:r>
            <w:r>
              <w:rPr>
                <w:rFonts w:hint="eastAsia" w:ascii="Times New Roman" w:hAnsi="Times New Roman" w:cs="Times New Roman"/>
                <w:smallCaps w:val="0"/>
                <w:color w:val="auto"/>
                <w:spacing w:val="0"/>
                <w:w w:val="100"/>
                <w:sz w:val="21"/>
                <w:szCs w:val="21"/>
                <w:highlight w:val="none"/>
              </w:rPr>
              <w:t>）；</w:t>
            </w:r>
          </w:p>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水污染物当量数W/</w:t>
            </w:r>
            <w:r>
              <w:rPr>
                <w:rFonts w:hint="eastAsia" w:ascii="Times New Roman" w:hAnsi="Times New Roman" w:cs="Times New Roman"/>
                <w:smallCaps w:val="0"/>
                <w:color w:val="auto"/>
                <w:spacing w:val="0"/>
                <w:w w:val="100"/>
                <w:sz w:val="21"/>
                <w:szCs w:val="21"/>
                <w:highlight w:val="none"/>
              </w:rPr>
              <w:t>（</w:t>
            </w:r>
            <w:r>
              <w:rPr>
                <w:rFonts w:ascii="Times New Roman" w:hAnsi="Times New Roman" w:cs="Times New Roman"/>
                <w:smallCaps w:val="0"/>
                <w:color w:val="auto"/>
                <w:spacing w:val="0"/>
                <w:w w:val="100"/>
                <w:sz w:val="21"/>
                <w:szCs w:val="21"/>
                <w:highlight w:val="none"/>
              </w:rPr>
              <w:t>量纲</w:t>
            </w:r>
            <w:r>
              <w:rPr>
                <w:rFonts w:hint="eastAsia" w:ascii="Times New Roman" w:hAnsi="Times New Roman" w:cs="Times New Roman"/>
                <w:smallCaps w:val="0"/>
                <w:color w:val="auto"/>
                <w:spacing w:val="0"/>
                <w:w w:val="100"/>
                <w:sz w:val="21"/>
                <w:szCs w:val="21"/>
                <w:highlight w:val="none"/>
              </w:rPr>
              <w:t>一）</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853"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一级</w:t>
            </w:r>
          </w:p>
        </w:tc>
        <w:tc>
          <w:tcPr>
            <w:tcW w:w="2464"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直接排放</w:t>
            </w:r>
          </w:p>
        </w:tc>
        <w:tc>
          <w:tcPr>
            <w:tcW w:w="4199"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Q≥20000或W≥600000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853"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二级</w:t>
            </w:r>
          </w:p>
        </w:tc>
        <w:tc>
          <w:tcPr>
            <w:tcW w:w="2464"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直接排放</w:t>
            </w:r>
          </w:p>
        </w:tc>
        <w:tc>
          <w:tcPr>
            <w:tcW w:w="4199"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其他</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853"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三级A</w:t>
            </w:r>
          </w:p>
        </w:tc>
        <w:tc>
          <w:tcPr>
            <w:tcW w:w="2464"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直接排放</w:t>
            </w:r>
          </w:p>
        </w:tc>
        <w:tc>
          <w:tcPr>
            <w:tcW w:w="4199"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Q＜200且W＜6000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853"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三级B</w:t>
            </w:r>
          </w:p>
        </w:tc>
        <w:tc>
          <w:tcPr>
            <w:tcW w:w="2464"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间接排放</w:t>
            </w:r>
          </w:p>
        </w:tc>
        <w:tc>
          <w:tcPr>
            <w:tcW w:w="4199"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3"/>
            <w:tcBorders>
              <w:tl2br w:val="nil"/>
              <w:tr2bl w:val="nil"/>
            </w:tcBorders>
          </w:tcPr>
          <w:p>
            <w:pPr>
              <w:widowControl/>
              <w:spacing w:line="360" w:lineRule="exact"/>
              <w:rPr>
                <w:rFonts w:ascii="Times New Roman" w:hAnsi="Times New Roman" w:cs="Times New Roman"/>
                <w:smallCaps w:val="0"/>
                <w:color w:val="auto"/>
                <w:spacing w:val="0"/>
                <w:w w:val="100"/>
                <w:szCs w:val="21"/>
                <w:highlight w:val="none"/>
              </w:rPr>
            </w:pPr>
            <w:r>
              <w:rPr>
                <w:rFonts w:ascii="Times New Roman" w:hAnsi="Times New Roman" w:cs="Times New Roman"/>
                <w:smallCaps w:val="0"/>
                <w:color w:val="auto"/>
                <w:spacing w:val="0"/>
                <w:w w:val="100"/>
                <w:szCs w:val="21"/>
                <w:highlight w:val="none"/>
              </w:rPr>
              <w:t>注1：水污染物当量数等于该污染物的年排放量除以该污染物的污染当量值</w:t>
            </w:r>
            <w:r>
              <w:rPr>
                <w:rFonts w:hint="eastAsia" w:ascii="Times New Roman" w:hAnsi="Times New Roman" w:cs="Times New Roman"/>
                <w:smallCaps w:val="0"/>
                <w:color w:val="auto"/>
                <w:spacing w:val="0"/>
                <w:w w:val="100"/>
                <w:szCs w:val="21"/>
                <w:highlight w:val="none"/>
              </w:rPr>
              <w:t>（</w:t>
            </w:r>
            <w:r>
              <w:rPr>
                <w:rFonts w:ascii="Times New Roman" w:hAnsi="Times New Roman" w:cs="Times New Roman"/>
                <w:smallCaps w:val="0"/>
                <w:color w:val="auto"/>
                <w:spacing w:val="0"/>
                <w:w w:val="100"/>
                <w:szCs w:val="21"/>
                <w:highlight w:val="none"/>
              </w:rPr>
              <w:t>见附录A</w:t>
            </w:r>
            <w:r>
              <w:rPr>
                <w:rFonts w:hint="eastAsia" w:ascii="Times New Roman" w:hAnsi="Times New Roman" w:cs="Times New Roman"/>
                <w:smallCaps w:val="0"/>
                <w:color w:val="auto"/>
                <w:spacing w:val="0"/>
                <w:w w:val="100"/>
                <w:szCs w:val="21"/>
                <w:highlight w:val="none"/>
              </w:rPr>
              <w:t>），</w:t>
            </w:r>
            <w:r>
              <w:rPr>
                <w:rFonts w:ascii="Times New Roman" w:hAnsi="Times New Roman" w:cs="Times New Roman"/>
                <w:smallCaps w:val="0"/>
                <w:color w:val="auto"/>
                <w:spacing w:val="0"/>
                <w:w w:val="100"/>
                <w:szCs w:val="21"/>
                <w:highlight w:val="none"/>
              </w:rPr>
              <w:t>计算排放污染物的污染物当量数，应区分第一类水污染物和其他类水污染物，统计第一类污染物当量数总和，然后与其他类污染物按照污染物当量数从大到小排序，取最大当量数作为建设项目评价等级确定的依据。</w:t>
            </w:r>
          </w:p>
          <w:p>
            <w:pPr>
              <w:widowControl/>
              <w:spacing w:line="360" w:lineRule="exact"/>
              <w:rPr>
                <w:rFonts w:ascii="Times New Roman" w:hAnsi="Times New Roman" w:cs="Times New Roman"/>
                <w:smallCaps w:val="0"/>
                <w:color w:val="auto"/>
                <w:spacing w:val="0"/>
                <w:w w:val="100"/>
                <w:szCs w:val="21"/>
                <w:highlight w:val="none"/>
              </w:rPr>
            </w:pPr>
            <w:r>
              <w:rPr>
                <w:rFonts w:ascii="Times New Roman" w:hAnsi="Times New Roman" w:cs="Times New Roman"/>
                <w:smallCaps w:val="0"/>
                <w:color w:val="auto"/>
                <w:spacing w:val="0"/>
                <w:w w:val="100"/>
                <w:szCs w:val="21"/>
                <w:highlight w:val="none"/>
              </w:rPr>
              <w:t>注2：废水排放量按行业排放标准中规定的废水种类统计，没有相关行业排放标准要求的通过工程分析合理确定，应统计含热量大的冷却水的排放量，可不统计间接冷却水、循环水以及其他含污染物极少的清净下水的排放量。</w:t>
            </w:r>
          </w:p>
          <w:p>
            <w:pPr>
              <w:widowControl/>
              <w:spacing w:line="360" w:lineRule="exact"/>
              <w:rPr>
                <w:rFonts w:ascii="Times New Roman" w:hAnsi="Times New Roman" w:cs="Times New Roman"/>
                <w:smallCaps w:val="0"/>
                <w:color w:val="auto"/>
                <w:spacing w:val="0"/>
                <w:w w:val="100"/>
                <w:szCs w:val="21"/>
                <w:highlight w:val="none"/>
              </w:rPr>
            </w:pPr>
            <w:r>
              <w:rPr>
                <w:rFonts w:ascii="Times New Roman" w:hAnsi="Times New Roman" w:cs="Times New Roman"/>
                <w:smallCaps w:val="0"/>
                <w:color w:val="auto"/>
                <w:spacing w:val="0"/>
                <w:w w:val="100"/>
                <w:szCs w:val="21"/>
                <w:highlight w:val="none"/>
              </w:rPr>
              <w:t>注3：厂区存在堆积物</w:t>
            </w:r>
            <w:r>
              <w:rPr>
                <w:rFonts w:hint="eastAsia" w:ascii="Times New Roman" w:hAnsi="Times New Roman" w:cs="Times New Roman"/>
                <w:smallCaps w:val="0"/>
                <w:color w:val="auto"/>
                <w:spacing w:val="0"/>
                <w:w w:val="100"/>
                <w:szCs w:val="21"/>
                <w:highlight w:val="none"/>
              </w:rPr>
              <w:t>（</w:t>
            </w:r>
            <w:r>
              <w:rPr>
                <w:rFonts w:ascii="Times New Roman" w:hAnsi="Times New Roman" w:cs="Times New Roman"/>
                <w:smallCaps w:val="0"/>
                <w:color w:val="auto"/>
                <w:spacing w:val="0"/>
                <w:w w:val="100"/>
                <w:szCs w:val="21"/>
                <w:highlight w:val="none"/>
              </w:rPr>
              <w:t>露天堆放的原料、燃料、废渣等以及垃圾堆放场</w:t>
            </w:r>
            <w:r>
              <w:rPr>
                <w:rFonts w:hint="eastAsia" w:ascii="Times New Roman" w:hAnsi="Times New Roman" w:cs="Times New Roman"/>
                <w:smallCaps w:val="0"/>
                <w:color w:val="auto"/>
                <w:spacing w:val="0"/>
                <w:w w:val="100"/>
                <w:szCs w:val="21"/>
                <w:highlight w:val="none"/>
              </w:rPr>
              <w:t>）</w:t>
            </w:r>
            <w:r>
              <w:rPr>
                <w:rFonts w:ascii="Times New Roman" w:hAnsi="Times New Roman" w:cs="Times New Roman"/>
                <w:smallCaps w:val="0"/>
                <w:color w:val="auto"/>
                <w:spacing w:val="0"/>
                <w:w w:val="100"/>
                <w:szCs w:val="21"/>
                <w:highlight w:val="none"/>
              </w:rPr>
              <w:t>、降尘污染的，应将初期雨污水纳入废水排放量，相应的主要污染物纳入水污染当量计算。</w:t>
            </w:r>
          </w:p>
          <w:p>
            <w:pPr>
              <w:widowControl/>
              <w:spacing w:line="360" w:lineRule="exact"/>
              <w:rPr>
                <w:rFonts w:ascii="Times New Roman" w:hAnsi="Times New Roman" w:cs="Times New Roman"/>
                <w:smallCaps w:val="0"/>
                <w:color w:val="auto"/>
                <w:spacing w:val="0"/>
                <w:w w:val="100"/>
                <w:szCs w:val="21"/>
                <w:highlight w:val="none"/>
              </w:rPr>
            </w:pPr>
            <w:r>
              <w:rPr>
                <w:rFonts w:ascii="Times New Roman" w:hAnsi="Times New Roman" w:cs="Times New Roman"/>
                <w:smallCaps w:val="0"/>
                <w:color w:val="auto"/>
                <w:spacing w:val="0"/>
                <w:w w:val="100"/>
                <w:szCs w:val="21"/>
                <w:highlight w:val="none"/>
              </w:rPr>
              <w:t>注4：建设项目直接排放第一类污染物的，其评价等级为一级；建设项目直接排放的污染物为受纳水体超标因子的，评价等级不低于二级。</w:t>
            </w:r>
          </w:p>
          <w:p>
            <w:pPr>
              <w:widowControl/>
              <w:spacing w:line="360" w:lineRule="exact"/>
              <w:rPr>
                <w:rFonts w:ascii="Times New Roman" w:hAnsi="Times New Roman" w:cs="Times New Roman"/>
                <w:smallCaps w:val="0"/>
                <w:color w:val="auto"/>
                <w:spacing w:val="0"/>
                <w:w w:val="100"/>
                <w:szCs w:val="21"/>
                <w:highlight w:val="none"/>
              </w:rPr>
            </w:pPr>
            <w:r>
              <w:rPr>
                <w:rFonts w:ascii="Times New Roman" w:hAnsi="Times New Roman" w:cs="Times New Roman"/>
                <w:smallCaps w:val="0"/>
                <w:color w:val="auto"/>
                <w:spacing w:val="0"/>
                <w:w w:val="100"/>
                <w:szCs w:val="21"/>
                <w:highlight w:val="none"/>
              </w:rPr>
              <w:t>注5：直接排放受纳水体影响范围涉及饮用水水源保护区、饮用水取水口、重点保护与珍稀水生生物的栖息地、重要水生生物的自然产卵场等保护目标时，评价等级不低于二级。</w:t>
            </w:r>
          </w:p>
          <w:p>
            <w:pPr>
              <w:widowControl/>
              <w:spacing w:line="360" w:lineRule="exact"/>
              <w:rPr>
                <w:rFonts w:ascii="Times New Roman" w:hAnsi="Times New Roman" w:cs="Times New Roman"/>
                <w:smallCaps w:val="0"/>
                <w:color w:val="auto"/>
                <w:spacing w:val="0"/>
                <w:w w:val="100"/>
                <w:szCs w:val="21"/>
                <w:highlight w:val="none"/>
              </w:rPr>
            </w:pPr>
            <w:r>
              <w:rPr>
                <w:rFonts w:ascii="Times New Roman" w:hAnsi="Times New Roman" w:cs="Times New Roman"/>
                <w:smallCaps w:val="0"/>
                <w:color w:val="auto"/>
                <w:spacing w:val="0"/>
                <w:w w:val="100"/>
                <w:szCs w:val="21"/>
                <w:highlight w:val="none"/>
              </w:rPr>
              <w:t>注6：建设项目向河流、湖库排放温排水引起受纳水体水温变化超过水环境质量标准要求，且评价范围有水温敏感目标时，评价等级为一级。</w:t>
            </w:r>
          </w:p>
          <w:p>
            <w:pPr>
              <w:widowControl/>
              <w:spacing w:line="360" w:lineRule="exact"/>
              <w:rPr>
                <w:rFonts w:ascii="Times New Roman" w:hAnsi="Times New Roman" w:cs="Times New Roman"/>
                <w:smallCaps w:val="0"/>
                <w:color w:val="auto"/>
                <w:spacing w:val="0"/>
                <w:w w:val="100"/>
                <w:szCs w:val="21"/>
                <w:highlight w:val="none"/>
              </w:rPr>
            </w:pPr>
            <w:r>
              <w:rPr>
                <w:rFonts w:ascii="Times New Roman" w:hAnsi="Times New Roman" w:cs="Times New Roman"/>
                <w:smallCaps w:val="0"/>
                <w:color w:val="auto"/>
                <w:spacing w:val="0"/>
                <w:w w:val="100"/>
                <w:szCs w:val="21"/>
                <w:highlight w:val="none"/>
              </w:rPr>
              <w:t>注7：建设项目利用海水作为调节温度介质，排水量≥500万m</w:t>
            </w:r>
            <w:r>
              <w:rPr>
                <w:rFonts w:ascii="Times New Roman" w:hAnsi="Times New Roman" w:cs="Times New Roman"/>
                <w:smallCaps w:val="0"/>
                <w:color w:val="auto"/>
                <w:spacing w:val="0"/>
                <w:w w:val="100"/>
                <w:szCs w:val="21"/>
                <w:highlight w:val="none"/>
                <w:vertAlign w:val="superscript"/>
              </w:rPr>
              <w:t>3</w:t>
            </w:r>
            <w:r>
              <w:rPr>
                <w:rFonts w:ascii="Times New Roman" w:hAnsi="Times New Roman" w:cs="Times New Roman"/>
                <w:smallCaps w:val="0"/>
                <w:color w:val="auto"/>
                <w:spacing w:val="0"/>
                <w:w w:val="100"/>
                <w:szCs w:val="21"/>
                <w:highlight w:val="none"/>
              </w:rPr>
              <w:t>/d，评价等级为一级；排水量＜500万m</w:t>
            </w:r>
            <w:r>
              <w:rPr>
                <w:rFonts w:ascii="Times New Roman" w:hAnsi="Times New Roman" w:cs="Times New Roman"/>
                <w:smallCaps w:val="0"/>
                <w:color w:val="auto"/>
                <w:spacing w:val="0"/>
                <w:w w:val="100"/>
                <w:szCs w:val="21"/>
                <w:highlight w:val="none"/>
                <w:vertAlign w:val="superscript"/>
              </w:rPr>
              <w:t>3</w:t>
            </w:r>
            <w:r>
              <w:rPr>
                <w:rFonts w:ascii="Times New Roman" w:hAnsi="Times New Roman" w:cs="Times New Roman"/>
                <w:smallCaps w:val="0"/>
                <w:color w:val="auto"/>
                <w:spacing w:val="0"/>
                <w:w w:val="100"/>
                <w:szCs w:val="21"/>
                <w:highlight w:val="none"/>
              </w:rPr>
              <w:t>/d，评价等级为二级。</w:t>
            </w:r>
          </w:p>
          <w:p>
            <w:pPr>
              <w:widowControl/>
              <w:spacing w:line="360" w:lineRule="exact"/>
              <w:rPr>
                <w:rFonts w:ascii="Times New Roman" w:hAnsi="Times New Roman" w:cs="Times New Roman"/>
                <w:smallCaps w:val="0"/>
                <w:color w:val="auto"/>
                <w:spacing w:val="0"/>
                <w:w w:val="100"/>
                <w:szCs w:val="21"/>
                <w:highlight w:val="none"/>
              </w:rPr>
            </w:pPr>
            <w:r>
              <w:rPr>
                <w:rFonts w:ascii="Times New Roman" w:hAnsi="Times New Roman" w:cs="Times New Roman"/>
                <w:smallCaps w:val="0"/>
                <w:color w:val="auto"/>
                <w:spacing w:val="0"/>
                <w:w w:val="100"/>
                <w:szCs w:val="21"/>
                <w:highlight w:val="none"/>
              </w:rPr>
              <w:t>注8：仅涉及清净下水排放的，如其排放水质满足受纳水体水环境质量标准要求的，评价等级为三级A</w:t>
            </w:r>
          </w:p>
          <w:p>
            <w:pPr>
              <w:widowControl/>
              <w:spacing w:line="360" w:lineRule="exact"/>
              <w:rPr>
                <w:rFonts w:ascii="Times New Roman" w:hAnsi="Times New Roman" w:cs="Times New Roman"/>
                <w:smallCaps w:val="0"/>
                <w:color w:val="auto"/>
                <w:spacing w:val="0"/>
                <w:w w:val="100"/>
                <w:szCs w:val="21"/>
                <w:highlight w:val="none"/>
              </w:rPr>
            </w:pPr>
            <w:r>
              <w:rPr>
                <w:rFonts w:ascii="Times New Roman" w:hAnsi="Times New Roman" w:cs="Times New Roman"/>
                <w:smallCaps w:val="0"/>
                <w:color w:val="auto"/>
                <w:spacing w:val="0"/>
                <w:w w:val="100"/>
                <w:szCs w:val="21"/>
                <w:highlight w:val="none"/>
              </w:rPr>
              <w:t>注9：依托现有排放口，且对外环境未新增排放污染物的直接排放建设项目，评价等级参照间接排放，定为三级B。</w:t>
            </w:r>
          </w:p>
          <w:p>
            <w:pPr>
              <w:widowControl/>
              <w:spacing w:line="360" w:lineRule="exact"/>
              <w:rPr>
                <w:rFonts w:ascii="Times New Roman" w:hAnsi="Times New Roman" w:cs="Times New Roman"/>
                <w:smallCaps w:val="0"/>
                <w:color w:val="auto"/>
                <w:spacing w:val="0"/>
                <w:w w:val="100"/>
                <w:szCs w:val="21"/>
                <w:highlight w:val="none"/>
              </w:rPr>
            </w:pPr>
            <w:r>
              <w:rPr>
                <w:rFonts w:ascii="Times New Roman" w:hAnsi="Times New Roman" w:cs="Times New Roman"/>
                <w:smallCaps w:val="0"/>
                <w:color w:val="auto"/>
                <w:spacing w:val="0"/>
                <w:w w:val="100"/>
                <w:szCs w:val="21"/>
                <w:highlight w:val="none"/>
              </w:rPr>
              <w:t>注10：建设项目生产工艺中有废水产生，但作为回水利用，不排放到外环境的，按三级B评价。</w:t>
            </w:r>
          </w:p>
        </w:tc>
      </w:tr>
    </w:tbl>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本项目为安肇新河污水治理项目，将干渠内部分污水引至（约总干渠水量23%）人工湿地处，采用微生物降解+植物吸收+水体自净工艺对污水进行治理。</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经处理后水通过退水暗涵回流至安肇新河内，通过安肇新河入库里泡排口进入库里泡。因此本项目地表水评级等级为三级B。</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（2）评价范围</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根据《环境影响评价技术导则 地表水环境》（HJ2.3-2018）规定，结合主要污染物迁移转化状况，本次评价范围覆盖</w:t>
      </w:r>
      <w:r>
        <w:rPr>
          <w:rFonts w:hint="eastAsia" w:ascii="Times New Roman" w:hAnsi="Times New Roman" w:eastAsia="宋体" w:cs="Times New Roman"/>
          <w:caps w:val="0"/>
          <w:smallCaps w:val="0"/>
          <w:color w:val="auto"/>
          <w:spacing w:val="0"/>
          <w:w w:val="100"/>
          <w:kern w:val="0"/>
          <w:sz w:val="24"/>
          <w:szCs w:val="24"/>
          <w:highlight w:val="none"/>
          <w:lang w:val="en-US" w:eastAsia="zh-CN"/>
        </w:rPr>
        <w:t>，经人工湿地净化后的水流入的整个水体，及从干渠岸边退水口至库里泡下游排口为止，部分安肇新河河段及整个库里泡水域。</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2.6.3</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地下水</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（1）评价等级</w:t>
      </w:r>
    </w:p>
    <w:p>
      <w:pPr>
        <w:pageBreakBefore w:val="0"/>
        <w:widowControl w:val="0"/>
        <w:bidi w:val="0"/>
        <w:adjustRightInd w:val="0"/>
        <w:snapToGrid w:val="0"/>
        <w:spacing w:line="360" w:lineRule="auto"/>
        <w:ind w:firstLine="480" w:firstLineChars="200"/>
        <w:jc w:val="both"/>
        <w:rPr>
          <w:rFonts w:hint="default"/>
          <w:color w:val="auto"/>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根据《环境影响评价技术导则 地下水环境》（HJ610-2016）附录A可知，</w:t>
      </w: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本项目为河道治理项目，</w:t>
      </w:r>
      <w:r>
        <w:rPr>
          <w:rFonts w:hint="default" w:ascii="Times New Roman" w:hAnsi="Times New Roman" w:eastAsia="宋体" w:cs="Times New Roman"/>
          <w:caps w:val="0"/>
          <w:smallCaps w:val="0"/>
          <w:color w:val="auto"/>
          <w:spacing w:val="0"/>
          <w:w w:val="100"/>
          <w:kern w:val="0"/>
          <w:sz w:val="24"/>
          <w:szCs w:val="24"/>
          <w:highlight w:val="none"/>
          <w:lang w:val="en-US" w:eastAsia="zh-CN"/>
        </w:rPr>
        <w:t>属Ⅲ类。</w:t>
      </w:r>
      <w:r>
        <w:rPr>
          <w:rFonts w:hint="eastAsia" w:ascii="Times New Roman" w:hAnsi="Times New Roman" w:eastAsia="宋体" w:cs="Times New Roman"/>
          <w:caps w:val="0"/>
          <w:smallCaps w:val="0"/>
          <w:color w:val="auto"/>
          <w:spacing w:val="0"/>
          <w:w w:val="100"/>
          <w:kern w:val="0"/>
          <w:sz w:val="24"/>
          <w:szCs w:val="24"/>
          <w:highlight w:val="none"/>
          <w:lang w:val="en-US" w:eastAsia="zh-CN"/>
        </w:rPr>
        <w:t>地下水敏感程度分级及评价等级判定见下表。</w:t>
      </w:r>
    </w:p>
    <w:p>
      <w:pPr>
        <w:keepNext w:val="0"/>
        <w:keepLines w:val="0"/>
        <w:widowControl/>
        <w:suppressLineNumbers w:val="0"/>
        <w:spacing w:line="360" w:lineRule="auto"/>
        <w:ind w:firstLine="482" w:firstLineChars="200"/>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w:t>
      </w:r>
      <w:r>
        <w:rPr>
          <w:rFonts w:hint="eastAsia" w:ascii="Times New Roman" w:hAnsi="Times New Roman" w:eastAsia="宋体" w:cs="Times New Roman"/>
          <w:b/>
          <w:bCs/>
          <w:smallCaps w:val="0"/>
          <w:color w:val="auto"/>
          <w:spacing w:val="0"/>
          <w:w w:val="100"/>
          <w:kern w:val="0"/>
          <w:sz w:val="24"/>
          <w:highlight w:val="none"/>
          <w:lang w:bidi="ar"/>
        </w:rPr>
        <w:t>2.</w:t>
      </w:r>
      <w:r>
        <w:rPr>
          <w:rFonts w:hint="eastAsia" w:ascii="Times New Roman" w:hAnsi="Times New Roman" w:eastAsia="宋体" w:cs="Times New Roman"/>
          <w:b/>
          <w:bCs/>
          <w:smallCaps w:val="0"/>
          <w:color w:val="auto"/>
          <w:spacing w:val="0"/>
          <w:w w:val="100"/>
          <w:kern w:val="0"/>
          <w:sz w:val="24"/>
          <w:highlight w:val="none"/>
          <w:lang w:val="en-US" w:eastAsia="zh-CN" w:bidi="ar"/>
        </w:rPr>
        <w:t>6-8</w:t>
      </w:r>
      <w:r>
        <w:rPr>
          <w:rFonts w:hint="eastAsia" w:ascii="Times New Roman" w:hAnsi="Times New Roman" w:eastAsia="宋体" w:cs="Times New Roman"/>
          <w:b/>
          <w:bCs/>
          <w:color w:val="auto"/>
          <w:kern w:val="0"/>
          <w:sz w:val="24"/>
          <w:szCs w:val="24"/>
          <w:highlight w:val="none"/>
          <w:lang w:val="en-US" w:eastAsia="zh-CN" w:bidi="ar"/>
        </w:rPr>
        <w:t>地下水环境敏感程度分级表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14"/>
        <w:gridCol w:w="680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敏感程度</w:t>
            </w:r>
          </w:p>
        </w:tc>
        <w:tc>
          <w:tcPr>
            <w:tcW w:w="6802"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地下水环境敏感特征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敏感</w:t>
            </w:r>
          </w:p>
        </w:tc>
        <w:tc>
          <w:tcPr>
            <w:tcW w:w="6802"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集中式饮用水水源（包括已建成的在用、备用、应急水源，在建和规划的饮用水水源）准保护区；除集中式饮用水水源以外的国家或地方政府设定的与地下水环境相关的其它保护区，如热水、矿泉水、温泉等特殊地下水资源保护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1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较敏感</w:t>
            </w:r>
          </w:p>
        </w:tc>
        <w:tc>
          <w:tcPr>
            <w:tcW w:w="6802"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14"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不敏感</w:t>
            </w:r>
          </w:p>
        </w:tc>
        <w:tc>
          <w:tcPr>
            <w:tcW w:w="6802"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上述地区之外的其它地区。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2"/>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环境敏感区</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是指《建设项目环境影响评价分类管理名录》中界定涉及地下水的环境敏感区</w:t>
            </w:r>
          </w:p>
        </w:tc>
      </w:tr>
    </w:tbl>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w:t>
      </w:r>
      <w:r>
        <w:rPr>
          <w:rFonts w:hint="eastAsia" w:ascii="Times New Roman" w:hAnsi="Times New Roman" w:eastAsia="宋体" w:cs="Times New Roman"/>
          <w:b/>
          <w:bCs/>
          <w:smallCaps w:val="0"/>
          <w:color w:val="auto"/>
          <w:spacing w:val="0"/>
          <w:w w:val="100"/>
          <w:kern w:val="0"/>
          <w:sz w:val="24"/>
          <w:highlight w:val="none"/>
          <w:lang w:bidi="ar"/>
        </w:rPr>
        <w:t>2.</w:t>
      </w:r>
      <w:r>
        <w:rPr>
          <w:rFonts w:hint="eastAsia" w:ascii="Times New Roman" w:hAnsi="Times New Roman" w:eastAsia="宋体" w:cs="Times New Roman"/>
          <w:b/>
          <w:bCs/>
          <w:smallCaps w:val="0"/>
          <w:color w:val="auto"/>
          <w:spacing w:val="0"/>
          <w:w w:val="100"/>
          <w:kern w:val="0"/>
          <w:sz w:val="24"/>
          <w:highlight w:val="none"/>
          <w:lang w:val="en-US" w:eastAsia="zh-CN" w:bidi="ar"/>
        </w:rPr>
        <w:t>6-9</w:t>
      </w:r>
      <w:r>
        <w:rPr>
          <w:rFonts w:hint="default" w:ascii="Times New Roman" w:hAnsi="Times New Roman" w:eastAsia="宋体" w:cs="Times New Roman"/>
          <w:b/>
          <w:bCs/>
          <w:color w:val="auto"/>
          <w:kern w:val="0"/>
          <w:sz w:val="24"/>
          <w:szCs w:val="24"/>
          <w:highlight w:val="none"/>
          <w:lang w:val="en-US" w:eastAsia="zh-CN" w:bidi="ar"/>
        </w:rPr>
        <w:t>评价工作级分级表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29"/>
        <w:gridCol w:w="2129"/>
        <w:gridCol w:w="2129"/>
        <w:gridCol w:w="21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single" w:color="auto" w:sz="6"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right"/>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项目类别</w:t>
            </w:r>
          </w:p>
          <w:p>
            <w:pPr>
              <w:keepNext w:val="0"/>
              <w:keepLines w:val="0"/>
              <w:pageBreakBefore w:val="0"/>
              <w:widowControl/>
              <w:suppressLineNumbers w:val="0"/>
              <w:kinsoku/>
              <w:wordWrap/>
              <w:overflowPunct/>
              <w:topLinePunct w:val="0"/>
              <w:autoSpaceDE/>
              <w:autoSpaceDN/>
              <w:bidi w:val="0"/>
              <w:adjustRightInd/>
              <w:snapToGrid/>
              <w:spacing w:line="360" w:lineRule="exact"/>
              <w:jc w:val="left"/>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环境敏感程度</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I类项目</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Ⅱ类项目</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Ⅲ类项目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敏感</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一</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一</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较敏感</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一</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二</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不敏感</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二</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三</w:t>
            </w:r>
          </w:p>
        </w:tc>
        <w:tc>
          <w:tcPr>
            <w:tcW w:w="212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三</w:t>
            </w:r>
          </w:p>
        </w:tc>
      </w:tr>
    </w:tbl>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安肇新河接收处理达标的工业废水及生活污水，根据安肇新河水体现状及本项目设计的进水指标，对照《环境影响评价技术导则 地下水环境》（HJ 610-2016）附录A，本项目参照生活污水集中处理，确定为Ⅱ类项目。</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项目位于大同区安肇新河入库里泡排口上游左侧岸边处，安肇新河不属于集中式饮用水水源准保护区或补给径流区，所在区域不属于</w:t>
      </w:r>
      <w:r>
        <w:rPr>
          <w:rFonts w:hint="default" w:ascii="Times New Roman" w:hAnsi="Times New Roman" w:eastAsia="宋体" w:cs="Times New Roman"/>
          <w:caps w:val="0"/>
          <w:smallCaps w:val="0"/>
          <w:color w:val="auto"/>
          <w:spacing w:val="0"/>
          <w:w w:val="100"/>
          <w:kern w:val="0"/>
          <w:sz w:val="24"/>
          <w:szCs w:val="24"/>
          <w:highlight w:val="none"/>
          <w:lang w:val="en-US" w:eastAsia="zh-CN"/>
        </w:rPr>
        <w:t>热水、矿泉水、温泉等特殊地下水资源保护区</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，不属于</w:t>
      </w:r>
      <w:r>
        <w:rPr>
          <w:rFonts w:hint="default" w:ascii="Times New Roman" w:hAnsi="Times New Roman" w:eastAsia="宋体" w:cs="Times New Roman"/>
          <w:caps w:val="0"/>
          <w:smallCaps w:val="0"/>
          <w:color w:val="auto"/>
          <w:spacing w:val="0"/>
          <w:w w:val="100"/>
          <w:kern w:val="0"/>
          <w:sz w:val="24"/>
          <w:szCs w:val="24"/>
          <w:highlight w:val="none"/>
          <w:lang w:val="en-US" w:eastAsia="zh-CN"/>
        </w:rPr>
        <w:t>分散式饮用水水源地</w:t>
      </w: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，本项目所在地下水环境敏感程度为不敏感。地下水评级等级为三级。</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（2）评价范围</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依据《环境影响评价技术导则 地下水环境》（HJ610-2016）的要求，地下水环境影响评价范围可采取公式计算法、查表法和自定义法确定。</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本次地下水评价范围采用</w:t>
      </w:r>
      <w:r>
        <w:rPr>
          <w:rFonts w:hint="default" w:ascii="Times New Roman" w:hAnsi="Times New Roman" w:eastAsia="宋体" w:cs="Times New Roman"/>
          <w:caps w:val="0"/>
          <w:smallCaps w:val="0"/>
          <w:color w:val="auto"/>
          <w:spacing w:val="0"/>
          <w:w w:val="100"/>
          <w:kern w:val="0"/>
          <w:sz w:val="24"/>
          <w:szCs w:val="24"/>
          <w:highlight w:val="none"/>
          <w:lang w:val="en-US" w:eastAsia="zh-CN"/>
        </w:rPr>
        <w:t>查表法</w:t>
      </w: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。本项目生态净化区南北方向平均长约1520m，东西方向长约620m，呈矩形形状。则最终确定地下水评价为范围项目厂址上游750m处为地点，项目厂址下游750m处为终点，水平方向分别外扩700m，</w:t>
      </w:r>
      <w:r>
        <w:rPr>
          <w:rFonts w:hint="default" w:ascii="Times New Roman" w:hAnsi="Times New Roman" w:eastAsia="宋体" w:cs="Times New Roman"/>
          <w:caps w:val="0"/>
          <w:smallCaps w:val="0"/>
          <w:color w:val="auto"/>
          <w:spacing w:val="0"/>
          <w:w w:val="100"/>
          <w:kern w:val="0"/>
          <w:sz w:val="24"/>
          <w:szCs w:val="24"/>
          <w:highlight w:val="none"/>
          <w:lang w:val="en-US" w:eastAsia="zh-CN"/>
        </w:rPr>
        <w:t>评价范围面积为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6km</w:t>
      </w:r>
      <w:r>
        <w:rPr>
          <w:rFonts w:hint="eastAsia" w:ascii="Times New Roman" w:hAnsi="Times New Roman" w:eastAsia="宋体" w:cs="Times New Roman"/>
          <w:caps w:val="0"/>
          <w:smallCaps w:val="0"/>
          <w:color w:val="auto"/>
          <w:spacing w:val="0"/>
          <w:w w:val="100"/>
          <w:kern w:val="0"/>
          <w:sz w:val="24"/>
          <w:szCs w:val="24"/>
          <w:highlight w:val="none"/>
          <w:vertAlign w:val="superscript"/>
          <w:lang w:val="en-US" w:eastAsia="zh-CN"/>
        </w:rPr>
        <w:t>2</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2.6.4声环境</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（1）评价等级</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本项目所在区域声环境执行2类标准。</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w:t>
      </w:r>
      <w:r>
        <w:rPr>
          <w:rFonts w:hint="eastAsia" w:ascii="Times New Roman" w:hAnsi="Times New Roman" w:eastAsia="宋体" w:cs="Times New Roman"/>
          <w:caps w:val="0"/>
          <w:smallCaps w:val="0"/>
          <w:color w:val="auto"/>
          <w:spacing w:val="0"/>
          <w:w w:val="100"/>
          <w:kern w:val="0"/>
          <w:sz w:val="24"/>
          <w:szCs w:val="24"/>
          <w:highlight w:val="none"/>
          <w:lang w:val="en-US" w:eastAsia="zh-CN"/>
        </w:rPr>
        <w:t>运行期产生的噪声主要为泵类及风机。本项目厂界外200m范围内无声环境保护目标，距离本项目最近敏感点为新立屯散户，相对距离为277m；项目建设运行后，新立屯声级增量小于3dB（A），且受影响人口数量无变化。项目施工期噪声为短期影响，施工结束后，影响随即消失。本项目声环境评价等级为二类。</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（2）评价范围</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项目周边200m范围</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2.6.5土壤环境</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（1）评价等级</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本项目为参照生活污水处理工程，根据《环境影响评价技术导则 土壤环境》（HJ964-2018）及工程特点，属于Ⅲ类。项目永久占地为1360亩，属于大型占地规模。占地类型共工业占地，周围为一般草地，</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环境敏感程度为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不</w:t>
      </w:r>
      <w:r>
        <w:rPr>
          <w:rFonts w:hint="default" w:ascii="Times New Roman" w:hAnsi="Times New Roman" w:eastAsia="宋体" w:cs="Times New Roman"/>
          <w:caps w:val="0"/>
          <w:smallCaps w:val="0"/>
          <w:color w:val="auto"/>
          <w:spacing w:val="0"/>
          <w:w w:val="100"/>
          <w:kern w:val="0"/>
          <w:sz w:val="24"/>
          <w:szCs w:val="24"/>
          <w:highlight w:val="none"/>
          <w:lang w:val="en-US" w:eastAsia="zh-CN"/>
        </w:rPr>
        <w:t>敏感</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widowControl/>
        <w:spacing w:line="360" w:lineRule="auto"/>
        <w:jc w:val="center"/>
        <w:rPr>
          <w:rFonts w:ascii="Times New Roman" w:hAnsi="Times New Roman" w:eastAsia="宋体" w:cs="Times New Roman"/>
          <w:b/>
          <w:bCs/>
          <w:smallCaps w:val="0"/>
          <w:color w:val="auto"/>
          <w:spacing w:val="0"/>
          <w:w w:val="100"/>
          <w:kern w:val="0"/>
          <w:sz w:val="24"/>
          <w:highlight w:val="none"/>
          <w:lang w:bidi="ar"/>
        </w:rPr>
      </w:pPr>
      <w:r>
        <w:rPr>
          <w:rFonts w:ascii="Times New Roman" w:hAnsi="Times New Roman" w:eastAsia="宋体" w:cs="Times New Roman"/>
          <w:b/>
          <w:bCs/>
          <w:smallCaps w:val="0"/>
          <w:color w:val="auto"/>
          <w:spacing w:val="0"/>
          <w:w w:val="100"/>
          <w:kern w:val="0"/>
          <w:sz w:val="24"/>
          <w:highlight w:val="none"/>
          <w:lang w:bidi="ar"/>
        </w:rPr>
        <w:t>表</w:t>
      </w:r>
      <w:r>
        <w:rPr>
          <w:rFonts w:hint="eastAsia" w:ascii="Times New Roman" w:hAnsi="Times New Roman" w:eastAsia="宋体" w:cs="Times New Roman"/>
          <w:b/>
          <w:bCs/>
          <w:smallCaps w:val="0"/>
          <w:color w:val="auto"/>
          <w:spacing w:val="0"/>
          <w:w w:val="100"/>
          <w:kern w:val="0"/>
          <w:sz w:val="24"/>
          <w:highlight w:val="none"/>
          <w:lang w:bidi="ar"/>
        </w:rPr>
        <w:t>2.</w:t>
      </w:r>
      <w:r>
        <w:rPr>
          <w:rFonts w:hint="eastAsia" w:ascii="Times New Roman" w:hAnsi="Times New Roman" w:eastAsia="宋体" w:cs="Times New Roman"/>
          <w:b/>
          <w:bCs/>
          <w:smallCaps w:val="0"/>
          <w:color w:val="auto"/>
          <w:spacing w:val="0"/>
          <w:w w:val="100"/>
          <w:kern w:val="0"/>
          <w:sz w:val="24"/>
          <w:highlight w:val="none"/>
          <w:lang w:val="en-US" w:eastAsia="zh-CN" w:bidi="ar"/>
        </w:rPr>
        <w:t>6-10</w:t>
      </w:r>
      <w:r>
        <w:rPr>
          <w:rFonts w:ascii="Times New Roman" w:hAnsi="Times New Roman" w:eastAsia="宋体" w:cs="Times New Roman"/>
          <w:b/>
          <w:bCs/>
          <w:smallCaps w:val="0"/>
          <w:color w:val="auto"/>
          <w:spacing w:val="0"/>
          <w:w w:val="100"/>
          <w:kern w:val="0"/>
          <w:sz w:val="24"/>
          <w:highlight w:val="none"/>
          <w:lang w:bidi="ar"/>
        </w:rPr>
        <w:t>污染影响型敏感程度分级表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72"/>
        <w:gridCol w:w="724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72"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敏感程度</w:t>
            </w:r>
          </w:p>
        </w:tc>
        <w:tc>
          <w:tcPr>
            <w:tcW w:w="7244" w:type="dxa"/>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判别依据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72"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敏感</w:t>
            </w:r>
          </w:p>
        </w:tc>
        <w:tc>
          <w:tcPr>
            <w:tcW w:w="7244" w:type="dxa"/>
            <w:tcBorders>
              <w:tl2br w:val="nil"/>
              <w:tr2bl w:val="nil"/>
            </w:tcBorders>
          </w:tcPr>
          <w:p>
            <w:pPr>
              <w:widowControl/>
              <w:spacing w:line="360" w:lineRule="exact"/>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建设项目周边存在耕地、园地、牧草地、饮用水水源地或居民区、学校、医院、疗养院、养老院等土壤环境敏感目标的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72"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较敏感</w:t>
            </w:r>
          </w:p>
        </w:tc>
        <w:tc>
          <w:tcPr>
            <w:tcW w:w="7244" w:type="dxa"/>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建设项目周边存在其他土壤环境敏感目标的</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72"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不敏感</w:t>
            </w:r>
          </w:p>
        </w:tc>
        <w:tc>
          <w:tcPr>
            <w:tcW w:w="7244" w:type="dxa"/>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其他情况</w:t>
            </w:r>
          </w:p>
        </w:tc>
      </w:tr>
    </w:tbl>
    <w:p>
      <w:pPr>
        <w:widowControl/>
        <w:spacing w:line="360" w:lineRule="auto"/>
        <w:jc w:val="center"/>
        <w:rPr>
          <w:rFonts w:ascii="Times New Roman" w:hAnsi="Times New Roman" w:eastAsia="宋体" w:cs="Times New Roman"/>
          <w:b/>
          <w:bCs/>
          <w:smallCaps w:val="0"/>
          <w:color w:val="auto"/>
          <w:spacing w:val="0"/>
          <w:w w:val="100"/>
          <w:kern w:val="0"/>
          <w:sz w:val="24"/>
          <w:highlight w:val="none"/>
          <w:lang w:bidi="ar"/>
        </w:rPr>
      </w:pPr>
      <w:r>
        <w:rPr>
          <w:rFonts w:ascii="Times New Roman" w:hAnsi="Times New Roman" w:eastAsia="宋体" w:cs="Times New Roman"/>
          <w:b/>
          <w:bCs/>
          <w:smallCaps w:val="0"/>
          <w:color w:val="auto"/>
          <w:spacing w:val="0"/>
          <w:w w:val="100"/>
          <w:kern w:val="0"/>
          <w:sz w:val="24"/>
          <w:highlight w:val="none"/>
          <w:lang w:bidi="ar"/>
        </w:rPr>
        <w:t>表</w:t>
      </w:r>
      <w:r>
        <w:rPr>
          <w:rFonts w:hint="eastAsia" w:ascii="Times New Roman" w:hAnsi="Times New Roman" w:eastAsia="宋体" w:cs="Times New Roman"/>
          <w:b/>
          <w:bCs/>
          <w:smallCaps w:val="0"/>
          <w:color w:val="auto"/>
          <w:spacing w:val="0"/>
          <w:w w:val="100"/>
          <w:kern w:val="0"/>
          <w:sz w:val="24"/>
          <w:highlight w:val="none"/>
          <w:lang w:bidi="ar"/>
        </w:rPr>
        <w:t>2.</w:t>
      </w:r>
      <w:r>
        <w:rPr>
          <w:rFonts w:hint="eastAsia" w:ascii="Times New Roman" w:hAnsi="Times New Roman" w:eastAsia="宋体" w:cs="Times New Roman"/>
          <w:b/>
          <w:bCs/>
          <w:smallCaps w:val="0"/>
          <w:color w:val="auto"/>
          <w:spacing w:val="0"/>
          <w:w w:val="100"/>
          <w:kern w:val="0"/>
          <w:sz w:val="24"/>
          <w:highlight w:val="none"/>
          <w:lang w:val="en-US" w:eastAsia="zh-CN" w:bidi="ar"/>
        </w:rPr>
        <w:t xml:space="preserve">6-11 </w:t>
      </w:r>
      <w:r>
        <w:rPr>
          <w:rFonts w:ascii="Times New Roman" w:hAnsi="Times New Roman" w:eastAsia="宋体" w:cs="Times New Roman"/>
          <w:b/>
          <w:bCs/>
          <w:smallCaps w:val="0"/>
          <w:color w:val="auto"/>
          <w:spacing w:val="0"/>
          <w:w w:val="100"/>
          <w:kern w:val="0"/>
          <w:sz w:val="24"/>
          <w:highlight w:val="none"/>
          <w:lang w:bidi="ar"/>
        </w:rPr>
        <w:t>污染影响型评价工作等级划分表</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792"/>
        <w:gridCol w:w="792"/>
        <w:gridCol w:w="792"/>
        <w:gridCol w:w="792"/>
        <w:gridCol w:w="792"/>
        <w:gridCol w:w="792"/>
        <w:gridCol w:w="792"/>
        <w:gridCol w:w="792"/>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restart"/>
            <w:tcBorders>
              <w:top w:val="single" w:color="auto" w:sz="12" w:space="0"/>
              <w:left w:val="nil"/>
              <w:right w:val="single" w:color="auto" w:sz="6" w:space="0"/>
            </w:tcBorders>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mc:AlternateContent>
                <mc:Choice Requires="wps">
                  <w:drawing>
                    <wp:anchor distT="0" distB="0" distL="114300" distR="114300" simplePos="0" relativeHeight="251659264" behindDoc="0" locked="0" layoutInCell="1" allowOverlap="1">
                      <wp:simplePos x="0" y="0"/>
                      <wp:positionH relativeFrom="column">
                        <wp:posOffset>-58420</wp:posOffset>
                      </wp:positionH>
                      <wp:positionV relativeFrom="paragraph">
                        <wp:posOffset>-10160</wp:posOffset>
                      </wp:positionV>
                      <wp:extent cx="838200" cy="323850"/>
                      <wp:effectExtent l="1905" t="4445" r="13335" b="6985"/>
                      <wp:wrapNone/>
                      <wp:docPr id="2" name="直接连接符 2"/>
                      <wp:cNvGraphicFramePr/>
                      <a:graphic xmlns:a="http://schemas.openxmlformats.org/drawingml/2006/main">
                        <a:graphicData uri="http://schemas.microsoft.com/office/word/2010/wordprocessingShape">
                          <wps:wsp>
                            <wps:cNvCnPr/>
                            <wps:spPr>
                              <a:xfrm>
                                <a:off x="1086485" y="4481195"/>
                                <a:ext cx="838200" cy="323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4.6pt;margin-top:-0.8pt;height:25.5pt;width:66pt;z-index:251659264;mso-width-relative:page;mso-height-relative:page;" filled="f" stroked="t" coordsize="21600,21600" o:gfxdata="UEsDBAoAAAAAAIdO4kAAAAAAAAAAAAAAAAAEAAAAZHJzL1BLAwQUAAAACACHTuJAzNwKO9cAAAAI&#10;AQAADwAAAGRycy9kb3ducmV2LnhtbE2PzU7DMBCE70i8g7VI3FonUdWfEKcHJA5ISEDgwNFNtkla&#10;ex1sNwlvz/YEp9VoRt/OFPvZGjGiD70jBekyAYFUu6anVsHnx9NiCyJETY02jlDBDwbYl7c3hc4b&#10;N9E7jlVsBUMo5FpBF+OQSxnqDq0OSzcgsXd03urI0rey8XpiuDUyS5K1tLon/tDpAR87rM/VxTKF&#10;Nt/H2fivt9eXbltNJ3weN6jU/V2aPICIOMe/MFzrc3UoudPBXagJwihY7DJO8k3XIK5+lvGUg4LV&#10;bgWyLOT/AeUvUEsDBBQAAAAIAIdO4kALHVfx9AEAAMEDAAAOAAAAZHJzL2Uyb0RvYy54bWytU0uO&#10;1DAQ3SNxB8t7OumvQtTpWUxr2CBoCTiA27ETS/7J5el0X4ILILGDFUv23IbhGJSdZmaY2cxisnDK&#10;dvlVvefn9cXRaHIQAZSzDZ1OSkqE5a5Vtmvop49XrypKIDLbMu2saOhJAL3YvHyxHnwtZq53uhWB&#10;IIiFevAN7WP0dVEA74VhMHFeWNyULhgWcRq6og1sQHSji1lZrorBhdYHxwUArm7HTXpGDE8BdFIq&#10;LraOXxth44gahGYRKUGvPNBN7lZKweN7KUFEohuKTGMesQjG+zQWmzWru8B8r/i5BfaUFh5wMkxZ&#10;LHoLtWWRkeugHkEZxYMDJ+OEO1OMRLIiyGJaPtDmQ8+8yFxQavC3osPzwfJ3h10gqm3ojBLLDF74&#10;zZefvz9/+/PrK443P76TWRJp8FBj7qXdhfMM/C4kxkcZTPojF3JEQ5XValEtKTk1dLGoptPXy1Fk&#10;cYyEY0I1r9AGlHBMmM/m1TJfQnEH5APEN8IZkoKGamWTBqxmh7cQsTim/ktJy9ZdKa3zPWpLhoau&#10;5ghJOENvSvQEhsYjP7AdJUx3aHoeQ0YEp1WbTiccCN3+UgdyYMkq+UuNY7X/0lLpLYN+zMtbIz+j&#10;Ir4LrQxSvH9aWwRJ8o2CpWjv2lPWMa/jzeYyZxcm69yf59N3L2/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MzcCjvXAAAACAEAAA8AAAAAAAAAAQAgAAAAIgAAAGRycy9kb3ducmV2LnhtbFBLAQIU&#10;ABQAAAAIAIdO4kALHVfx9AEAAMEDAAAOAAAAAAAAAAEAIAAAACYBAABkcnMvZTJvRG9jLnhtbFBL&#10;BQYAAAAABgAGAFkBAACMBQAAAAA=&#10;">
                      <v:fill on="f" focussize="0,0"/>
                      <v:stroke weight="0.5pt" color="#000000 [3213]" miterlimit="8" joinstyle="miter"/>
                      <v:imagedata o:title=""/>
                      <o:lock v:ext="edit" aspectratio="f"/>
                    </v:line>
                  </w:pict>
                </mc:Fallback>
              </mc:AlternateContent>
            </w:r>
            <w:r>
              <w:rPr>
                <w:rFonts w:ascii="Times New Roman" w:hAnsi="Times New Roman" w:cs="Times New Roman"/>
                <w:smallCaps w:val="0"/>
                <w:color w:val="auto"/>
                <w:spacing w:val="0"/>
                <w:w w:val="100"/>
                <w:sz w:val="21"/>
                <w:szCs w:val="21"/>
                <w:highlight w:val="none"/>
              </w:rPr>
              <w:t>占地规模</w:t>
            </w:r>
          </w:p>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-59690</wp:posOffset>
                      </wp:positionH>
                      <wp:positionV relativeFrom="paragraph">
                        <wp:posOffset>367030</wp:posOffset>
                      </wp:positionV>
                      <wp:extent cx="762000" cy="142875"/>
                      <wp:effectExtent l="635" t="4445" r="14605" b="5080"/>
                      <wp:wrapNone/>
                      <wp:docPr id="9" name="直接连接符 9"/>
                      <wp:cNvGraphicFramePr/>
                      <a:graphic xmlns:a="http://schemas.openxmlformats.org/drawingml/2006/main">
                        <a:graphicData uri="http://schemas.microsoft.com/office/word/2010/wordprocessingShape">
                          <wps:wsp>
                            <wps:cNvCnPr/>
                            <wps:spPr>
                              <a:xfrm flipH="1" flipV="1">
                                <a:off x="1124585" y="5100320"/>
                                <a:ext cx="762000" cy="1428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4.7pt;margin-top:28.9pt;height:11.25pt;width:60pt;z-index:251660288;mso-width-relative:page;mso-height-relative:page;" filled="f" stroked="t" coordsize="21600,21600" o:gfxdata="UEsDBAoAAAAAAIdO4kAAAAAAAAAAAAAAAAAEAAAAZHJzL1BLAwQUAAAACACHTuJArEFPb9cAAAAI&#10;AQAADwAAAGRycy9kb3ducmV2LnhtbE2PS0/DMBCE70j8B2uRuKDWTumLkE2FiqhybQH16sZLEjVe&#10;R7HTx7/HPcFxNKOZb7LVxbbiRL1vHCMkYwWCuHSm4Qrh6/NjtAThg2ajW8eEcCUPq/z+LtOpcWfe&#10;0mkXKhFL2KcaoQ6hS6X0ZU1W+7HriKP343qrQ5R9JU2vz7HctnKi1Fxa3XBcqHVH65rK426wCE/X&#10;74YL3h73m34/TGaL4v1tXSA+PiTqFUSgS/gLww0/okMemQ5uYONFizB6mcYkwmwRH9z8RM1BHBCW&#10;6hlknsn/B/JfUEsDBBQAAAAIAIdO4kB5iyleAQIAANUDAAAOAAAAZHJzL2Uyb0RvYy54bWytU81u&#10;EzEQviPxDpbvZDdpk6arbHpoVDggiATlPvHau5b8J9vNJi/BCyBxgxNH7rwN5TE69i6llEsP+GCN&#10;Pd989vd5vLo4aEX23AdpTU2nk5ISbphtpGlrev3+6sWSkhDBNKCs4TU98kAv1s+frXpX8ZntrGq4&#10;J0hiQtW7mnYxuqooAuu4hjCxjhtMCus1RFz6tmg89MiuVTEry0XRW984bxkPAXc3Q5KOjP4phFYI&#10;yfjGshvNTRxYPVcQUVLopAt0nW8rBGfxrRCBR6JqikpjnvEQjHdpLtYrqFoPrpNsvAI85QqPNGmQ&#10;Bg+9p9pABHLj5T9UWjJvgxVxwqwuBiHZEVQxLR95864Dx7MWtDq4e9PD/6Nlb/ZbT2RT03NKDGh8&#10;8NtP339+/PLrx2ecb799JefJpN6FCrGXZuvHVXBbnxQfhNdEKOleYTfRHH1IUcqhPnLAxXR2Ol/O&#10;KTnWdD4ty5PZaDw/RMIQcLbAzsAnYQiYns6WZ/N0ZjGQJyLnQ3zJrSYpqKmSJvkCFexfhzhAf0PS&#10;trFXUinch0oZ0td0cTJP9ID9KrBPMNQONQfTUgKqxY/Aos+MwSrZpOpUHHy7u1Se7CG1Tx7jxf6C&#10;paM3ELoBl1MJBpWWEf+Kkrqmy4fVyqC6ZOlgYop2tjlmb/M+vnbWP3ZmaqeH61z95zeu7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sQU9v1wAAAAgBAAAPAAAAAAAAAAEAIAAAACIAAABkcnMvZG93&#10;bnJldi54bWxQSwECFAAUAAAACACHTuJAeYspXgECAADVAwAADgAAAAAAAAABACAAAAAmAQAAZHJz&#10;L2Uyb0RvYy54bWxQSwUGAAAAAAYABgBZAQAAmQUAAAAA&#10;">
                      <v:fill on="f" focussize="0,0"/>
                      <v:stroke weight="0.5pt" color="#000000 [3213]" miterlimit="8" joinstyle="miter"/>
                      <v:imagedata o:title=""/>
                      <o:lock v:ext="edit" aspectratio="f"/>
                    </v:line>
                  </w:pict>
                </mc:Fallback>
              </mc:AlternateContent>
            </w:r>
            <w:r>
              <w:rPr>
                <w:rFonts w:ascii="Times New Roman" w:hAnsi="Times New Roman" w:cs="Times New Roman"/>
                <w:smallCaps w:val="0"/>
                <w:color w:val="auto"/>
                <w:spacing w:val="0"/>
                <w:w w:val="100"/>
                <w:sz w:val="21"/>
                <w:szCs w:val="21"/>
                <w:highlight w:val="none"/>
              </w:rPr>
              <w:t>评价工作等级</w:t>
            </w:r>
          </w:p>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敏感程度</w:t>
            </w:r>
          </w:p>
        </w:tc>
        <w:tc>
          <w:tcPr>
            <w:tcW w:w="2376" w:type="dxa"/>
            <w:gridSpan w:val="3"/>
            <w:tcBorders>
              <w:top w:val="single" w:color="auto" w:sz="12"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Ⅰ类</w:t>
            </w:r>
          </w:p>
        </w:tc>
        <w:tc>
          <w:tcPr>
            <w:tcW w:w="2376" w:type="dxa"/>
            <w:gridSpan w:val="3"/>
            <w:tcBorders>
              <w:top w:val="single" w:color="auto" w:sz="12"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Ⅱ类</w:t>
            </w:r>
          </w:p>
        </w:tc>
        <w:tc>
          <w:tcPr>
            <w:tcW w:w="2380" w:type="dxa"/>
            <w:gridSpan w:val="3"/>
            <w:tcBorders>
              <w:top w:val="single" w:color="auto" w:sz="12" w:space="0"/>
              <w:left w:val="single" w:color="auto" w:sz="6" w:space="0"/>
              <w:bottom w:val="single" w:color="auto" w:sz="6" w:space="0"/>
              <w:right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vMerge w:val="continue"/>
            <w:tcBorders>
              <w:left w:val="nil"/>
              <w:bottom w:val="single" w:color="auto" w:sz="6" w:space="0"/>
              <w:right w:val="single" w:color="auto" w:sz="6" w:space="0"/>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中</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小</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中</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小</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中</w:t>
            </w:r>
          </w:p>
        </w:tc>
        <w:tc>
          <w:tcPr>
            <w:tcW w:w="796" w:type="dxa"/>
            <w:tcBorders>
              <w:top w:val="single" w:color="auto" w:sz="6" w:space="0"/>
              <w:left w:val="single" w:color="auto" w:sz="6" w:space="0"/>
              <w:bottom w:val="single" w:color="auto" w:sz="6" w:space="0"/>
              <w:right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Borders>
              <w:top w:val="single" w:color="auto" w:sz="6" w:space="0"/>
              <w:left w:val="nil"/>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敏感</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一级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一级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一级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二级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二级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二级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三级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三级</w:t>
            </w:r>
          </w:p>
        </w:tc>
        <w:tc>
          <w:tcPr>
            <w:tcW w:w="796" w:type="dxa"/>
            <w:tcBorders>
              <w:top w:val="single" w:color="auto" w:sz="6" w:space="0"/>
              <w:left w:val="single" w:color="auto" w:sz="6" w:space="0"/>
              <w:bottom w:val="single" w:color="auto" w:sz="6" w:space="0"/>
              <w:right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 w:hRule="atLeast"/>
        </w:trPr>
        <w:tc>
          <w:tcPr>
            <w:tcW w:w="1384" w:type="dxa"/>
            <w:tcBorders>
              <w:top w:val="single" w:color="auto" w:sz="6" w:space="0"/>
              <w:left w:val="nil"/>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较敏感</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一级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一级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二级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二级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二级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三级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三级</w:t>
            </w:r>
          </w:p>
        </w:tc>
        <w:tc>
          <w:tcPr>
            <w:tcW w:w="792" w:type="dxa"/>
            <w:tcBorders>
              <w:top w:val="single" w:color="auto" w:sz="6" w:space="0"/>
              <w:left w:val="single" w:color="auto" w:sz="6" w:space="0"/>
              <w:bottom w:val="single" w:color="auto" w:sz="6"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三级</w:t>
            </w:r>
          </w:p>
        </w:tc>
        <w:tc>
          <w:tcPr>
            <w:tcW w:w="796" w:type="dxa"/>
            <w:tcBorders>
              <w:top w:val="single" w:color="auto" w:sz="6" w:space="0"/>
              <w:left w:val="single" w:color="auto" w:sz="6" w:space="0"/>
              <w:bottom w:val="single" w:color="auto" w:sz="6" w:space="0"/>
              <w:right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4" w:type="dxa"/>
            <w:tcBorders>
              <w:top w:val="single" w:color="auto" w:sz="6" w:space="0"/>
              <w:left w:val="nil"/>
              <w:bottom w:val="single" w:color="auto" w:sz="12"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不敏感</w:t>
            </w:r>
          </w:p>
        </w:tc>
        <w:tc>
          <w:tcPr>
            <w:tcW w:w="792" w:type="dxa"/>
            <w:tcBorders>
              <w:top w:val="single" w:color="auto" w:sz="6" w:space="0"/>
              <w:left w:val="single" w:color="auto" w:sz="6" w:space="0"/>
              <w:bottom w:val="single" w:color="auto" w:sz="12"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一级</w:t>
            </w:r>
          </w:p>
        </w:tc>
        <w:tc>
          <w:tcPr>
            <w:tcW w:w="792" w:type="dxa"/>
            <w:tcBorders>
              <w:top w:val="single" w:color="auto" w:sz="6" w:space="0"/>
              <w:left w:val="single" w:color="auto" w:sz="6" w:space="0"/>
              <w:bottom w:val="single" w:color="auto" w:sz="12"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二级</w:t>
            </w:r>
          </w:p>
        </w:tc>
        <w:tc>
          <w:tcPr>
            <w:tcW w:w="792" w:type="dxa"/>
            <w:tcBorders>
              <w:top w:val="single" w:color="auto" w:sz="6" w:space="0"/>
              <w:left w:val="single" w:color="auto" w:sz="6" w:space="0"/>
              <w:bottom w:val="single" w:color="auto" w:sz="12"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二级</w:t>
            </w:r>
          </w:p>
        </w:tc>
        <w:tc>
          <w:tcPr>
            <w:tcW w:w="792" w:type="dxa"/>
            <w:tcBorders>
              <w:top w:val="single" w:color="auto" w:sz="6" w:space="0"/>
              <w:left w:val="single" w:color="auto" w:sz="6" w:space="0"/>
              <w:bottom w:val="single" w:color="auto" w:sz="12"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二级</w:t>
            </w:r>
          </w:p>
        </w:tc>
        <w:tc>
          <w:tcPr>
            <w:tcW w:w="792" w:type="dxa"/>
            <w:tcBorders>
              <w:top w:val="single" w:color="auto" w:sz="6" w:space="0"/>
              <w:left w:val="single" w:color="auto" w:sz="6" w:space="0"/>
              <w:bottom w:val="single" w:color="auto" w:sz="12"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三级</w:t>
            </w:r>
          </w:p>
        </w:tc>
        <w:tc>
          <w:tcPr>
            <w:tcW w:w="792" w:type="dxa"/>
            <w:tcBorders>
              <w:top w:val="single" w:color="auto" w:sz="6" w:space="0"/>
              <w:left w:val="single" w:color="auto" w:sz="6" w:space="0"/>
              <w:bottom w:val="single" w:color="auto" w:sz="12"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三级</w:t>
            </w:r>
          </w:p>
        </w:tc>
        <w:tc>
          <w:tcPr>
            <w:tcW w:w="792" w:type="dxa"/>
            <w:tcBorders>
              <w:top w:val="single" w:color="auto" w:sz="6" w:space="0"/>
              <w:left w:val="single" w:color="auto" w:sz="6" w:space="0"/>
              <w:bottom w:val="single" w:color="auto" w:sz="12"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三级</w:t>
            </w:r>
          </w:p>
        </w:tc>
        <w:tc>
          <w:tcPr>
            <w:tcW w:w="792" w:type="dxa"/>
            <w:tcBorders>
              <w:top w:val="single" w:color="auto" w:sz="6" w:space="0"/>
              <w:left w:val="single" w:color="auto" w:sz="6" w:space="0"/>
              <w:bottom w:val="single" w:color="auto" w:sz="12" w:space="0"/>
              <w:right w:val="single" w:color="auto" w:sz="6" w:space="0"/>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w:t>
            </w:r>
          </w:p>
        </w:tc>
        <w:tc>
          <w:tcPr>
            <w:tcW w:w="796" w:type="dxa"/>
            <w:tcBorders>
              <w:top w:val="single" w:color="auto" w:sz="6" w:space="0"/>
              <w:left w:val="single" w:color="auto" w:sz="6" w:space="0"/>
              <w:bottom w:val="single" w:color="auto" w:sz="12" w:space="0"/>
              <w:right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w:t>
            </w:r>
          </w:p>
        </w:tc>
      </w:tr>
    </w:tbl>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综上，本项目土壤评价等级为三级。</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（2）评价范围</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项目占地外扩50m范围。</w:t>
      </w:r>
    </w:p>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2.6.6生态环境</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（1）评价等级</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根据《环境影响评价技术导则 生态影响》（HJ19-2022）的要求判定评价等级，具体见下表。</w:t>
      </w:r>
    </w:p>
    <w:p>
      <w:pPr>
        <w:widowControl/>
        <w:spacing w:line="360" w:lineRule="auto"/>
        <w:jc w:val="center"/>
        <w:rPr>
          <w:rFonts w:hint="default" w:ascii="Times New Roman" w:hAnsi="Times New Roman" w:eastAsia="宋体" w:cs="Times New Roman"/>
          <w:b/>
          <w:bCs/>
          <w:smallCaps w:val="0"/>
          <w:color w:val="auto"/>
          <w:spacing w:val="0"/>
          <w:w w:val="100"/>
          <w:kern w:val="0"/>
          <w:sz w:val="24"/>
          <w:szCs w:val="24"/>
          <w:highlight w:val="none"/>
          <w:lang w:val="en-US" w:eastAsia="zh-CN" w:bidi="ar"/>
        </w:rPr>
      </w:pPr>
      <w:r>
        <w:rPr>
          <w:rFonts w:hint="eastAsia" w:ascii="Times New Roman" w:hAnsi="Times New Roman" w:eastAsia="宋体" w:cs="Times New Roman"/>
          <w:b/>
          <w:bCs/>
          <w:smallCaps w:val="0"/>
          <w:color w:val="auto"/>
          <w:spacing w:val="0"/>
          <w:w w:val="100"/>
          <w:kern w:val="0"/>
          <w:sz w:val="24"/>
          <w:szCs w:val="24"/>
          <w:highlight w:val="none"/>
          <w:lang w:val="en-US" w:eastAsia="zh-CN" w:bidi="ar"/>
        </w:rPr>
        <w:t>表</w:t>
      </w:r>
      <w:r>
        <w:rPr>
          <w:rFonts w:hint="eastAsia" w:ascii="Times New Roman" w:hAnsi="Times New Roman" w:eastAsia="宋体" w:cs="Times New Roman"/>
          <w:b/>
          <w:bCs/>
          <w:smallCaps w:val="0"/>
          <w:color w:val="auto"/>
          <w:spacing w:val="0"/>
          <w:w w:val="100"/>
          <w:kern w:val="0"/>
          <w:sz w:val="24"/>
          <w:highlight w:val="none"/>
          <w:lang w:bidi="ar"/>
        </w:rPr>
        <w:t>2.</w:t>
      </w:r>
      <w:r>
        <w:rPr>
          <w:rFonts w:hint="eastAsia" w:ascii="Times New Roman" w:hAnsi="Times New Roman" w:eastAsia="宋体" w:cs="Times New Roman"/>
          <w:b/>
          <w:bCs/>
          <w:smallCaps w:val="0"/>
          <w:color w:val="auto"/>
          <w:spacing w:val="0"/>
          <w:w w:val="100"/>
          <w:kern w:val="0"/>
          <w:sz w:val="24"/>
          <w:highlight w:val="none"/>
          <w:lang w:val="en-US" w:eastAsia="zh-CN" w:bidi="ar"/>
        </w:rPr>
        <w:t>6-12</w:t>
      </w:r>
      <w:r>
        <w:rPr>
          <w:rFonts w:hint="eastAsia" w:ascii="Times New Roman" w:hAnsi="Times New Roman" w:eastAsia="宋体" w:cs="Times New Roman"/>
          <w:b/>
          <w:bCs/>
          <w:smallCaps w:val="0"/>
          <w:color w:val="auto"/>
          <w:spacing w:val="0"/>
          <w:w w:val="100"/>
          <w:kern w:val="0"/>
          <w:sz w:val="24"/>
          <w:szCs w:val="24"/>
          <w:highlight w:val="none"/>
          <w:lang w:val="en-US" w:eastAsia="zh-CN" w:bidi="ar"/>
        </w:rPr>
        <w:t xml:space="preserve"> 项目生态影响评价等级判别表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67"/>
        <w:gridCol w:w="463"/>
        <w:gridCol w:w="5237"/>
        <w:gridCol w:w="1269"/>
        <w:gridCol w:w="118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6067" w:type="dxa"/>
            <w:gridSpan w:val="3"/>
            <w:tcBorders>
              <w:tl2br w:val="nil"/>
              <w:tr2bl w:val="nil"/>
            </w:tcBorders>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原文导则</w:t>
            </w:r>
          </w:p>
        </w:tc>
        <w:tc>
          <w:tcPr>
            <w:tcW w:w="1269" w:type="dxa"/>
            <w:tcBorders>
              <w:tl2br w:val="nil"/>
              <w:tr2bl w:val="nil"/>
            </w:tcBorders>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本项目</w:t>
            </w:r>
          </w:p>
        </w:tc>
        <w:tc>
          <w:tcPr>
            <w:tcW w:w="1180" w:type="dxa"/>
            <w:tcBorders>
              <w:tl2br w:val="nil"/>
              <w:tr2bl w:val="nil"/>
            </w:tcBorders>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评价等级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7" w:type="dxa"/>
            <w:vMerge w:val="restart"/>
            <w:tcBorders>
              <w:tl2br w:val="nil"/>
              <w:tr2bl w:val="nil"/>
            </w:tcBorders>
            <w:vAlign w:val="center"/>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w:t>
            </w:r>
          </w:p>
        </w:tc>
        <w:tc>
          <w:tcPr>
            <w:tcW w:w="463" w:type="dxa"/>
            <w:tcBorders>
              <w:tl2br w:val="nil"/>
              <w:tr2bl w:val="nil"/>
            </w:tcBorders>
            <w:vAlign w:val="center"/>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a）</w:t>
            </w:r>
          </w:p>
        </w:tc>
        <w:tc>
          <w:tcPr>
            <w:tcW w:w="5237"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涉及国家公园、自然保护区、世界自然遗产、重要生境时，评价等级为一级</w:t>
            </w:r>
          </w:p>
        </w:tc>
        <w:tc>
          <w:tcPr>
            <w:tcW w:w="1269" w:type="dxa"/>
            <w:tcBorders>
              <w:tl2br w:val="nil"/>
              <w:tr2bl w:val="nil"/>
            </w:tcBorders>
            <w:vAlign w:val="center"/>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不涉及</w:t>
            </w:r>
          </w:p>
        </w:tc>
        <w:tc>
          <w:tcPr>
            <w:tcW w:w="1180" w:type="dxa"/>
            <w:vMerge w:val="restart"/>
            <w:tcBorders>
              <w:tl2br w:val="nil"/>
              <w:tr2bl w:val="nil"/>
            </w:tcBorders>
            <w:vAlign w:val="center"/>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三级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7"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p>
        </w:tc>
        <w:tc>
          <w:tcPr>
            <w:tcW w:w="46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b）</w:t>
            </w:r>
          </w:p>
        </w:tc>
        <w:tc>
          <w:tcPr>
            <w:tcW w:w="5237"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涉及自然公园时，评价等级为二级</w:t>
            </w:r>
          </w:p>
        </w:tc>
        <w:tc>
          <w:tcPr>
            <w:tcW w:w="126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不涉及</w:t>
            </w:r>
          </w:p>
        </w:tc>
        <w:tc>
          <w:tcPr>
            <w:tcW w:w="118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4"/>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7" w:hRule="atLeast"/>
        </w:trPr>
        <w:tc>
          <w:tcPr>
            <w:tcW w:w="367"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p>
        </w:tc>
        <w:tc>
          <w:tcPr>
            <w:tcW w:w="46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c）</w:t>
            </w:r>
          </w:p>
        </w:tc>
        <w:tc>
          <w:tcPr>
            <w:tcW w:w="5237"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涉及生态保护红线时，评价等级不低于二级</w:t>
            </w:r>
          </w:p>
        </w:tc>
        <w:tc>
          <w:tcPr>
            <w:tcW w:w="126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不涉及</w:t>
            </w:r>
          </w:p>
        </w:tc>
        <w:tc>
          <w:tcPr>
            <w:tcW w:w="118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4"/>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7"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p>
        </w:tc>
        <w:tc>
          <w:tcPr>
            <w:tcW w:w="46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d）</w:t>
            </w:r>
          </w:p>
        </w:tc>
        <w:tc>
          <w:tcPr>
            <w:tcW w:w="5237"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根据HJ2.3判断属于水文要素影响型且地表水评价等级不低于二级的建设项目，生态影响评价等级不低于二级</w:t>
            </w:r>
          </w:p>
        </w:tc>
        <w:tc>
          <w:tcPr>
            <w:tcW w:w="126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不属于</w:t>
            </w:r>
          </w:p>
        </w:tc>
        <w:tc>
          <w:tcPr>
            <w:tcW w:w="118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4"/>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7"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p>
        </w:tc>
        <w:tc>
          <w:tcPr>
            <w:tcW w:w="46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e）</w:t>
            </w:r>
          </w:p>
        </w:tc>
        <w:tc>
          <w:tcPr>
            <w:tcW w:w="5237"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根据HJ610、HJ964判断地下水水位或土壤影响范围内分布有天然林、公益林、湿地等生态保护目标的建设项目，生态影响评价等级不低于二级</w:t>
            </w:r>
          </w:p>
        </w:tc>
        <w:tc>
          <w:tcPr>
            <w:tcW w:w="126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不涉及</w:t>
            </w:r>
          </w:p>
        </w:tc>
        <w:tc>
          <w:tcPr>
            <w:tcW w:w="118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4"/>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7"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p>
        </w:tc>
        <w:tc>
          <w:tcPr>
            <w:tcW w:w="46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f）</w:t>
            </w:r>
          </w:p>
        </w:tc>
        <w:tc>
          <w:tcPr>
            <w:tcW w:w="5237"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当工程占地规模大于20km</w:t>
            </w:r>
            <w:r>
              <w:rPr>
                <w:rFonts w:hint="eastAsia" w:ascii="Times New Roman" w:hAnsi="Times New Roman" w:cs="Times New Roman"/>
                <w:smallCaps w:val="0"/>
                <w:color w:val="auto"/>
                <w:spacing w:val="0"/>
                <w:w w:val="100"/>
                <w:sz w:val="21"/>
                <w:szCs w:val="21"/>
                <w:highlight w:val="none"/>
                <w:vertAlign w:val="superscript"/>
              </w:rPr>
              <w:t>2</w:t>
            </w:r>
            <w:r>
              <w:rPr>
                <w:rFonts w:hint="eastAsia" w:ascii="Times New Roman" w:hAnsi="Times New Roman" w:cs="Times New Roman"/>
                <w:smallCaps w:val="0"/>
                <w:color w:val="auto"/>
                <w:spacing w:val="0"/>
                <w:w w:val="100"/>
                <w:sz w:val="21"/>
                <w:szCs w:val="21"/>
                <w:highlight w:val="none"/>
              </w:rPr>
              <w:t>时（包括永久和临时占用陆域和水域），评价等级不低于二级；改扩建项目的占地范围以新增占地（包括陆域和水域）确定</w:t>
            </w:r>
          </w:p>
        </w:tc>
        <w:tc>
          <w:tcPr>
            <w:tcW w:w="1269" w:type="dxa"/>
            <w:tcBorders>
              <w:tl2br w:val="nil"/>
              <w:tr2bl w:val="nil"/>
            </w:tcBorders>
            <w:vAlign w:val="center"/>
          </w:tcPr>
          <w:p>
            <w:pPr>
              <w:widowControl/>
              <w:spacing w:line="360" w:lineRule="exact"/>
              <w:jc w:val="both"/>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永久占地13.6km</w:t>
            </w:r>
            <w:r>
              <w:rPr>
                <w:rFonts w:hint="eastAsia" w:ascii="Times New Roman" w:hAnsi="Times New Roman" w:cs="Times New Roman"/>
                <w:smallCaps w:val="0"/>
                <w:color w:val="auto"/>
                <w:spacing w:val="0"/>
                <w:w w:val="100"/>
                <w:sz w:val="21"/>
                <w:szCs w:val="21"/>
                <w:highlight w:val="none"/>
                <w:vertAlign w:val="superscript"/>
                <w:lang w:val="en-US" w:eastAsia="zh-CN"/>
              </w:rPr>
              <w:t>2</w:t>
            </w:r>
          </w:p>
        </w:tc>
        <w:tc>
          <w:tcPr>
            <w:tcW w:w="118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4"/>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7"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p>
        </w:tc>
        <w:tc>
          <w:tcPr>
            <w:tcW w:w="46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g）</w:t>
            </w:r>
          </w:p>
        </w:tc>
        <w:tc>
          <w:tcPr>
            <w:tcW w:w="5237"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除本条a）、b）、c）、d）、e）、f）以外的情况，评价等级为三级</w:t>
            </w:r>
          </w:p>
        </w:tc>
        <w:tc>
          <w:tcPr>
            <w:tcW w:w="1269" w:type="dxa"/>
            <w:tcBorders>
              <w:tl2br w:val="nil"/>
              <w:tr2bl w:val="nil"/>
            </w:tcBorders>
            <w:vAlign w:val="center"/>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三级</w:t>
            </w:r>
          </w:p>
        </w:tc>
        <w:tc>
          <w:tcPr>
            <w:tcW w:w="118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4"/>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67"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p>
        </w:tc>
        <w:tc>
          <w:tcPr>
            <w:tcW w:w="46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h）</w:t>
            </w:r>
          </w:p>
        </w:tc>
        <w:tc>
          <w:tcPr>
            <w:tcW w:w="5237"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当评价等级判定同时符合上述多种情况时，应采用其中最高的评价等级</w:t>
            </w:r>
          </w:p>
        </w:tc>
        <w:tc>
          <w:tcPr>
            <w:tcW w:w="1269" w:type="dxa"/>
            <w:tcBorders>
              <w:tl2br w:val="nil"/>
              <w:tr2bl w:val="nil"/>
            </w:tcBorders>
            <w:vAlign w:val="center"/>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不涉及</w:t>
            </w:r>
          </w:p>
        </w:tc>
        <w:tc>
          <w:tcPr>
            <w:tcW w:w="118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4"/>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30" w:type="dxa"/>
            <w:gridSpan w:val="2"/>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2</w:t>
            </w:r>
          </w:p>
        </w:tc>
        <w:tc>
          <w:tcPr>
            <w:tcW w:w="5237"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建设项目涉及经论证对保护生物多样性具有重要意义的区域时，可适当上调评价等级</w:t>
            </w:r>
          </w:p>
        </w:tc>
        <w:tc>
          <w:tcPr>
            <w:tcW w:w="126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不涉及</w:t>
            </w:r>
          </w:p>
        </w:tc>
        <w:tc>
          <w:tcPr>
            <w:tcW w:w="118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4"/>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30" w:type="dxa"/>
            <w:gridSpan w:val="2"/>
            <w:tcBorders>
              <w:tl2br w:val="nil"/>
              <w:tr2bl w:val="nil"/>
            </w:tcBorders>
            <w:vAlign w:val="center"/>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w:t>
            </w:r>
          </w:p>
        </w:tc>
        <w:tc>
          <w:tcPr>
            <w:tcW w:w="5237"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建设项目同时涉及陆生、水生生态影响时，可针对陆生生态、水生生态分别判定评价等级</w:t>
            </w:r>
          </w:p>
        </w:tc>
        <w:tc>
          <w:tcPr>
            <w:tcW w:w="126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三级</w:t>
            </w:r>
          </w:p>
        </w:tc>
        <w:tc>
          <w:tcPr>
            <w:tcW w:w="118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4"/>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30" w:type="dxa"/>
            <w:gridSpan w:val="2"/>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w:t>
            </w:r>
          </w:p>
        </w:tc>
        <w:tc>
          <w:tcPr>
            <w:tcW w:w="5237"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在矿山开采可能导致矿区土地利用类型明显改变，或拦河闸坝建设可能明显改变水文情势等情况下，评价等级应上调一级</w:t>
            </w:r>
          </w:p>
        </w:tc>
        <w:tc>
          <w:tcPr>
            <w:tcW w:w="126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不涉及</w:t>
            </w:r>
          </w:p>
        </w:tc>
        <w:tc>
          <w:tcPr>
            <w:tcW w:w="118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4"/>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30" w:type="dxa"/>
            <w:gridSpan w:val="2"/>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w:t>
            </w:r>
          </w:p>
        </w:tc>
        <w:tc>
          <w:tcPr>
            <w:tcW w:w="5237"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线性工程可分段确定评价等级。线性工程地下穿越或地表跨越生态敏感区，在生态敏感区范围内无永久、临时占地时，评价等级可下调一级</w:t>
            </w:r>
          </w:p>
        </w:tc>
        <w:tc>
          <w:tcPr>
            <w:tcW w:w="1269"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不涉及</w:t>
            </w:r>
          </w:p>
        </w:tc>
        <w:tc>
          <w:tcPr>
            <w:tcW w:w="118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4"/>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30" w:type="dxa"/>
            <w:gridSpan w:val="2"/>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w:t>
            </w:r>
          </w:p>
        </w:tc>
        <w:tc>
          <w:tcPr>
            <w:tcW w:w="5237"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涉海工程评价等级判定参照GB/T19485</w:t>
            </w:r>
          </w:p>
        </w:tc>
        <w:tc>
          <w:tcPr>
            <w:tcW w:w="126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不涉及</w:t>
            </w:r>
          </w:p>
        </w:tc>
        <w:tc>
          <w:tcPr>
            <w:tcW w:w="118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4"/>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30" w:type="dxa"/>
            <w:gridSpan w:val="2"/>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w:t>
            </w:r>
          </w:p>
        </w:tc>
        <w:tc>
          <w:tcPr>
            <w:tcW w:w="5237"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符合生态环境分区管控要求且位于原厂界（或永久用地）范围内的污染影响类改扩建项目，位于已批准规划环评的产业园区内且符合规划环评要求、不涉及生态敏感区的污染影响类建设项目，可不确定评价等级，直接进行生态影响简单分析</w:t>
            </w:r>
          </w:p>
        </w:tc>
        <w:tc>
          <w:tcPr>
            <w:tcW w:w="126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不涉及</w:t>
            </w:r>
          </w:p>
        </w:tc>
        <w:tc>
          <w:tcPr>
            <w:tcW w:w="118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4"/>
                <w:highlight w:val="none"/>
              </w:rPr>
            </w:pP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本项目位于大同区安肇新河入库里泡排口上游左侧岸边处，不在干渠上进行建设，不侵占干渠原有生态空间。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项目占地类型为建设用地，周围土地类型主要为荒草地及盐碱地。区域无重点保护野生动物栖息地及重点保护野生植物生长繁殖地，陆生评价等级为三级。</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综上，本项目生态环境评级等级为三级。</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（2）评价范围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项目生态评价范围为生态净化区外扩500m，进场道路外扩300m范围。</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101" w:name="_Toc32287"/>
      <w:r>
        <w:rPr>
          <w:rFonts w:hint="eastAsia" w:ascii="Times New Roman" w:hAnsi="Times New Roman" w:eastAsia="宋体" w:cs="Times New Roman"/>
          <w:snapToGrid/>
          <w:color w:val="auto"/>
          <w:sz w:val="32"/>
          <w:highlight w:val="none"/>
          <w:lang w:val="en-US" w:eastAsia="zh-CN" w:bidi="ar-SA"/>
        </w:rPr>
        <w:t>2.7环境保护目标</w:t>
      </w:r>
      <w:bookmarkEnd w:id="101"/>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本项目环境保护目标见下表。</w:t>
      </w:r>
    </w:p>
    <w:p>
      <w:pPr>
        <w:pageBreakBefore w:val="0"/>
        <w:widowControl w:val="0"/>
        <w:bidi w:val="0"/>
        <w:adjustRightInd w:val="0"/>
        <w:snapToGrid w:val="0"/>
        <w:spacing w:line="360" w:lineRule="auto"/>
        <w:jc w:val="center"/>
        <w:rPr>
          <w:rFonts w:hint="default" w:ascii="Times New Roman" w:hAnsi="Times New Roman" w:eastAsia="宋体" w:cs="Times New Roman"/>
          <w:b/>
          <w:bCs/>
          <w:caps w:val="0"/>
          <w:smallCaps w:val="0"/>
          <w:color w:val="auto"/>
          <w:spacing w:val="0"/>
          <w:w w:val="100"/>
          <w:ker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表2.7-1地表水保护目标</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33"/>
        <w:gridCol w:w="2464"/>
        <w:gridCol w:w="2209"/>
        <w:gridCol w:w="241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保护目标</w:t>
            </w:r>
          </w:p>
        </w:tc>
        <w:tc>
          <w:tcPr>
            <w:tcW w:w="24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方位及最近距离</w:t>
            </w:r>
          </w:p>
        </w:tc>
        <w:tc>
          <w:tcPr>
            <w:tcW w:w="22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环境特征</w:t>
            </w:r>
          </w:p>
        </w:tc>
        <w:tc>
          <w:tcPr>
            <w:tcW w:w="24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保护级别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3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安肇新河</w:t>
            </w:r>
          </w:p>
        </w:tc>
        <w:tc>
          <w:tcPr>
            <w:tcW w:w="2464"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西侧/10m</w:t>
            </w:r>
          </w:p>
        </w:tc>
        <w:tc>
          <w:tcPr>
            <w:tcW w:w="2209"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人工</w:t>
            </w:r>
            <w:r>
              <w:rPr>
                <w:rFonts w:hint="default" w:ascii="Times New Roman" w:hAnsi="Times New Roman" w:cs="Times New Roman"/>
                <w:color w:val="auto"/>
                <w:sz w:val="21"/>
                <w:szCs w:val="21"/>
                <w:highlight w:val="none"/>
                <w:vertAlign w:val="baseline"/>
                <w:lang w:val="en-US" w:eastAsia="zh-CN"/>
              </w:rPr>
              <w:t>排水干渠，</w:t>
            </w:r>
            <w:r>
              <w:rPr>
                <w:rFonts w:hint="eastAsia" w:ascii="Times New Roman" w:hAnsi="Times New Roman" w:cs="Times New Roman"/>
                <w:color w:val="auto"/>
                <w:sz w:val="21"/>
                <w:szCs w:val="21"/>
                <w:highlight w:val="none"/>
                <w:vertAlign w:val="baseline"/>
                <w:lang w:val="en-US" w:eastAsia="zh-CN"/>
              </w:rPr>
              <w:t>由北向南流经</w:t>
            </w:r>
          </w:p>
        </w:tc>
        <w:tc>
          <w:tcPr>
            <w:tcW w:w="241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《地表水环境质量标准》（GB3838-2002）Ⅴ类</w:t>
            </w:r>
          </w:p>
        </w:tc>
      </w:tr>
    </w:tbl>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w:t>
      </w:r>
      <w:r>
        <w:rPr>
          <w:rFonts w:hint="eastAsia" w:ascii="Times New Roman" w:hAnsi="Times New Roman" w:eastAsia="宋体" w:cs="Times New Roman"/>
          <w:b/>
          <w:bCs/>
          <w:color w:val="auto"/>
          <w:kern w:val="0"/>
          <w:sz w:val="24"/>
          <w:szCs w:val="24"/>
          <w:highlight w:val="none"/>
          <w:lang w:val="en-US" w:eastAsia="zh-CN" w:bidi="ar"/>
        </w:rPr>
        <w:t>2.7-2</w:t>
      </w:r>
      <w:r>
        <w:rPr>
          <w:rFonts w:hint="default" w:ascii="Times New Roman" w:hAnsi="Times New Roman" w:eastAsia="宋体" w:cs="Times New Roman"/>
          <w:b/>
          <w:bCs/>
          <w:color w:val="auto"/>
          <w:kern w:val="0"/>
          <w:sz w:val="24"/>
          <w:szCs w:val="24"/>
          <w:highlight w:val="none"/>
          <w:lang w:val="en-US" w:eastAsia="zh-CN" w:bidi="ar"/>
        </w:rPr>
        <w:t>本项目土壤环境保护目标</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73"/>
        <w:gridCol w:w="1827"/>
        <w:gridCol w:w="1868"/>
        <w:gridCol w:w="344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保护目标</w:t>
            </w:r>
          </w:p>
        </w:tc>
        <w:tc>
          <w:tcPr>
            <w:tcW w:w="1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方位/距离（m）</w:t>
            </w:r>
          </w:p>
        </w:tc>
        <w:tc>
          <w:tcPr>
            <w:tcW w:w="1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环境特征</w:t>
            </w:r>
          </w:p>
        </w:tc>
        <w:tc>
          <w:tcPr>
            <w:tcW w:w="344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保护级别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7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土壤</w:t>
            </w:r>
          </w:p>
        </w:tc>
        <w:tc>
          <w:tcPr>
            <w:tcW w:w="1827"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拟建</w:t>
            </w:r>
            <w:r>
              <w:rPr>
                <w:rFonts w:hint="eastAsia" w:ascii="Times New Roman" w:hAnsi="Times New Roman" w:cs="Times New Roman"/>
                <w:color w:val="auto"/>
                <w:sz w:val="21"/>
                <w:szCs w:val="21"/>
                <w:highlight w:val="none"/>
                <w:vertAlign w:val="baseline"/>
                <w:lang w:val="en-US" w:eastAsia="zh-CN"/>
              </w:rPr>
              <w:t>厂界外50m范围内</w:t>
            </w:r>
          </w:p>
        </w:tc>
        <w:tc>
          <w:tcPr>
            <w:tcW w:w="186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一般草地</w:t>
            </w:r>
          </w:p>
        </w:tc>
        <w:tc>
          <w:tcPr>
            <w:tcW w:w="3448" w:type="dxa"/>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《土壤环境质量—建设用地土壤污染风险管控标准（试行）》（GB36600-2018）第二类用地筛选标准</w:t>
            </w:r>
          </w:p>
        </w:tc>
      </w:tr>
    </w:tbl>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w:t>
      </w:r>
      <w:r>
        <w:rPr>
          <w:rFonts w:hint="eastAsia" w:ascii="Times New Roman" w:hAnsi="Times New Roman" w:eastAsia="宋体" w:cs="Times New Roman"/>
          <w:b/>
          <w:bCs/>
          <w:color w:val="auto"/>
          <w:kern w:val="0"/>
          <w:sz w:val="24"/>
          <w:szCs w:val="24"/>
          <w:highlight w:val="none"/>
          <w:lang w:val="en-US" w:eastAsia="zh-CN" w:bidi="ar"/>
        </w:rPr>
        <w:t>2.7-3</w:t>
      </w:r>
      <w:r>
        <w:rPr>
          <w:rFonts w:hint="default" w:ascii="Times New Roman" w:hAnsi="Times New Roman" w:eastAsia="宋体" w:cs="Times New Roman"/>
          <w:b/>
          <w:bCs/>
          <w:color w:val="auto"/>
          <w:kern w:val="0"/>
          <w:sz w:val="24"/>
          <w:szCs w:val="24"/>
          <w:highlight w:val="none"/>
          <w:lang w:val="en-US" w:eastAsia="zh-CN" w:bidi="ar"/>
        </w:rPr>
        <w:t>本项目地下水环境保护目标一览表</w:t>
      </w:r>
    </w:p>
    <w:tbl>
      <w:tblPr>
        <w:tblStyle w:val="13"/>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55"/>
        <w:gridCol w:w="2115"/>
        <w:gridCol w:w="2903"/>
        <w:gridCol w:w="194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保护目标</w:t>
            </w:r>
          </w:p>
        </w:tc>
        <w:tc>
          <w:tcPr>
            <w:tcW w:w="12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相对最近方位/距离</w:t>
            </w:r>
          </w:p>
        </w:tc>
        <w:tc>
          <w:tcPr>
            <w:tcW w:w="170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环境特征</w:t>
            </w:r>
          </w:p>
        </w:tc>
        <w:tc>
          <w:tcPr>
            <w:tcW w:w="11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保护级别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三不管屯分散式饮用</w:t>
            </w:r>
            <w:r>
              <w:rPr>
                <w:rFonts w:hint="default" w:ascii="Times New Roman" w:hAnsi="Times New Roman" w:cs="Times New Roman"/>
                <w:color w:val="auto"/>
                <w:sz w:val="21"/>
                <w:szCs w:val="21"/>
                <w:highlight w:val="none"/>
                <w:vertAlign w:val="baseline"/>
                <w:lang w:val="en-US" w:eastAsia="zh-CN"/>
              </w:rPr>
              <w:t>水井</w:t>
            </w:r>
          </w:p>
        </w:tc>
        <w:tc>
          <w:tcPr>
            <w:tcW w:w="124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拟建厂址西侧/530m</w:t>
            </w:r>
          </w:p>
        </w:tc>
        <w:tc>
          <w:tcPr>
            <w:tcW w:w="170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井深40m，水井结构为钢筋混凝土管；为村屯住户自打水井，主要用于灌溉</w:t>
            </w:r>
            <w:r>
              <w:rPr>
                <w:rFonts w:hint="default" w:ascii="Times New Roman" w:hAnsi="Times New Roman" w:cs="Times New Roman"/>
                <w:color w:val="auto"/>
                <w:sz w:val="21"/>
                <w:szCs w:val="21"/>
                <w:highlight w:val="none"/>
                <w:vertAlign w:val="baseline"/>
                <w:lang w:val="en-US" w:eastAsia="zh-CN"/>
              </w:rPr>
              <w:t>。</w:t>
            </w:r>
          </w:p>
        </w:tc>
        <w:tc>
          <w:tcPr>
            <w:tcW w:w="1140"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《地下水质量标准》（GB/T14848-2017）III类</w:t>
            </w:r>
          </w:p>
        </w:tc>
      </w:tr>
    </w:tbl>
    <w:p>
      <w:pPr>
        <w:keepNext w:val="0"/>
        <w:keepLines w:val="0"/>
        <w:widowControl/>
        <w:suppressLineNumbers w:val="0"/>
        <w:spacing w:line="360" w:lineRule="auto"/>
        <w:jc w:val="center"/>
        <w:rPr>
          <w:rFonts w:hint="default" w:ascii="Times New Roman" w:hAnsi="Times New Roman" w:eastAsia="宋体" w:cs="Times New Roman"/>
          <w:b/>
          <w:bCs/>
          <w:color w:val="auto"/>
          <w:kern w:val="0"/>
          <w:sz w:val="24"/>
          <w:szCs w:val="24"/>
          <w:highlight w:val="none"/>
          <w:lang w:val="en-US" w:eastAsia="zh-CN" w:bidi="ar"/>
        </w:rPr>
      </w:pPr>
      <w:r>
        <w:rPr>
          <w:rFonts w:hint="default" w:ascii="Times New Roman" w:hAnsi="Times New Roman" w:eastAsia="宋体" w:cs="Times New Roman"/>
          <w:b/>
          <w:bCs/>
          <w:color w:val="auto"/>
          <w:kern w:val="0"/>
          <w:sz w:val="24"/>
          <w:szCs w:val="24"/>
          <w:highlight w:val="none"/>
          <w:lang w:val="en-US" w:eastAsia="zh-CN" w:bidi="ar"/>
        </w:rPr>
        <w:t>表</w:t>
      </w:r>
      <w:r>
        <w:rPr>
          <w:rFonts w:hint="eastAsia" w:ascii="Times New Roman" w:hAnsi="Times New Roman" w:eastAsia="宋体" w:cs="Times New Roman"/>
          <w:b/>
          <w:bCs/>
          <w:color w:val="auto"/>
          <w:kern w:val="0"/>
          <w:sz w:val="24"/>
          <w:szCs w:val="24"/>
          <w:highlight w:val="none"/>
          <w:lang w:val="en-US" w:eastAsia="zh-CN" w:bidi="ar"/>
        </w:rPr>
        <w:t>2.7-4生态</w:t>
      </w:r>
      <w:r>
        <w:rPr>
          <w:rFonts w:hint="default" w:ascii="Times New Roman" w:hAnsi="Times New Roman" w:eastAsia="宋体" w:cs="Times New Roman"/>
          <w:b/>
          <w:bCs/>
          <w:color w:val="auto"/>
          <w:kern w:val="0"/>
          <w:sz w:val="24"/>
          <w:szCs w:val="24"/>
          <w:highlight w:val="none"/>
          <w:lang w:val="en-US" w:eastAsia="zh-CN" w:bidi="ar"/>
        </w:rPr>
        <w:t>环境保护目标一览表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29"/>
        <w:gridCol w:w="2129"/>
        <w:gridCol w:w="2129"/>
        <w:gridCol w:w="21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保护目标</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相对方位/距离</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环境特征</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保护级别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土壤、植被</w:t>
            </w:r>
            <w:r>
              <w:rPr>
                <w:rFonts w:hint="eastAsia" w:ascii="Times New Roman" w:hAnsi="Times New Roman" w:cs="Times New Roman"/>
                <w:color w:val="auto"/>
                <w:sz w:val="21"/>
                <w:szCs w:val="21"/>
                <w:highlight w:val="none"/>
                <w:vertAlign w:val="baseline"/>
                <w:lang w:val="en-US" w:eastAsia="zh-CN"/>
              </w:rPr>
              <w:t>、安肇新河水体</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生态净化区外扩500m，进场道路外扩300m范围</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周围生态空间</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对施工临时占地进行场地平整，恢复原有地植及绿貌，与区域地表植被环境自然衔接；安肇水体为《地表水环境质量标准》（GB3838-2002）Ⅴ类</w:t>
            </w:r>
          </w:p>
        </w:tc>
      </w:tr>
    </w:tbl>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p>
    <w:p>
      <w:pPr>
        <w:pStyle w:val="8"/>
        <w:rPr>
          <w:rFonts w:hint="eastAsia" w:ascii="Times New Roman" w:hAnsi="Times New Roman" w:eastAsia="宋体" w:cs="Times New Roman"/>
          <w:caps w:val="0"/>
          <w:smallCaps w:val="0"/>
          <w:color w:val="auto"/>
          <w:spacing w:val="0"/>
          <w:w w:val="100"/>
          <w:kern w:val="0"/>
          <w:sz w:val="24"/>
          <w:szCs w:val="24"/>
          <w:highlight w:val="none"/>
          <w:lang w:val="en-US" w:eastAsia="zh-CN"/>
        </w:rPr>
      </w:pPr>
    </w:p>
    <w:p>
      <w:pPr>
        <w:rPr>
          <w:rFonts w:hint="default"/>
          <w:color w:val="auto"/>
          <w:highlight w:val="none"/>
          <w:lang w:val="en-US" w:eastAsia="zh-CN"/>
        </w:rPr>
      </w:pPr>
      <w:r>
        <w:rPr>
          <w:rFonts w:hint="default"/>
          <w:color w:val="auto"/>
          <w:highlight w:val="none"/>
          <w:lang w:val="en-US" w:eastAsia="zh-CN"/>
        </w:rPr>
        <w:br w:type="page"/>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102" w:name="_Toc18064"/>
      <w:bookmarkStart w:id="103" w:name="_Toc21816"/>
      <w:r>
        <w:rPr>
          <w:rFonts w:hint="eastAsia" w:ascii="Times New Roman" w:hAnsi="Times New Roman" w:eastAsia="宋体" w:cs="Times New Roman"/>
          <w:snapToGrid/>
          <w:color w:val="auto"/>
          <w:sz w:val="32"/>
          <w:highlight w:val="none"/>
          <w:lang w:val="en-US" w:eastAsia="zh-CN" w:bidi="ar-SA"/>
        </w:rPr>
        <w:t>3</w:t>
      </w:r>
      <w:r>
        <w:rPr>
          <w:rFonts w:hint="default" w:ascii="Times New Roman" w:hAnsi="Times New Roman" w:eastAsia="宋体" w:cs="Times New Roman"/>
          <w:snapToGrid/>
          <w:color w:val="auto"/>
          <w:sz w:val="32"/>
          <w:highlight w:val="none"/>
          <w:lang w:val="en-US" w:eastAsia="zh-CN" w:bidi="ar-SA"/>
        </w:rPr>
        <w:t>项目概况及工程分析</w:t>
      </w:r>
      <w:bookmarkEnd w:id="102"/>
      <w:bookmarkEnd w:id="103"/>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104" w:name="_Toc26149"/>
      <w:r>
        <w:rPr>
          <w:rFonts w:hint="eastAsia" w:ascii="Times New Roman" w:hAnsi="Times New Roman" w:eastAsia="宋体" w:cs="Times New Roman"/>
          <w:snapToGrid/>
          <w:color w:val="auto"/>
          <w:sz w:val="32"/>
          <w:highlight w:val="none"/>
          <w:lang w:val="en-US" w:eastAsia="zh-CN" w:bidi="ar-SA"/>
        </w:rPr>
        <w:t>3.1治理水体现状调查</w:t>
      </w:r>
      <w:bookmarkEnd w:id="104"/>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b/>
          <w:bCs/>
          <w:caps w:val="0"/>
          <w:smallCaps w:val="0"/>
          <w:color w:val="auto"/>
          <w:spacing w:val="0"/>
          <w:w w:val="100"/>
          <w:kern w:val="0"/>
          <w:sz w:val="24"/>
          <w:szCs w:val="24"/>
          <w:highlight w:val="none"/>
          <w:lang w:val="en-US" w:eastAsia="zh-CN"/>
        </w:rPr>
      </w:pPr>
      <w:r>
        <w:rPr>
          <w:rFonts w:hint="default" w:ascii="Times New Roman" w:hAnsi="Times New Roman" w:eastAsia="宋体" w:cs="Times New Roman"/>
          <w:b/>
          <w:bCs/>
          <w:caps w:val="0"/>
          <w:smallCaps w:val="0"/>
          <w:color w:val="auto"/>
          <w:spacing w:val="0"/>
          <w:w w:val="100"/>
          <w:kern w:val="0"/>
          <w:sz w:val="24"/>
          <w:szCs w:val="24"/>
          <w:highlight w:val="none"/>
          <w:lang w:val="en-US" w:eastAsia="zh-CN"/>
        </w:rPr>
        <w:t>3.1</w:t>
      </w: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b/>
          <w:bCs/>
          <w:caps w:val="0"/>
          <w:smallCaps w:val="0"/>
          <w:color w:val="auto"/>
          <w:spacing w:val="0"/>
          <w:w w:val="100"/>
          <w:kern w:val="0"/>
          <w:sz w:val="24"/>
          <w:szCs w:val="24"/>
          <w:highlight w:val="none"/>
          <w:lang w:val="en-US" w:eastAsia="zh-CN"/>
        </w:rPr>
        <w:t xml:space="preserve">  库里泡现状</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库里泡位于黑龙江省大庆市的东南部，大同区老山头乡，松花江北岸，大同与肇州交界处。库里泡所在地区的地质构造属松辽盆地的一部分，地区为浅洼地，地貌类型属松花江、嫩江冲积一级阶地，属乌裕尔河、双阳河冲积泛滥低平原区，海拔130-160m。库里泡流域呈枣核状，南北长16km，东西最宽处</w:t>
      </w: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km，水深浅不一，北浅南深，最深处4m，最浅处0.5m，是串联在安肇新河下游较大的泡沼泄洪区，通过安肇新河主干渠容纳大庆市污水，出水水质为劣Ⅴ类，外泄洪水由古恰闸口入松花江。</w:t>
      </w:r>
    </w:p>
    <w:p>
      <w:pPr>
        <w:pageBreakBefore w:val="0"/>
        <w:widowControl w:val="0"/>
        <w:numPr>
          <w:ilvl w:val="0"/>
          <w:numId w:val="0"/>
        </w:numPr>
        <w:bidi w:val="0"/>
        <w:adjustRightInd w:val="0"/>
        <w:snapToGrid w:val="0"/>
        <w:spacing w:line="360" w:lineRule="auto"/>
        <w:ind w:firstLine="480" w:firstLineChars="200"/>
        <w:jc w:val="both"/>
        <w:rPr>
          <w:rFonts w:hint="default"/>
          <w:color w:val="auto"/>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近几年对库里泡水质进行监测，监测点位为安肇新河入库里泡排口上游、安肇新河入库里泡排口、库里泡中间以及库里泡出口四个断面。根据2021年监测数据，COD、氨氮、总磷及高锰酸盐指数均超于《地表水环境质量》（GB3838-2002）Ⅴ类标准限值，且COD、总磷浓度整体较高，氨氮总体差异性较大。</w:t>
      </w:r>
    </w:p>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3.1.2安肇新河现状</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安肇新河</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为打破大庆地区闭流状态而开挖的一条人工排水干渠，河流经过王花泡、北二十里泡、中内泡和库里泡4座大中型滞洪区，同时西部排干、中央排干、东一排干、东二排干和兴隆排干的排水全部汇入安肇新河，最终排入松花江，河流全长108.1km。</w:t>
      </w:r>
      <w:r>
        <w:rPr>
          <w:rFonts w:hint="default" w:ascii="Times New Roman" w:hAnsi="Times New Roman" w:eastAsia="宋体" w:cs="Times New Roman"/>
          <w:caps w:val="0"/>
          <w:smallCaps w:val="0"/>
          <w:color w:val="auto"/>
          <w:spacing w:val="0"/>
          <w:w w:val="100"/>
          <w:kern w:val="0"/>
          <w:sz w:val="24"/>
          <w:szCs w:val="24"/>
          <w:highlight w:val="none"/>
          <w:lang w:val="en-US" w:eastAsia="zh-CN"/>
        </w:rPr>
        <w:t>主要</w:t>
      </w:r>
      <w:r>
        <w:rPr>
          <w:rFonts w:hint="eastAsia" w:ascii="Times New Roman" w:hAnsi="Times New Roman" w:eastAsia="宋体" w:cs="Times New Roman"/>
          <w:caps w:val="0"/>
          <w:smallCaps w:val="0"/>
          <w:color w:val="auto"/>
          <w:spacing w:val="0"/>
          <w:w w:val="100"/>
          <w:kern w:val="0"/>
          <w:sz w:val="24"/>
          <w:szCs w:val="24"/>
          <w:highlight w:val="none"/>
          <w:lang w:val="en-US" w:eastAsia="zh-CN"/>
        </w:rPr>
        <w:t>接收</w:t>
      </w:r>
      <w:r>
        <w:rPr>
          <w:rFonts w:hint="default" w:ascii="Times New Roman" w:hAnsi="Times New Roman" w:eastAsia="宋体" w:cs="Times New Roman"/>
          <w:caps w:val="0"/>
          <w:smallCaps w:val="0"/>
          <w:color w:val="auto"/>
          <w:spacing w:val="0"/>
          <w:w w:val="100"/>
          <w:kern w:val="0"/>
          <w:sz w:val="24"/>
          <w:szCs w:val="24"/>
          <w:highlight w:val="none"/>
          <w:lang w:val="en-US" w:eastAsia="zh-CN"/>
        </w:rPr>
        <w:t>城市污水、工业废水和</w:t>
      </w:r>
      <w:r>
        <w:rPr>
          <w:rFonts w:hint="eastAsia" w:ascii="Times New Roman" w:hAnsi="Times New Roman" w:eastAsia="宋体" w:cs="Times New Roman"/>
          <w:caps w:val="0"/>
          <w:smallCaps w:val="0"/>
          <w:color w:val="auto"/>
          <w:spacing w:val="0"/>
          <w:w w:val="100"/>
          <w:kern w:val="0"/>
          <w:sz w:val="24"/>
          <w:szCs w:val="24"/>
          <w:highlight w:val="none"/>
          <w:lang w:val="en-US" w:eastAsia="zh-CN"/>
        </w:rPr>
        <w:t>降雨及洪水。安肇新河水质常年为地表水劣Ⅴ类。</w:t>
      </w:r>
    </w:p>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3.1.3库里泡水环境问题识别</w:t>
      </w:r>
    </w:p>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（1）安肇新河上游输入性污染占比较大</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由于大庆地处洼地，安达闭流区，主要接收处理达标的工业废水和生活污水，但长此以往，纳入污染物量超过水体自净能力。根据近几年安肇新河水体监测数据，安肇新河水质常年为劣五类。污水通过安肇新河进入库里泡。COD、总磷超标现象严重，所以，库里泡的水质受安肇新河水质的直接影响，上游来水水质较差是导致库里泡水质较差的主要原因，也是导致下游古恰泄洪闸口考核断面水质不稳定的原因之一。</w:t>
      </w:r>
    </w:p>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（2）内源污染负荷严重</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由于流域的特殊性，大庆在建设之初利用天然泡沼的自然蒸发，自然降解功能，将生活、生产污水排入泡沼封存，在泡沼内自然蒸发和降解，进行污水的处理处置。在人口密度低，污水排放量小的时候，处理效果较好，但是，随着人口密度的上升，工业发展速度的上升，</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排放大量的生活和工业污水进入泡沼，超出了泡沼的自然降解能力，使泡沼由清水泡变成了污水泡、黑水泡。库里泡经常年累月的污染，沉积物污染负荷严重。</w:t>
      </w:r>
    </w:p>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（3）面源污染仍能汇入</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虽然库里泡周围已经开展了一定的整治，但农村面源污染较为严重，农村污水尚未进行有效处理，污染负荷占比较大。此外，库里泡周围县城畜禽养殖业发达，流域内畜禽粪污收集率偏低，散养畜禽粪污治理难度大。农业种植方面，由于化肥使用量大，有机肥使用占比少，配比不合理导致土壤板结和土壤有机质下降，传统的施药方式和施药技术导致农业面源严重。</w:t>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color w:val="auto"/>
          <w:sz w:val="32"/>
          <w:highlight w:val="none"/>
          <w:lang w:val="en-US" w:eastAsia="zh-CN" w:bidi="ar-SA"/>
        </w:rPr>
      </w:pPr>
      <w:bookmarkStart w:id="105" w:name="_Toc1255"/>
      <w:r>
        <w:rPr>
          <w:rFonts w:hint="eastAsia" w:ascii="Times New Roman" w:hAnsi="Times New Roman" w:eastAsia="宋体" w:cs="Times New Roman"/>
          <w:snapToGrid/>
          <w:color w:val="auto"/>
          <w:sz w:val="32"/>
          <w:highlight w:val="none"/>
          <w:lang w:val="en-US" w:eastAsia="zh-CN" w:bidi="ar-SA"/>
        </w:rPr>
        <w:t>3.2建设项目概况</w:t>
      </w:r>
      <w:bookmarkEnd w:id="105"/>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3.2.1建设项目基本情况</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（1）项目名称：大庆市安肇新河人工湿地水质净化工程</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（2）建设单位：大庆市城发自然生态保护管理有限公司</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（3）建设性质：新建</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建设地点：大同区安肇新河入库里泡排口上游左侧岸边处，项目中心地理坐标为东经124°53′48.972″，北纬45°56′1.761″。项目所在地西侧为安肇新河，北侧及南侧为自然形成河塘，东侧为一般草地，距离项目占地边界最近的敏感点为进场道路南侧的277m新立屯散户。</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（5）建设内容：本项目占地面积1360亩，包括湿地管护路，为进场道路，起点为大肇路，终点为人工湿地大门，道路长1.922公里，占地50亩；生态净化区占地1310亩。</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生态净化区主要建设生态稳定塘、生态砾石床、表流湿地、垂直潜流湿地、半自然湿地净化单元，配套建设运维人工生活办公区，包括锅炉房及综合楼。</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在干渠左岸新建引水口，向岸边内陆延伸，建设进水明渠，将安肇新河干渠内部分污水先引至生态稳定塘进行沉淀，去除悬浮物；再通过提升泵及管道进入生态砾石床、表流湿地、垂直潜流湿地进行处置，最终汇入半自然湿地，通过退水暗涵及在干渠左岸新建退水口，回流至安肇新河内，与干渠内其他污水混合，起到稀释作用，通过安肇新河入库里泡排口进入库里泡内。</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本工程融雪期设计处理规模为30万m</w:t>
      </w:r>
      <w:r>
        <w:rPr>
          <w:rFonts w:hint="eastAsia" w:ascii="Times New Roman" w:hAnsi="Times New Roman" w:eastAsia="宋体" w:cs="Times New Roman"/>
          <w:caps w:val="0"/>
          <w:smallCaps w:val="0"/>
          <w:color w:val="auto"/>
          <w:spacing w:val="0"/>
          <w:w w:val="100"/>
          <w:kern w:val="0"/>
          <w:sz w:val="24"/>
          <w:szCs w:val="24"/>
          <w:highlight w:val="none"/>
          <w:vertAlign w:val="superscript"/>
          <w:lang w:val="en-US" w:eastAsia="zh-CN"/>
        </w:rPr>
        <w:t>3</w:t>
      </w:r>
      <w:r>
        <w:rPr>
          <w:rFonts w:hint="eastAsia" w:ascii="Times New Roman" w:hAnsi="Times New Roman" w:eastAsia="宋体" w:cs="Times New Roman"/>
          <w:caps w:val="0"/>
          <w:smallCaps w:val="0"/>
          <w:color w:val="auto"/>
          <w:spacing w:val="0"/>
          <w:w w:val="100"/>
          <w:kern w:val="0"/>
          <w:sz w:val="24"/>
          <w:szCs w:val="24"/>
          <w:highlight w:val="none"/>
          <w:lang w:val="en-US" w:eastAsia="zh-CN"/>
        </w:rPr>
        <w:t>/d，冰封期设计处理规模为15万m</w:t>
      </w:r>
      <w:r>
        <w:rPr>
          <w:rFonts w:hint="eastAsia" w:ascii="Times New Roman" w:hAnsi="Times New Roman" w:eastAsia="宋体" w:cs="Times New Roman"/>
          <w:caps w:val="0"/>
          <w:smallCaps w:val="0"/>
          <w:color w:val="auto"/>
          <w:spacing w:val="0"/>
          <w:w w:val="100"/>
          <w:kern w:val="0"/>
          <w:sz w:val="24"/>
          <w:szCs w:val="24"/>
          <w:highlight w:val="none"/>
          <w:vertAlign w:val="superscript"/>
          <w:lang w:val="en-US" w:eastAsia="zh-CN"/>
        </w:rPr>
        <w:t>3</w:t>
      </w:r>
      <w:r>
        <w:rPr>
          <w:rFonts w:hint="eastAsia" w:ascii="Times New Roman" w:hAnsi="Times New Roman" w:eastAsia="宋体" w:cs="Times New Roman"/>
          <w:caps w:val="0"/>
          <w:smallCaps w:val="0"/>
          <w:color w:val="auto"/>
          <w:spacing w:val="0"/>
          <w:w w:val="100"/>
          <w:kern w:val="0"/>
          <w:sz w:val="24"/>
          <w:szCs w:val="24"/>
          <w:highlight w:val="none"/>
          <w:lang w:val="en-US" w:eastAsia="zh-CN"/>
        </w:rPr>
        <w:t>/d。</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（6）项目总投资及来源：本项目总投资18278.52万元。</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（7）施工时限：14个月。</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（8）人员配备情况：施工期按工程施工阶段投入劳动力，其中1~2月10人、3-10月60人、11-14月10人。</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（9）工作制度：施工期施工人员实行两班，每班12小时工作制；运营期管理人员、维护人员实行一班，每班8小时工作制，施工工作420天。</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3.2.2建设内容及规模</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占地面积1360亩，对安肇新河入库里泡排口区域水体进行净化，拦截、降低进入库里泡污染物质含量，其中生态稳定塘面积13987m2，生态砾石床12950m2，表流湿地区57786m2，垂直潜流湿地48871m2，半自然湿地区728523m2，恢复水生植物共计767013m2。泵站及管理房等附属设施6050m2。湿地运维连接路16337m2，主要建设内容及规模详见下表。</w:t>
      </w:r>
    </w:p>
    <w:p>
      <w:pPr>
        <w:pageBreakBefore w:val="0"/>
        <w:widowControl w:val="0"/>
        <w:numPr>
          <w:ilvl w:val="0"/>
          <w:numId w:val="0"/>
        </w:numPr>
        <w:bidi w:val="0"/>
        <w:adjustRightInd w:val="0"/>
        <w:snapToGrid w:val="0"/>
        <w:spacing w:line="360" w:lineRule="auto"/>
        <w:jc w:val="center"/>
        <w:rPr>
          <w:rFonts w:hint="eastAsia" w:ascii="Times New Roman" w:hAnsi="Times New Roman" w:eastAsia="宋体" w:cs="Times New Roman"/>
          <w:b/>
          <w:bCs/>
          <w:caps w:val="0"/>
          <w:smallCaps w:val="0"/>
          <w:color w:val="auto"/>
          <w:spacing w:val="0"/>
          <w:w w:val="100"/>
          <w:ker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表 3.2-1项目主要工程内容一览表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14"/>
        <w:gridCol w:w="645"/>
        <w:gridCol w:w="405"/>
        <w:gridCol w:w="60"/>
        <w:gridCol w:w="1110"/>
        <w:gridCol w:w="538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类别</w:t>
            </w:r>
          </w:p>
        </w:tc>
        <w:tc>
          <w:tcPr>
            <w:tcW w:w="105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主要</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工程</w:t>
            </w:r>
          </w:p>
        </w:tc>
        <w:tc>
          <w:tcPr>
            <w:tcW w:w="6552"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建设内容及规模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主体</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工程</w:t>
            </w:r>
          </w:p>
        </w:tc>
        <w:tc>
          <w:tcPr>
            <w:tcW w:w="1050" w:type="dxa"/>
            <w:gridSpan w:val="2"/>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复合人工湿地系统</w:t>
            </w:r>
          </w:p>
        </w:tc>
        <w:tc>
          <w:tcPr>
            <w:tcW w:w="117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生态</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稳定塘</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平均设计处理深度4m，总容积为55948m3，水流停留时间6h，污水经沉淀，去除悬浮物，经提升泵及管道分别进入生态砾石床及半自然湿地，水力停留时间6h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050" w:type="dxa"/>
            <w:gridSpan w:val="2"/>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17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生态</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砾石床</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态砾石床来水为部分生态稳定塘退水，设计处理能力15m3/d，平均有效水深2m；采用单体组合形式，单体尺寸为5m×20m，共建设126组生态砾石床单体；其中9个为一组建设配水渠和集水渠，共14个单元。包含：进流配水渠、生态砾石床接触氧化单元、反冲洗泥浆池、出流集水渠等。</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水力负荷10m3/m2·d，水力停留时间2h；池体墙体采用C25、底板采用C30防渗钢筋混凝土结构，垫层为C10素混凝土，厚100mm。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050" w:type="dxa"/>
            <w:gridSpan w:val="2"/>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17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表流湿地</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表流湿地进水为生态砾石床退水，设计处理能力为15m3/d；平均水深为0.35m，库容为2.02万m3，水力停留时间0.13d，水力负荷2.6m3/m2·d；表流湿地之间用0.4~0.5m高的土墙分割，土隔墙采用100mm厚的C30砼六角实心砖贴面。湿地内种植水生植物净化水质。湿地的防渗系统主要包含HDPe膜（两布一膜），其中HDPE膜厚1.0mm，无纺布重量为300g/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050" w:type="dxa"/>
            <w:gridSpan w:val="2"/>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17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垂直潜流湿地</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采用上行式垂直潜流处理模式，垂直潜流湿地为部分表流湿地退水，潜流湿地分为2个区，34个子单元，利用湿地内部分区道路、分水渠将各分区进行隔离。潜流湿地I区有效面积22216m2，II区有效面积23075m2。垂直潜流湿地气度进行填料，顶部种植植物，进行水体净化。</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设计处理规模3万m3/d，采取暗渠的方式进行布水；平均水深为1.5m，水力停留时间0.98d，水力负荷0.61m3/m2·d；湿地的防渗系统主要包含HDPe膜（两布一膜），其中HDPE膜厚1.0mm，无纺布重量为300g/m2。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050" w:type="dxa"/>
            <w:gridSpan w:val="2"/>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17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半自然</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湿地</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有效水深0.8m，停留时间为1.7d。设置不同水深，分别种植挺水植物、浮叶植物及沉水植物等，其中0.8m水深区占比80%，0.3m水深区占比20%，挺水植物占80%。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共设置5个区，其中Ⅰ区为进水区，Ⅱ、Ⅲ、Ⅳ为处理区，Ⅴ为出水区。</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2220"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进场道路</w:t>
            </w:r>
          </w:p>
        </w:tc>
        <w:tc>
          <w:tcPr>
            <w:tcW w:w="5382"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道路总长1.922公里，起点为大肇路，终点为人工湿地大门，路面宽度7m，路基宽度8.5m。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110" w:type="dxa"/>
            <w:gridSpan w:val="3"/>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景观工程</w:t>
            </w:r>
          </w:p>
        </w:tc>
        <w:tc>
          <w:tcPr>
            <w:tcW w:w="1110"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生态步道</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一级布道设计宽4m，长约1190m，为湿地衔接外部路网通道，是湿地与外部沟通、管养运维主要通道。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110" w:type="dxa"/>
            <w:gridSpan w:val="3"/>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110"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二级布道设计宽2.5m，长约1580m，设计成铺装路，为湿地内部区域绿化、管养道路，局部衔接检测房、堤顶路以及亲水平台等沟通为汀步，长约380m。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110" w:type="dxa"/>
            <w:gridSpan w:val="3"/>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11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其他</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科普宣传栏、庭院灯、摄像头、座椅、垃圾桶等。</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临时</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工程</w:t>
            </w:r>
          </w:p>
        </w:tc>
        <w:tc>
          <w:tcPr>
            <w:tcW w:w="2220"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施工营地</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采用就近原则，且本项目占地面积较大，在厂址内布置临时施工设施，作为施工营地；设置移动板房为办公及生活区域。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2220"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临时道路</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项目施工期间设置临时道路，位于生态净化区东侧，与湿地管护路（进场道路）相邻，长度为1.911公里，路宽7m。占地类型为一般草地。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2220"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底泥晾晒场</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灵活设置，位于厂址内，施工作业区附近；根据施工时，土壤实际硬度测试，若不能进行直接覆土夯实，先进行底泥清挖，暂存于底泥晾晒场，进行简单脱水，用于湿地建设。底泥晾晒场周围设置临时排水管道，将底泥出水引至临时沉淀池进行沉淀。</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1" w:hRule="atLeast"/>
        </w:trPr>
        <w:tc>
          <w:tcPr>
            <w:tcW w:w="914"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2220"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临时沉淀池</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灵活设置，位于厂址内，施工作业区附近，进行一般防渗；河塘内积水、含泥沙雨水及底泥出水排入临时沉淀池内，经沉淀后用于施工区域洒水抑尘。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1" w:hRule="atLeast"/>
        </w:trPr>
        <w:tc>
          <w:tcPr>
            <w:tcW w:w="914"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2220"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土方临时堆放场</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灵活设置，位于厂址内，施工作业区附近；施工时为防止地面水流入基坑，在周围砌筑120mm宽200mm高砖挡水坎，外侧抹水泥砂浆。雨天顶部覆盖塑料布，防止雨水进入。同时周围设置临时排水沟，施工结束后，挡水坎拆除，土地平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辅助</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工程</w:t>
            </w:r>
          </w:p>
        </w:tc>
        <w:tc>
          <w:tcPr>
            <w:tcW w:w="2220"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w:t>
            </w:r>
          </w:p>
        </w:tc>
        <w:tc>
          <w:tcPr>
            <w:tcW w:w="538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位于潜流湿地东侧，砖混构建物，共3层，建筑面积1830m2；高11.4m；1楼设置厨房。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2220"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w:t>
            </w:r>
          </w:p>
        </w:tc>
        <w:tc>
          <w:tcPr>
            <w:tcW w:w="538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位于表流湿地东侧，为1层砖混构建物，建筑面积70m2，内置90kw热水锅炉，使用生物质作为燃料。燃烧烟气经袋式除尘器处置后，通过1根20m排气筒排放。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2220" w:type="dxa"/>
            <w:gridSpan w:val="4"/>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食堂</w:t>
            </w:r>
          </w:p>
        </w:tc>
        <w:tc>
          <w:tcPr>
            <w:tcW w:w="5382"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位于综合楼1层内，占地面积24m2，设置2个灶头。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公用</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工程</w:t>
            </w:r>
          </w:p>
        </w:tc>
        <w:tc>
          <w:tcPr>
            <w:tcW w:w="2220"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给水</w:t>
            </w:r>
          </w:p>
        </w:tc>
        <w:tc>
          <w:tcPr>
            <w:tcW w:w="5382"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来源于厂区自建水井，位于锅炉房西南角，设计井深80m，供水能力为60m3/h。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2220"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排水</w:t>
            </w:r>
          </w:p>
        </w:tc>
        <w:tc>
          <w:tcPr>
            <w:tcW w:w="5382"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生活污水排入厂区化粪池内，定期清掏，拉运至大同污水厂处理，处理后的尾水执行《城镇污水处理厂污染物排放标准》（GB18918-2002）一级A标准，排入安肇新河内。</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2220"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供电</w:t>
            </w:r>
          </w:p>
        </w:tc>
        <w:tc>
          <w:tcPr>
            <w:tcW w:w="5382"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由国家电网供应</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2220"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供暖</w:t>
            </w:r>
          </w:p>
        </w:tc>
        <w:tc>
          <w:tcPr>
            <w:tcW w:w="5382"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由自建供暖锅炉供热</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环保</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工程</w:t>
            </w:r>
          </w:p>
        </w:tc>
        <w:tc>
          <w:tcPr>
            <w:tcW w:w="64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施工期</w:t>
            </w:r>
          </w:p>
        </w:tc>
        <w:tc>
          <w:tcPr>
            <w:tcW w:w="1575"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废气</w:t>
            </w:r>
          </w:p>
        </w:tc>
        <w:tc>
          <w:tcPr>
            <w:tcW w:w="538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施工作业区设置围挡，运输车辆顶部加盖苫布，防止装载过满，施工场地定期洒水抑尘。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64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575"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废水</w:t>
            </w:r>
          </w:p>
        </w:tc>
        <w:tc>
          <w:tcPr>
            <w:tcW w:w="538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施工人员生活污水排入移动环保旱厕内，定期清掏，外运堆肥。含泥沙雨水、河塘内积水及底泥出水经临时沉淀池沉淀后，用于施工区域抑尘，不外排。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64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575"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噪声</w:t>
            </w:r>
          </w:p>
        </w:tc>
        <w:tc>
          <w:tcPr>
            <w:tcW w:w="538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合理安排施工现场，选用低噪音，合理安排施工时间，定期对设备进行养护及检修。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64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575"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固废</w:t>
            </w:r>
          </w:p>
        </w:tc>
        <w:tc>
          <w:tcPr>
            <w:tcW w:w="538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河塘底泥进行简单的脱水，用于湿地建设。</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施工人员生活垃圾集中收集，拉运至村屯垃圾暂存点，等待集中拉运处置。</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建筑垃圾分类集中堆存，统一收集后拉到县区有关部门要求的地方进行处置。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64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575"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水土保持措施</w:t>
            </w:r>
          </w:p>
        </w:tc>
        <w:tc>
          <w:tcPr>
            <w:tcW w:w="538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在开挖区周围设置挡水堤和排水沟、挖设集水坑等措施，阻止场外水流入施工场地。在临时堆土场周围设置截流沟，进行雨水排放，防止雨季弃土区坍塌。排水按照施工排水工程中设计方案进行。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64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575"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生态修复措施</w:t>
            </w:r>
          </w:p>
        </w:tc>
        <w:tc>
          <w:tcPr>
            <w:tcW w:w="538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施工结束后，对临时占地进行场地进行平整，植被恢复。施工期间采取相应生态防止措施，随区域生态影响可被接受。</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64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运行期</w:t>
            </w:r>
          </w:p>
        </w:tc>
        <w:tc>
          <w:tcPr>
            <w:tcW w:w="1575"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废气</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1.锅炉燃烧烟气经袋式除尘器除尘后，经20m排气筒排放。袋式除尘器除尘效率为99%。</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2.食堂油烟经集气罩收集，经油烟净化器处置后，通过专用烟道，高于屋顶排放。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645"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575"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废水</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1.运维人员生活污水排入化粪池内，定期清掏，拉运至大同污水处理厂处理，处理后的尾水执行《城镇污水处理厂污染物排放标准》（GB18918-2002）一级A标准，排入安肇新河内。</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2.经人工湿地后的安肇新河污水经退水暗涵回流至安肇新河内，与其他未经处理的干渠内污水混合，通过安肇新河入库里泡排口进入库里泡内。</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3.供暖期锅炉排污水排入潜流湿地净化，经填料净化，回流至安肇新河内。</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color w:val="auto"/>
                <w:highlight w:val="none"/>
                <w:lang w:val="en-US" w:eastAsia="zh-CN"/>
              </w:rPr>
            </w:pPr>
            <w:r>
              <w:rPr>
                <w:rFonts w:hint="eastAsia" w:ascii="Times New Roman" w:hAnsi="Times New Roman" w:cs="Times New Roman"/>
                <w:color w:val="auto"/>
                <w:sz w:val="21"/>
                <w:szCs w:val="21"/>
                <w:highlight w:val="none"/>
                <w:vertAlign w:val="baseline"/>
                <w:lang w:val="en-US" w:eastAsia="zh-CN"/>
              </w:rPr>
              <w:t>4.食堂废水经隔油池处置后，排入化粪池，与生活污水一同拉运处置。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645"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575"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噪声</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选用低噪设备，安装减振垫，厂墙隔音，绿植降噪</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645"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575"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固废</w:t>
            </w:r>
          </w:p>
        </w:tc>
        <w:tc>
          <w:tcPr>
            <w:tcW w:w="5382"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1.植物废弃物及运维人员生活垃圾分类集中收集，拉运至村屯垃圾暂存点，等待集中拉运处置。</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2.锅炉灰渣及除尘器收集沉渣，定期外售，综合利用。</w:t>
            </w:r>
          </w:p>
        </w:tc>
      </w:tr>
    </w:tbl>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3.2.2项目工程量</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本项目占地原为低洼地带形成的河塘；河塘底泥施工时，土壤实际硬度测试，若不能进行直接覆土夯实，先进行底泥清挖，暂存于底泥晾晒场，进行简单脱水，用于湿地建设。其余填方采取外购土进行建设。</w:t>
      </w:r>
    </w:p>
    <w:p>
      <w:pPr>
        <w:pageBreakBefore w:val="0"/>
        <w:widowControl w:val="0"/>
        <w:numPr>
          <w:ilvl w:val="0"/>
          <w:numId w:val="0"/>
        </w:numPr>
        <w:bidi w:val="0"/>
        <w:adjustRightInd w:val="0"/>
        <w:snapToGrid w:val="0"/>
        <w:spacing w:line="360" w:lineRule="auto"/>
        <w:ind w:firstLine="482" w:firstLineChars="200"/>
        <w:jc w:val="center"/>
        <w:rPr>
          <w:rFonts w:hint="eastAsia" w:ascii="Times New Roman" w:hAnsi="Times New Roman" w:eastAsia="宋体" w:cs="Times New Roman"/>
          <w:b/>
          <w:bCs/>
          <w:caps w:val="0"/>
          <w:smallCaps w:val="0"/>
          <w:color w:val="auto"/>
          <w:spacing w:val="0"/>
          <w:w w:val="100"/>
          <w:ker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表3.2-2  建设项目土方工程量  （单位：m3）</w:t>
      </w:r>
    </w:p>
    <w:tbl>
      <w:tblPr>
        <w:tblStyle w:val="13"/>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47"/>
        <w:gridCol w:w="1992"/>
        <w:gridCol w:w="1552"/>
        <w:gridCol w:w="332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开挖土方</w:t>
            </w:r>
          </w:p>
        </w:tc>
        <w:tc>
          <w:tcPr>
            <w:tcW w:w="19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土方回填</w:t>
            </w:r>
          </w:p>
        </w:tc>
        <w:tc>
          <w:tcPr>
            <w:tcW w:w="15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余方弃置</w:t>
            </w:r>
          </w:p>
        </w:tc>
        <w:tc>
          <w:tcPr>
            <w:tcW w:w="332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6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18.43万</w:t>
            </w:r>
          </w:p>
        </w:tc>
        <w:tc>
          <w:tcPr>
            <w:tcW w:w="19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40万</w:t>
            </w:r>
          </w:p>
        </w:tc>
        <w:tc>
          <w:tcPr>
            <w:tcW w:w="15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332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来源于临时设置取土场，取土用于湿地填土建设</w:t>
            </w:r>
          </w:p>
        </w:tc>
      </w:tr>
    </w:tbl>
    <w:p>
      <w:pPr>
        <w:pageBreakBefore w:val="0"/>
        <w:widowControl w:val="0"/>
        <w:numPr>
          <w:ilvl w:val="0"/>
          <w:numId w:val="0"/>
        </w:numPr>
        <w:bidi w:val="0"/>
        <w:adjustRightInd w:val="0"/>
        <w:snapToGrid w:val="0"/>
        <w:spacing w:line="360" w:lineRule="auto"/>
        <w:jc w:val="center"/>
        <w:rPr>
          <w:rFonts w:hint="eastAsia" w:ascii="Times New Roman" w:hAnsi="Times New Roman" w:eastAsia="宋体" w:cs="Times New Roman"/>
          <w:b/>
          <w:bCs/>
          <w:caps w:val="0"/>
          <w:smallCaps w:val="0"/>
          <w:color w:val="auto"/>
          <w:spacing w:val="0"/>
          <w:w w:val="100"/>
          <w:ker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表 3.2-3 建设项目绿化工程量</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81"/>
        <w:gridCol w:w="811"/>
        <w:gridCol w:w="921"/>
        <w:gridCol w:w="899"/>
        <w:gridCol w:w="838"/>
        <w:gridCol w:w="396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6"/>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乔木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名称</w:t>
            </w:r>
          </w:p>
        </w:tc>
        <w:tc>
          <w:tcPr>
            <w:tcW w:w="1732"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规格（m）</w:t>
            </w:r>
          </w:p>
        </w:tc>
        <w:tc>
          <w:tcPr>
            <w:tcW w:w="899"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数量</w:t>
            </w:r>
          </w:p>
        </w:tc>
        <w:tc>
          <w:tcPr>
            <w:tcW w:w="838"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单位</w:t>
            </w:r>
          </w:p>
        </w:tc>
        <w:tc>
          <w:tcPr>
            <w:tcW w:w="396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高度</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冠幅</w:t>
            </w:r>
          </w:p>
        </w:tc>
        <w:tc>
          <w:tcPr>
            <w:tcW w:w="899"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83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396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红皮云杉</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3.0-3.5</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1.8-2.0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树形塔形，型优美，不烧膛，不蜕腿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白扦</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3.5-4.0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2.5-2.8</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树形塔形，型优美，不烧膛，不蜕腿</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樟子松</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4.5-5.0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3.0-3.5</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120</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全冠移植，树冠饱满，树形优美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油松</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5.0-5.5</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3.5-4.0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全冠移植，树冠饱满，树形优美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银中杨</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11</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1559</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全冠移植，树冠饱满，枝叶茂盛，杆直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旱柳</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5.0-5.5</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3.0-3.5</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390</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全冠移植，三级以上分支，树形优美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五角枫</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6.5</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4.5</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全冠移植，姿态饱满，分支点2.0-2.2m，树形饱满，造型优美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山荆子</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4.5-5.0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4.0-4.5</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21</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全冠移植，树冠饱满，树形优美，枝叶茂盛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从善茶条槭A</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6.0-6.5</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5.0-5.5</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全冠移植，树冠饱满，树形优美，枝叶茂盛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从善茶条槭B</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5.5-6.0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4.0-4.5</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全冠移植，树冠饱满，树形优美，枝叶茂盛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垂柳</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5.5-6.0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3.0-3.5</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1060</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杆直茂圆，分枝数5分支以上</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金枝国槐</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4.0-4.5</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2.5-2.8</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全冠移植，树冠饱满，树形优美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山楂</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2.5-3.0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38</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全冠移植，树冠饱满，树形优美，丛生或低点分支，﹥4杆/枝</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山杏</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2.5-3.0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11</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全冠移植，树冠饱满，树形优美，丛生或低点分支，﹥4杆/枝</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椆李</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3.5-4.0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524</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全冠移植，树冠饱满，树形优美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榆叶梅</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255</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10分枝以上，5分枝以上粗度﹥2.0cm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东北连翘</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1.2-1.5</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1.2-1.5</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338</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10分枝以上，5分枝以上粗度﹥2.0cm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紫丁香</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1.8-2.2</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1.5-1.8</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19</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10分枝以上，5分枝以上粗度﹥2.5cm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黄树梅</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1.2-1.5</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1.2-1.5</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5分枝以上，3分枝以上粗度﹥3.0cm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怪柳</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2.0-2.5</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1.0-1.5</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176</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全冠移植，树冠饱满，树形优美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卫予球A</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球形，基本球形分支，树冠饱满，树形优美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卫予球B</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26</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球形，基本球形分支，树冠饱满，树形优美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金叶榆球</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株</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球形，基本球形分支，树冠饱满，树形优美</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6"/>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水生植物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芦苇</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79331.5</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精品苗，16株/m2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香蒲</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28992.6</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精品苗，16株/m2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三菱草</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20-40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6712.5</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精品苗，16株/m2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泽泻</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20-40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9103.9</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精品苗，16株/m2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水葱</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24154.3</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精品苗，16株/m2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菖蒲</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10936.2</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精品苗，16株/m2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睡莲</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3768.3</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精品苗，2株/m2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荷花</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13822.6</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精品苗，2株/m2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荇菜</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22430.4</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精品苗，9-16丛/m2，3-4芽/丛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苫草</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5283.8</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精品苗，64株/m2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黑藻</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7706</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精品苗，9-16丛/m2，10-15芽/丛</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6"/>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灌木植被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卫矛</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324.4</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36株/m2，品字栽植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红瑞木</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90-120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45-60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1026.2</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36株/m2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胡枝子</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45-55</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35-40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82</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36株/m2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拂子茅</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40-50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30-40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218.4</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9株/m2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狼尾草</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40-50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2288.5</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16墩/m2，10芽/墩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马蔺</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30-40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3140.5</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36墩/m2，10芽/墩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费菜</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30-40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20-30</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419.6</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49墩/m2，铺满不漏土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鸢尾</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35</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3267.9</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播种，10-15g/m2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委陵菜</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25444.2</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播种，10-15g/m2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盐地碱蓬</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3261.5</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播种，10-15g/m2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羊草</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30401</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播种，10-15g/m2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高羊茅</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30848.4</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播种，10-15g/m2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野古草</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20140.6</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播种，10-15g/m2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二月兰</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3772.4</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播种，10-15g/m2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8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爬山虎</w:t>
            </w:r>
          </w:p>
        </w:tc>
        <w:tc>
          <w:tcPr>
            <w:tcW w:w="8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92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8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12818.3</w:t>
            </w:r>
          </w:p>
        </w:tc>
        <w:tc>
          <w:tcPr>
            <w:tcW w:w="83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m2</w:t>
            </w:r>
          </w:p>
        </w:tc>
        <w:tc>
          <w:tcPr>
            <w:tcW w:w="396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10-15株/m2</w:t>
            </w:r>
          </w:p>
        </w:tc>
      </w:tr>
    </w:tbl>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3.2.3  建设项目主要设备材料</w:t>
      </w:r>
    </w:p>
    <w:p>
      <w:pPr>
        <w:pageBreakBefore w:val="0"/>
        <w:widowControl w:val="0"/>
        <w:numPr>
          <w:ilvl w:val="0"/>
          <w:numId w:val="0"/>
        </w:numPr>
        <w:bidi w:val="0"/>
        <w:adjustRightInd w:val="0"/>
        <w:snapToGrid w:val="0"/>
        <w:spacing w:line="360" w:lineRule="auto"/>
        <w:ind w:firstLine="482" w:firstLineChars="200"/>
        <w:jc w:val="center"/>
        <w:rPr>
          <w:rFonts w:hint="eastAsia" w:ascii="Times New Roman" w:hAnsi="Times New Roman" w:eastAsia="宋体" w:cs="Times New Roman"/>
          <w:b/>
          <w:bCs/>
          <w:caps w:val="0"/>
          <w:smallCaps w:val="0"/>
          <w:color w:val="auto"/>
          <w:spacing w:val="0"/>
          <w:w w:val="100"/>
          <w:ker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表 3.2-4项目主要设备材料一览表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99"/>
        <w:gridCol w:w="2184"/>
        <w:gridCol w:w="2195"/>
        <w:gridCol w:w="1547"/>
        <w:gridCol w:w="159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序号</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设备名称</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规格/型号</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单位</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塑料管 (PE 管)</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DN200  PN= 1.0MPa</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491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塑料管 (PE 管)</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DN400 PN= 1.0MPa</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塑料管 (PE 管)</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DN1200  PN=1.0MPa</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264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混凝土管</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DN800</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m</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A 型刚性防水套管</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DN400 L&gt;250   02S404/ 15 、17</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个</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A 型刚性防水套管</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DN600 L&gt;250    02S404/ 15 、17</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个</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A 型刚性防水套管</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DN800 L&gt;250    02S404/ 15 、17</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个</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蝶阀</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DN200  D341-6Q 、成品、手动</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个</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蝶阀</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DN400  D341-6Q 、成品、手动</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个</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蝶阀</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DN1200 D341-6Q 、成品、手动</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个</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11</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蝶阀井</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Φ2800    07MS101-2 、33</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座</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蝶阀井</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Φ3000    07MS101-2 、33</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座</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法兰</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DN200</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个</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4" w:hRule="atLeast"/>
        </w:trPr>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14</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法兰</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DN400</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个</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法兰</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DN1200</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个</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16</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双法兰限位伸缩接头</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DN400 、成品</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个</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17</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双法兰限位伸缩接头</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DN600 、成品</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个</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9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18</w:t>
            </w:r>
          </w:p>
        </w:tc>
        <w:tc>
          <w:tcPr>
            <w:tcW w:w="218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双法兰限位伸缩接头</w:t>
            </w:r>
          </w:p>
        </w:tc>
        <w:tc>
          <w:tcPr>
            <w:tcW w:w="21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DN800 、成品</w:t>
            </w:r>
          </w:p>
        </w:tc>
        <w:tc>
          <w:tcPr>
            <w:tcW w:w="154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个</w:t>
            </w:r>
          </w:p>
        </w:tc>
        <w:tc>
          <w:tcPr>
            <w:tcW w:w="159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34</w:t>
            </w:r>
          </w:p>
        </w:tc>
      </w:tr>
    </w:tbl>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3.2.4  公用工程</w:t>
      </w:r>
    </w:p>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（1）用电</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项目施工营地用电由村屯供电系统提供；运行期由国家电网供应。</w:t>
      </w:r>
    </w:p>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（2）用热</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项目施工员工采用电取暖方式；运行期由厂区自建锅炉供热。</w:t>
      </w:r>
    </w:p>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（3）给排水</w:t>
      </w:r>
    </w:p>
    <w:p>
      <w:pPr>
        <w:pageBreakBefore w:val="0"/>
        <w:widowControl w:val="0"/>
        <w:numPr>
          <w:ilvl w:val="0"/>
          <w:numId w:val="0"/>
        </w:numPr>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①给水</w:t>
      </w:r>
    </w:p>
    <w:p>
      <w:pPr>
        <w:pageBreakBefore w:val="0"/>
        <w:widowControl w:val="0"/>
        <w:numPr>
          <w:ilvl w:val="0"/>
          <w:numId w:val="0"/>
        </w:numPr>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1）施工期</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项目施工期生活用水外购桶装水；施工场地抑尘用水来源经沉淀池沉淀后的雨水、底泥出水及河塘积水。</w:t>
      </w:r>
    </w:p>
    <w:p>
      <w:pPr>
        <w:pageBreakBefore w:val="0"/>
        <w:widowControl w:val="0"/>
        <w:numPr>
          <w:ilvl w:val="0"/>
          <w:numId w:val="0"/>
        </w:numPr>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根据《黑龙江省地方标准用水定额》（DB23/T727-2021），农村居民生活用水80L/d，项目分阶段施工，则施工阶段生活用水总量为1296m</w:t>
      </w:r>
      <w:r>
        <w:rPr>
          <w:rFonts w:hint="eastAsia" w:ascii="Times New Roman" w:hAnsi="Times New Roman" w:eastAsia="宋体" w:cs="Times New Roman"/>
          <w:caps w:val="0"/>
          <w:smallCaps w:val="0"/>
          <w:color w:val="auto"/>
          <w:spacing w:val="0"/>
          <w:w w:val="100"/>
          <w:kern w:val="0"/>
          <w:sz w:val="24"/>
          <w:szCs w:val="24"/>
          <w:highlight w:val="none"/>
          <w:vertAlign w:val="superscript"/>
          <w:lang w:val="en-US" w:eastAsia="zh-CN"/>
        </w:rPr>
        <w:t>3</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numPr>
          <w:ilvl w:val="0"/>
          <w:numId w:val="0"/>
        </w:numPr>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项目占地共1360亩，场地抑尘用水量为0.005m3/m2/d，本项目分阶段施工，在融雪期进行洒水抑尘，计划每周洒水1次，预计施工期抑尘用水量为6.7万m</w:t>
      </w:r>
      <w:r>
        <w:rPr>
          <w:rFonts w:hint="eastAsia" w:ascii="Times New Roman" w:hAnsi="Times New Roman" w:eastAsia="宋体" w:cs="Times New Roman"/>
          <w:caps w:val="0"/>
          <w:smallCaps w:val="0"/>
          <w:color w:val="auto"/>
          <w:spacing w:val="0"/>
          <w:w w:val="100"/>
          <w:kern w:val="0"/>
          <w:sz w:val="24"/>
          <w:szCs w:val="24"/>
          <w:highlight w:val="none"/>
          <w:vertAlign w:val="superscript"/>
          <w:lang w:val="en-US" w:eastAsia="zh-CN"/>
        </w:rPr>
        <w:t>3</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2）运行期</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项目运行期用水为生活用水及供暖期锅炉用水。均来源于厂区自建水井。分别位于锅炉房及综合楼内。</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运行期运维人员共10人，根据《黑龙江省地方标准用水定额》（DB23/T727-2021），农村居民生活用水80L/d，生活用水量为292m3，根据设计资料，锅炉每小时蒸发补水量按锅炉吨位5%计，新建1座90kw（0.125t/h）热水锅炉，锅炉运行时间为4320h，则锅炉蒸发补水量为5t/a。</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根据企业提供资料，本项目年使用生物质80t，根据《排放源统计调查产排污核算方法和系数手册》，项目采取锅内软化水处理方式，则排污水量为21t/a。则本项目锅炉年补水量为26t/a。</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②排水</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1）施工期</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施工期产生的废水主要为施工人员产生的生活污水，排入移动环保旱厕内，定期清掏，外运堆肥。生活污水产生量按照使用量的80%计，产生量为1037m</w:t>
      </w:r>
      <w:r>
        <w:rPr>
          <w:rFonts w:hint="eastAsia" w:ascii="Times New Roman" w:hAnsi="Times New Roman" w:eastAsia="宋体" w:cs="Times New Roman"/>
          <w:caps w:val="0"/>
          <w:smallCaps w:val="0"/>
          <w:color w:val="auto"/>
          <w:spacing w:val="0"/>
          <w:w w:val="100"/>
          <w:kern w:val="0"/>
          <w:sz w:val="24"/>
          <w:szCs w:val="24"/>
          <w:highlight w:val="none"/>
          <w:vertAlign w:val="superscript"/>
          <w:lang w:val="en-US" w:eastAsia="zh-CN"/>
        </w:rPr>
        <w:t>3</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2）运行期</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项目运行期间产生的废水主要为生活污水及供暖期的锅炉排污水。</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活污水产生量按照使用量的80%计，产生量为234m3；生活污水排入化粪池内，定期清掏，拉运至大同污水处理厂处理，处理后的尾水执行《城镇污水处理厂污染物排放标准》（GB18918-2002）一级A标准，排入安肇新河内。</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锅炉排污水排入潜流湿地内，经净化进入安肇新河。</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食堂废水经隔油池处置后，排入化粪池，与生活污水一同拉运处置。</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3.2.5工程占地与移民安置</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（1）永久占地</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本项目永久占地1360亩，其中1310亩为生态净化区，50亩为进场道路。生态净化区占地区域原为自然形成的河塘，与安肇新河不相连。本次征用河塘为本项目占地。进场道路占地类型为一般草地。</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（2）临时占地</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①施工便道</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本项目施工期设置临时施工便道，位于生态净化区东侧，与进场道路相邻，总长度为1.911公里，路宽7m，占地类型为一般草地。能够满足施工机械和运输材料车辆进场要求。</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②移民安置</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本项目不涉及。</w:t>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color w:val="auto"/>
          <w:sz w:val="32"/>
          <w:highlight w:val="none"/>
          <w:lang w:val="en-US" w:eastAsia="zh-CN" w:bidi="ar-SA"/>
        </w:rPr>
      </w:pPr>
      <w:bookmarkStart w:id="106" w:name="_Toc14194"/>
      <w:r>
        <w:rPr>
          <w:rFonts w:hint="eastAsia" w:ascii="Times New Roman" w:hAnsi="Times New Roman" w:eastAsia="宋体" w:cs="Times New Roman"/>
          <w:snapToGrid/>
          <w:color w:val="auto"/>
          <w:sz w:val="32"/>
          <w:highlight w:val="none"/>
          <w:lang w:val="en-US" w:eastAsia="zh-CN" w:bidi="ar-SA"/>
        </w:rPr>
        <w:t>3.3建设项目总体布置及设计</w:t>
      </w:r>
      <w:bookmarkEnd w:id="106"/>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本项目占地</w:t>
      </w:r>
      <w:r>
        <w:rPr>
          <w:rFonts w:hint="eastAsia" w:ascii="Times New Roman" w:hAnsi="Times New Roman" w:eastAsia="宋体" w:cs="Times New Roman"/>
          <w:caps w:val="0"/>
          <w:smallCaps w:val="0"/>
          <w:color w:val="auto"/>
          <w:spacing w:val="0"/>
          <w:w w:val="100"/>
          <w:kern w:val="0"/>
          <w:sz w:val="24"/>
          <w:szCs w:val="24"/>
          <w:highlight w:val="none"/>
          <w:lang w:val="en-US" w:eastAsia="zh-CN"/>
        </w:rPr>
        <w:t>1360亩，其中生态净化区占地1310亩，包括生态稳定塘、生态砾石床、表流湿地、垂直潜流湿地、半自然湿地净化单元及辅助用房部分。</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本次在安肇新河入库里泡排口上游左岸处新建引水口，向岸边内陆延伸，建设进水明渠，将安肇新河干渠内部分污水先引至生态稳定塘进行沉淀，去除悬浮物。</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在融雪期，生态稳定塘退水一半进入生态砾石床，一半进入半自然湿地。经生态砾石床净化后的水，1/5进入表流湿地，其余全部进入半自然湿地。潜流湿地全部接受表流湿地退水，经微生物降解，植物净化后进入半自然湿地。</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半自然湿地共分为5个区，其中Ⅰ区为进水区，Ⅱ、Ⅲ、Ⅳ为处理区，Ⅴ为出水区。最终经净化后的水经退水暗涵回流至安肇新河内，与干渠内其他污水混合，起到稀释作用，通过安肇新河入库里泡排口进入库里泡内。</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生态稳定塘面积13987m2，生态砾石床12950m2，表流湿地区57786m2，垂直潜流湿地48871m2，半自然湿地区728523m2，恢复水生植物共计767013m2。</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项目拟建厂址位于河道左侧处，</w:t>
      </w:r>
      <w:r>
        <w:rPr>
          <w:rFonts w:hint="default" w:ascii="Times New Roman" w:hAnsi="Times New Roman" w:eastAsia="宋体" w:cs="Times New Roman"/>
          <w:caps w:val="0"/>
          <w:smallCaps w:val="0"/>
          <w:color w:val="auto"/>
          <w:spacing w:val="0"/>
          <w:w w:val="100"/>
          <w:kern w:val="0"/>
          <w:sz w:val="24"/>
          <w:szCs w:val="24"/>
          <w:highlight w:val="none"/>
          <w:lang w:val="en-US" w:eastAsia="zh-CN"/>
        </w:rPr>
        <w:t>场地相对平整</w:t>
      </w:r>
      <w:r>
        <w:rPr>
          <w:rFonts w:hint="eastAsia" w:ascii="Times New Roman" w:hAnsi="Times New Roman" w:eastAsia="宋体" w:cs="Times New Roman"/>
          <w:caps w:val="0"/>
          <w:smallCaps w:val="0"/>
          <w:color w:val="auto"/>
          <w:spacing w:val="0"/>
          <w:w w:val="100"/>
          <w:kern w:val="0"/>
          <w:sz w:val="24"/>
          <w:szCs w:val="24"/>
          <w:highlight w:val="none"/>
          <w:lang w:val="en-US" w:eastAsia="zh-CN"/>
        </w:rPr>
        <w:t>，在改善区域地表水体环境同时，不改变安肇新河原有水文条件，项目建设运行后，与安肇新河、库里泡形成新的生态系统，</w:t>
      </w:r>
      <w:r>
        <w:rPr>
          <w:rFonts w:hint="default" w:ascii="Times New Roman" w:hAnsi="Times New Roman" w:eastAsia="宋体" w:cs="Times New Roman"/>
          <w:caps w:val="0"/>
          <w:smallCaps w:val="0"/>
          <w:color w:val="auto"/>
          <w:spacing w:val="0"/>
          <w:w w:val="100"/>
          <w:kern w:val="0"/>
          <w:sz w:val="24"/>
          <w:szCs w:val="24"/>
          <w:highlight w:val="none"/>
          <w:lang w:val="en-US" w:eastAsia="zh-CN"/>
        </w:rPr>
        <w:t>湿地生态系统内种植水生植物，增加一定的景观效果。场地结合上位规划需求，</w:t>
      </w:r>
      <w:r>
        <w:rPr>
          <w:rFonts w:hint="eastAsia" w:ascii="Times New Roman" w:hAnsi="Times New Roman" w:eastAsia="宋体" w:cs="Times New Roman"/>
          <w:caps w:val="0"/>
          <w:smallCaps w:val="0"/>
          <w:color w:val="auto"/>
          <w:spacing w:val="0"/>
          <w:w w:val="100"/>
          <w:kern w:val="0"/>
          <w:sz w:val="24"/>
          <w:szCs w:val="24"/>
          <w:highlight w:val="none"/>
          <w:lang w:val="en-US" w:eastAsia="zh-CN"/>
        </w:rPr>
        <w:t>在河岸旁边新建引水口，顺应水流，同时满足湿地引水需求，</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w:t>
      </w:r>
      <w:r>
        <w:rPr>
          <w:rFonts w:hint="eastAsia" w:ascii="Times New Roman" w:hAnsi="Times New Roman" w:eastAsia="宋体" w:cs="Times New Roman"/>
          <w:caps w:val="0"/>
          <w:smallCaps w:val="0"/>
          <w:color w:val="auto"/>
          <w:spacing w:val="0"/>
          <w:w w:val="100"/>
          <w:kern w:val="0"/>
          <w:sz w:val="24"/>
          <w:szCs w:val="24"/>
          <w:highlight w:val="none"/>
          <w:lang w:val="en-US" w:eastAsia="zh-CN"/>
        </w:rPr>
        <w:t>次设计</w:t>
      </w:r>
      <w:r>
        <w:rPr>
          <w:rFonts w:hint="default" w:ascii="Times New Roman" w:hAnsi="Times New Roman" w:eastAsia="宋体" w:cs="Times New Roman"/>
          <w:caps w:val="0"/>
          <w:smallCaps w:val="0"/>
          <w:color w:val="auto"/>
          <w:spacing w:val="0"/>
          <w:w w:val="100"/>
          <w:kern w:val="0"/>
          <w:sz w:val="24"/>
          <w:szCs w:val="24"/>
          <w:highlight w:val="none"/>
          <w:lang w:val="en-US" w:eastAsia="zh-CN"/>
        </w:rPr>
        <w:t>采用的高程为1985国家高程基准。根据</w:t>
      </w:r>
      <w:r>
        <w:rPr>
          <w:rFonts w:hint="eastAsia" w:ascii="Times New Roman" w:hAnsi="Times New Roman" w:eastAsia="宋体" w:cs="Times New Roman"/>
          <w:caps w:val="0"/>
          <w:smallCaps w:val="0"/>
          <w:color w:val="auto"/>
          <w:spacing w:val="0"/>
          <w:w w:val="100"/>
          <w:kern w:val="0"/>
          <w:sz w:val="24"/>
          <w:szCs w:val="24"/>
          <w:highlight w:val="none"/>
          <w:lang w:val="en-US" w:eastAsia="zh-CN"/>
        </w:rPr>
        <w:t>安肇新河治理规划、河道防洪</w:t>
      </w:r>
      <w:r>
        <w:rPr>
          <w:rFonts w:hint="default" w:ascii="Times New Roman" w:hAnsi="Times New Roman" w:eastAsia="宋体" w:cs="Times New Roman"/>
          <w:caps w:val="0"/>
          <w:smallCaps w:val="0"/>
          <w:color w:val="auto"/>
          <w:spacing w:val="0"/>
          <w:w w:val="100"/>
          <w:kern w:val="0"/>
          <w:sz w:val="24"/>
          <w:szCs w:val="24"/>
          <w:highlight w:val="none"/>
          <w:lang w:val="en-US" w:eastAsia="zh-CN"/>
        </w:rPr>
        <w:t>排沥规划</w:t>
      </w:r>
      <w:r>
        <w:rPr>
          <w:rFonts w:hint="eastAsia" w:ascii="Times New Roman" w:hAnsi="Times New Roman" w:eastAsia="宋体" w:cs="Times New Roman"/>
          <w:caps w:val="0"/>
          <w:smallCaps w:val="0"/>
          <w:color w:val="auto"/>
          <w:spacing w:val="0"/>
          <w:w w:val="100"/>
          <w:kern w:val="0"/>
          <w:sz w:val="24"/>
          <w:szCs w:val="24"/>
          <w:highlight w:val="none"/>
          <w:lang w:val="en-US" w:eastAsia="zh-CN"/>
        </w:rPr>
        <w:t>及</w:t>
      </w:r>
      <w:r>
        <w:rPr>
          <w:rFonts w:hint="default" w:ascii="Times New Roman" w:hAnsi="Times New Roman" w:eastAsia="宋体" w:cs="Times New Roman"/>
          <w:caps w:val="0"/>
          <w:smallCaps w:val="0"/>
          <w:color w:val="auto"/>
          <w:spacing w:val="0"/>
          <w:w w:val="100"/>
          <w:kern w:val="0"/>
          <w:sz w:val="24"/>
          <w:szCs w:val="24"/>
          <w:highlight w:val="none"/>
          <w:lang w:val="en-US" w:eastAsia="zh-CN"/>
        </w:rPr>
        <w:t>场地和周边内现状地形条件、防洪防涝等要求确定堤顶路控制标高。</w:t>
      </w: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项目建设不改变河道岸边原有形态。</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本项目为污水处理及其再生利用工程，融雪期处理规模30万m3/d，冰封期处理规模15万m3/d。</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（1）融雪期运行工艺流程</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融雪期：安肇新河→生态稳定塘→生态砾石床→表流湿地→垂直潜流湿地→半自然湿地→排入安肇新河</w:t>
      </w:r>
      <w:r>
        <w:rPr>
          <w:rFonts w:hint="eastAsia" w:ascii="Times New Roman" w:hAnsi="Times New Roman" w:eastAsia="宋体" w:cs="Times New Roman"/>
          <w:caps w:val="0"/>
          <w:smallCaps w:val="0"/>
          <w:color w:val="auto"/>
          <w:spacing w:val="0"/>
          <w:w w:val="100"/>
          <w:kern w:val="0"/>
          <w:sz w:val="24"/>
          <w:szCs w:val="24"/>
          <w:highlight w:val="none"/>
          <w:lang w:val="en-US" w:eastAsia="zh-CN"/>
        </w:rPr>
        <w:t>，湿地表面平均水力负荷为0.39m3/m2·d。湿地的水力停留时间为2.1d。</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cs="Times New Roman"/>
                <w:color w:val="auto"/>
                <w:sz w:val="24"/>
                <w:szCs w:val="24"/>
                <w:highlight w:val="none"/>
                <w:vertAlign w:val="baseline"/>
                <w:lang w:val="en-US" w:eastAsia="zh-CN"/>
              </w:rPr>
              <w:drawing>
                <wp:inline distT="0" distB="0" distL="114300" distR="114300">
                  <wp:extent cx="5266690" cy="1626235"/>
                  <wp:effectExtent l="0" t="0" r="10160" b="12065"/>
                  <wp:docPr id="4" name="图片 4" descr="融雪期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融雪期工艺流程图"/>
                          <pic:cNvPicPr>
                            <a:picLocks noChangeAspect="1"/>
                          </pic:cNvPicPr>
                        </pic:nvPicPr>
                        <pic:blipFill>
                          <a:blip r:embed="rId10"/>
                          <a:stretch>
                            <a:fillRect/>
                          </a:stretch>
                        </pic:blipFill>
                        <pic:spPr>
                          <a:xfrm>
                            <a:off x="0" y="0"/>
                            <a:ext cx="5266690" cy="16262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numPr>
                <w:ilvl w:val="0"/>
                <w:numId w:val="0"/>
              </w:numPr>
              <w:spacing w:before="2" w:line="385" w:lineRule="auto"/>
              <w:ind w:right="70" w:rightChars="0"/>
              <w:jc w:val="center"/>
              <w:rPr>
                <w:rFonts w:hint="eastAsia" w:ascii="Times New Roman" w:hAnsi="Times New Roman" w:cs="Times New Roman"/>
                <w:color w:val="auto"/>
                <w:sz w:val="24"/>
                <w:szCs w:val="24"/>
                <w:highlight w:val="none"/>
                <w:vertAlign w:val="baseline"/>
                <w:lang w:val="en-US" w:eastAsia="zh-CN"/>
              </w:rPr>
            </w:pPr>
            <w:r>
              <w:rPr>
                <w:rFonts w:hint="eastAsia" w:ascii="Times New Roman" w:hAnsi="Times New Roman" w:eastAsia="宋体" w:cs="Times New Roman"/>
                <w:b/>
                <w:bCs/>
                <w:color w:val="auto"/>
                <w:spacing w:val="24"/>
                <w:sz w:val="24"/>
                <w:szCs w:val="24"/>
                <w:highlight w:val="none"/>
                <w:lang w:val="en-US" w:eastAsia="zh-CN"/>
              </w:rPr>
              <w:t>图3.3-1融雪期运行工艺流程图</w:t>
            </w:r>
          </w:p>
        </w:tc>
      </w:tr>
    </w:tbl>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（2）冰封期运行工艺流程</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冰封期：安肇新河→生态稳定塘→生态砾石床→垂直潜流湿地→排入安肇新河，湿地表面平均水力负荷为1.9m3/m2·d。湿地的水力停留时间为0.5d。</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numPr>
                <w:ilvl w:val="0"/>
                <w:numId w:val="0"/>
              </w:numPr>
              <w:spacing w:before="2" w:line="385" w:lineRule="auto"/>
              <w:ind w:right="70" w:rightChars="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drawing>
                <wp:inline distT="0" distB="0" distL="114300" distR="114300">
                  <wp:extent cx="5268595" cy="1813560"/>
                  <wp:effectExtent l="0" t="0" r="8255" b="15240"/>
                  <wp:docPr id="14" name="图片 14" descr="冰封期工艺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冰封期工艺流程图"/>
                          <pic:cNvPicPr>
                            <a:picLocks noChangeAspect="1"/>
                          </pic:cNvPicPr>
                        </pic:nvPicPr>
                        <pic:blipFill>
                          <a:blip r:embed="rId11"/>
                          <a:stretch>
                            <a:fillRect/>
                          </a:stretch>
                        </pic:blipFill>
                        <pic:spPr>
                          <a:xfrm>
                            <a:off x="0" y="0"/>
                            <a:ext cx="5268595" cy="18135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numPr>
                <w:ilvl w:val="0"/>
                <w:numId w:val="0"/>
              </w:numPr>
              <w:spacing w:before="2" w:line="385" w:lineRule="auto"/>
              <w:ind w:right="70" w:rightChars="0"/>
              <w:jc w:val="center"/>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b/>
                <w:bCs/>
                <w:color w:val="auto"/>
                <w:spacing w:val="24"/>
                <w:sz w:val="24"/>
                <w:szCs w:val="24"/>
                <w:highlight w:val="none"/>
                <w:lang w:val="en-US" w:eastAsia="zh-CN"/>
              </w:rPr>
              <w:t>图3.3-2冰封期运行工艺流程图</w:t>
            </w:r>
          </w:p>
        </w:tc>
      </w:tr>
    </w:tbl>
    <w:p>
      <w:pPr>
        <w:pageBreakBefore w:val="0"/>
        <w:widowControl w:val="0"/>
        <w:bidi w:val="0"/>
        <w:adjustRightInd w:val="0"/>
        <w:snapToGrid w:val="0"/>
        <w:spacing w:line="360" w:lineRule="auto"/>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3.3.2湿地工程</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（1）生态稳定塘</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生态稳定塘主要作用是沉降来水中较大悬浮颗粒物，降低来水中SS浓度；调节湿地进水水质水量，避免瞬时高冲击性负荷；具有一定的污染物净化效果。</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生态稳定塘是一种构造简单、维护管理容易、处理效果稳定的污水处理方法。污水在塘内经较长时间的停留、贮存，通过微生物（细菌、真菌、藻类、原生动物等）的代谢活动，以及相伴的物理的、化学的、物理化学的过程，使污水中的污染物、营养素和有害有毒物质得到转换、降解和去除，从而使污水无害化、资源化与再回用。稳定塘通常将土地进行适当的人工修整，建成池塘，并设置围堤和防渗层，依靠塘内生长的微生物来处理污水，其系统具有基建投资和运转费用低、维护和维修简单、便于操作、能有效去除污水中的有机物和病原体、无需污泥处理等优点。生态稳定塘边坡坡比为1：3，塘底纵坡为1.2‰。</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16"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drawing>
                <wp:inline distT="0" distB="0" distL="114300" distR="114300">
                  <wp:extent cx="5261610" cy="2237105"/>
                  <wp:effectExtent l="0" t="0" r="15240" b="10795"/>
                  <wp:docPr id="26" name="图片 26" descr="生态稳定塘剖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生态稳定塘剖面图"/>
                          <pic:cNvPicPr>
                            <a:picLocks noChangeAspect="1"/>
                          </pic:cNvPicPr>
                        </pic:nvPicPr>
                        <pic:blipFill>
                          <a:blip r:embed="rId12"/>
                          <a:stretch>
                            <a:fillRect/>
                          </a:stretch>
                        </pic:blipFill>
                        <pic:spPr>
                          <a:xfrm>
                            <a:off x="0" y="0"/>
                            <a:ext cx="5261610" cy="22371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b/>
                <w:bCs/>
                <w:color w:val="auto"/>
                <w:spacing w:val="24"/>
                <w:sz w:val="24"/>
                <w:szCs w:val="24"/>
                <w:highlight w:val="none"/>
                <w:lang w:val="en-US" w:eastAsia="zh-CN"/>
              </w:rPr>
              <w:t>图3.3-3生态稳定塘剖面图</w:t>
            </w:r>
          </w:p>
        </w:tc>
      </w:tr>
    </w:tbl>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生态稳定塘设计有效面积13987m2，平均设计处理深度4m，水力停留时间6h，安肇新河水面高程为130m，生态稳定塘运行水位高程控制在129-130m。</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（2）泵站</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稳定塘末端建设1座泵站，结构混凝土均采用C30W4F250混凝结构，垫层采用C15素混凝土。长20m，宽17.2m。泵站设计流量30万m3/d，扬程5.28m，考虑到泵站全年运行，因此采用两用量备的形式，设置4组水泵。泵站单泵流量6980m3/h，功率160kW，泵站年耗电量约为280万度。</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泵站抽水分送两处，一处至生态砾石床，非冬季送水规模15万m3/d，一处通过超越管输送至表流湿地，非冬季送水规模15万m3/d。冬季送水规模7.5万m3/d，一处通过超越管输送至表流湿地，非冬季送水规模7.5万m3/d。</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（3）生态砾石床</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态砾石床占地面积16554m2，为地下构建物，地下铺设生态净化床，上层覆土，种植植物。生态砾石床是通过砾石间的孔隙过滤水中悬浮性颗粒，砾石底层处于缺氧状态，能够进行脱硝作用。砾石表面与空气接触，能促进水中BOD5的分解，也能使氨转化为硝酸盐。砾石孔隙间所滞留的细颗粒具有吸附能力，间接去除水中部分的磷酸盐。砾石表面逐渐附生微生物，形成生物膜，能促进水中有机质的分解。生态砾石床是半精确控制的砾间接触氧化强化净化单元，可反冲洗，对各类污染物进行强化去除。</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态砾石床由DN1200钢管（详见湿地主管线图）均匀配水至生态砾石床处理系统进行净化处理。为了提高布水的均匀性，满足处理效果，设计生态砾石床单体尺寸为B×L=5m×20m，共建设126组生态砾石床单体；其中9个为一组建设配水渠和集水渠，共14个单元。包含：进流配水渠、生态砾石床接触氧化单元、反冲洗泥浆池、出流集水渠等。</w:t>
      </w:r>
    </w:p>
    <w:tbl>
      <w:tblPr>
        <w:tblStyle w:val="1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tcBorders>
              <w:tl2br w:val="nil"/>
              <w:tr2bl w:val="nil"/>
            </w:tcBorders>
          </w:tcPr>
          <w:p>
            <w:pPr>
              <w:pStyle w:val="8"/>
              <w:ind w:left="0" w:leftChars="0" w:firstLine="0" w:firstLineChars="0"/>
              <w:rPr>
                <w:rFonts w:hint="eastAsia" w:ascii="Times New Roman" w:hAnsi="Times New Roman" w:eastAsia="宋体" w:cs="Times New Roman"/>
                <w:color w:val="auto"/>
                <w:spacing w:val="24"/>
                <w:sz w:val="23"/>
                <w:szCs w:val="23"/>
                <w:highlight w:val="none"/>
                <w:vertAlign w:val="baseline"/>
                <w:lang w:val="en-US" w:eastAsia="zh-CN"/>
              </w:rPr>
            </w:pPr>
            <w:r>
              <w:rPr>
                <w:rFonts w:hint="eastAsia" w:ascii="Times New Roman" w:hAnsi="Times New Roman" w:eastAsia="宋体" w:cs="Times New Roman"/>
                <w:color w:val="auto"/>
                <w:spacing w:val="24"/>
                <w:sz w:val="23"/>
                <w:szCs w:val="23"/>
                <w:highlight w:val="none"/>
                <w:vertAlign w:val="baseline"/>
                <w:lang w:val="en-US" w:eastAsia="zh-CN"/>
              </w:rPr>
              <w:drawing>
                <wp:inline distT="0" distB="0" distL="114300" distR="114300">
                  <wp:extent cx="5269865" cy="3086735"/>
                  <wp:effectExtent l="0" t="0" r="3175" b="0"/>
                  <wp:docPr id="5" name="图片 5" descr="生态砾石床总体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生态砾石床总体布局图"/>
                          <pic:cNvPicPr>
                            <a:picLocks noChangeAspect="1"/>
                          </pic:cNvPicPr>
                        </pic:nvPicPr>
                        <pic:blipFill>
                          <a:blip r:embed="rId13"/>
                          <a:stretch>
                            <a:fillRect/>
                          </a:stretch>
                        </pic:blipFill>
                        <pic:spPr>
                          <a:xfrm>
                            <a:off x="0" y="0"/>
                            <a:ext cx="5269865" cy="30867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tcBorders>
              <w:tl2br w:val="nil"/>
              <w:tr2bl w:val="nil"/>
            </w:tcBorders>
          </w:tcPr>
          <w:p>
            <w:pPr>
              <w:pStyle w:val="8"/>
              <w:ind w:left="0" w:leftChars="0" w:firstLine="0" w:firstLineChars="0"/>
              <w:jc w:val="center"/>
              <w:rPr>
                <w:rFonts w:hint="eastAsia" w:ascii="Times New Roman" w:hAnsi="Times New Roman" w:eastAsia="宋体" w:cs="Times New Roman"/>
                <w:color w:val="auto"/>
                <w:spacing w:val="24"/>
                <w:sz w:val="23"/>
                <w:szCs w:val="23"/>
                <w:highlight w:val="none"/>
                <w:vertAlign w:val="baseline"/>
                <w:lang w:val="en-US" w:eastAsia="zh-CN"/>
              </w:rPr>
            </w:pPr>
            <w:r>
              <w:rPr>
                <w:rFonts w:hint="eastAsia" w:ascii="Times New Roman" w:hAnsi="Times New Roman" w:eastAsia="宋体" w:cs="Times New Roman"/>
                <w:b/>
                <w:bCs/>
                <w:smallCaps w:val="0"/>
                <w:color w:val="auto"/>
                <w:spacing w:val="24"/>
                <w:kern w:val="2"/>
                <w:sz w:val="24"/>
                <w:szCs w:val="24"/>
                <w:highlight w:val="none"/>
                <w:lang w:val="en-US" w:eastAsia="zh-CN" w:bidi="ar-SA"/>
              </w:rPr>
              <w:t>图3.3-4生态砾石床总体布局图</w:t>
            </w:r>
          </w:p>
        </w:tc>
      </w:tr>
    </w:tbl>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①进流配水渠</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生态砾石床进水通过进流配水渠道分配至每格生态砾石床槽。进出流整流渠道设置于生态砾石床槽的两端，目的在于减缓紊流和流速过快现象。配水渠和集水渠顶铺设盖板。</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rPr>
                <w:rFonts w:hint="eastAsia" w:ascii="Times New Roman" w:hAnsi="Times New Roman" w:eastAsia="宋体" w:cs="Times New Roman"/>
                <w:color w:val="auto"/>
                <w:spacing w:val="24"/>
                <w:sz w:val="24"/>
                <w:szCs w:val="24"/>
                <w:highlight w:val="none"/>
                <w:vertAlign w:val="baseline"/>
                <w:lang w:val="en-US" w:eastAsia="zh-CN"/>
              </w:rPr>
            </w:pPr>
            <w:r>
              <w:rPr>
                <w:rFonts w:hint="eastAsia" w:ascii="Times New Roman" w:hAnsi="Times New Roman" w:eastAsia="宋体" w:cs="Times New Roman"/>
                <w:color w:val="auto"/>
                <w:spacing w:val="24"/>
                <w:sz w:val="24"/>
                <w:szCs w:val="24"/>
                <w:highlight w:val="none"/>
                <w:vertAlign w:val="baseline"/>
                <w:lang w:val="en-US" w:eastAsia="zh-CN"/>
              </w:rPr>
              <w:drawing>
                <wp:inline distT="0" distB="0" distL="114300" distR="114300">
                  <wp:extent cx="5269230" cy="1758315"/>
                  <wp:effectExtent l="0" t="0" r="3810" b="9525"/>
                  <wp:docPr id="6" name="图片 6" descr="配水渠和集水渠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配水渠和集水渠示意图"/>
                          <pic:cNvPicPr>
                            <a:picLocks noChangeAspect="1"/>
                          </pic:cNvPicPr>
                        </pic:nvPicPr>
                        <pic:blipFill>
                          <a:blip r:embed="rId14"/>
                          <a:stretch>
                            <a:fillRect/>
                          </a:stretch>
                        </pic:blipFill>
                        <pic:spPr>
                          <a:xfrm>
                            <a:off x="0" y="0"/>
                            <a:ext cx="5269230" cy="17583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jc w:val="center"/>
              <w:rPr>
                <w:rFonts w:hint="eastAsia" w:ascii="Times New Roman" w:hAnsi="Times New Roman" w:eastAsia="宋体" w:cs="Times New Roman"/>
                <w:color w:val="auto"/>
                <w:spacing w:val="24"/>
                <w:sz w:val="24"/>
                <w:szCs w:val="24"/>
                <w:highlight w:val="none"/>
                <w:vertAlign w:val="baseline"/>
                <w:lang w:val="en-US" w:eastAsia="zh-CN"/>
              </w:rPr>
            </w:pPr>
            <w:r>
              <w:rPr>
                <w:rFonts w:hint="eastAsia" w:ascii="Times New Roman" w:hAnsi="Times New Roman" w:eastAsia="宋体" w:cs="Times New Roman"/>
                <w:b/>
                <w:bCs/>
                <w:smallCaps w:val="0"/>
                <w:color w:val="auto"/>
                <w:spacing w:val="24"/>
                <w:kern w:val="2"/>
                <w:sz w:val="24"/>
                <w:szCs w:val="24"/>
                <w:highlight w:val="none"/>
                <w:lang w:val="en-US" w:eastAsia="zh-CN" w:bidi="ar-SA"/>
              </w:rPr>
              <w:t>图3.3-5配水渠和集水渠示意图</w:t>
            </w:r>
          </w:p>
        </w:tc>
      </w:tr>
    </w:tbl>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②床体结构</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态砾石床底板为钢混结构，厚200mm，侧墙为砖墙，上覆土，可种植短根系植物。沿水流方向分四个处理室，分别强化处理COD、氨氮、总磷等。生态砾石床设有反冲洗结构，防止堵塞。为保证反冲洗的效果，设置素混凝土反坡，第一处理室坡度为3%，第二处理室，第三处理室和第四处理室坡度为2%，配水渠设置2%的坡度。</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态砾石床净化槽填充平均粒径介于100~250mm的砾石，要求尺寸均匀、形状圆润，确保砾石床体孔隙率&gt;40%。填充的砾石则可作为生物膜载体使用，使微生物可以附生于其上。生态砾石床处理槽砾石上方将铺设一层透水性纺织布，其上方再铺设土壤。</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16" w:type="dxa"/>
            <w:tcBorders>
              <w:tl2br w:val="nil"/>
              <w:tr2bl w:val="nil"/>
            </w:tcBorders>
          </w:tcPr>
          <w:p>
            <w:pPr>
              <w:rPr>
                <w:rFonts w:hint="eastAsia"/>
                <w:color w:val="auto"/>
                <w:highlight w:val="none"/>
                <w:lang w:val="en-US" w:eastAsia="zh-CN"/>
              </w:rPr>
            </w:pPr>
            <w:r>
              <w:rPr>
                <w:rFonts w:hint="eastAsia"/>
                <w:color w:val="auto"/>
                <w:highlight w:val="none"/>
                <w:lang w:val="en-US" w:eastAsia="zh-CN"/>
              </w:rPr>
              <w:drawing>
                <wp:inline distT="0" distB="0" distL="114300" distR="114300">
                  <wp:extent cx="5269865" cy="895350"/>
                  <wp:effectExtent l="0" t="0" r="6985" b="0"/>
                  <wp:docPr id="29" name="图片 29" descr="生态砾石床断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生态砾石床断面图"/>
                          <pic:cNvPicPr>
                            <a:picLocks noChangeAspect="1"/>
                          </pic:cNvPicPr>
                        </pic:nvPicPr>
                        <pic:blipFill>
                          <a:blip r:embed="rId15"/>
                          <a:stretch>
                            <a:fillRect/>
                          </a:stretch>
                        </pic:blipFill>
                        <pic:spPr>
                          <a:xfrm>
                            <a:off x="0" y="0"/>
                            <a:ext cx="5269865" cy="89535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jc w:val="center"/>
              <w:rPr>
                <w:rFonts w:hint="eastAsia"/>
                <w:color w:val="auto"/>
                <w:highlight w:val="none"/>
                <w:lang w:val="en-US" w:eastAsia="zh-CN"/>
              </w:rPr>
            </w:pPr>
            <w:r>
              <w:rPr>
                <w:rFonts w:hint="eastAsia" w:ascii="Times New Roman" w:hAnsi="Times New Roman" w:eastAsia="宋体" w:cs="Times New Roman"/>
                <w:b/>
                <w:bCs/>
                <w:smallCaps w:val="0"/>
                <w:color w:val="auto"/>
                <w:spacing w:val="24"/>
                <w:kern w:val="2"/>
                <w:sz w:val="24"/>
                <w:szCs w:val="24"/>
                <w:highlight w:val="none"/>
                <w:lang w:val="en-US" w:eastAsia="zh-CN" w:bidi="ar-SA"/>
              </w:rPr>
              <w:t>图3.3-6生态砾石床断面图</w:t>
            </w:r>
          </w:p>
        </w:tc>
      </w:tr>
    </w:tbl>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③出流集水渠</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经过生态砾石床净化槽处理后的放流水借由出流集水渠后，通过DN1200出水管排至后续人工湿地处理系统。</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④反冲洗泥浆池</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砾石床反冲洗排水时，标高5.1m以上通过重力流排出，标高5.1m以下的泥水混合物采用泥浆泵动力排出。自流输泥管管径为DN400，动力输泥管管径为DN50。自流输泥管设置闸阀（DN400），控制自流输泥管的启闭。动力输泥管设置止回阀（DN50），防止泵及驱动电动机反转。</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rPr>
                <w:rFonts w:hint="eastAsia"/>
                <w:color w:val="auto"/>
                <w:highlight w:val="none"/>
                <w:lang w:val="en-US" w:eastAsia="zh-CN"/>
              </w:rPr>
            </w:pPr>
            <w:r>
              <w:rPr>
                <w:rFonts w:hint="eastAsia"/>
                <w:color w:val="auto"/>
                <w:highlight w:val="none"/>
                <w:lang w:val="en-US" w:eastAsia="zh-CN"/>
              </w:rPr>
              <w:drawing>
                <wp:inline distT="0" distB="0" distL="114300" distR="114300">
                  <wp:extent cx="5266690" cy="4255135"/>
                  <wp:effectExtent l="0" t="0" r="6350" b="12065"/>
                  <wp:docPr id="8" name="图片 8" descr="污泥储存池断面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污泥储存池断面示意图"/>
                          <pic:cNvPicPr>
                            <a:picLocks noChangeAspect="1"/>
                          </pic:cNvPicPr>
                        </pic:nvPicPr>
                        <pic:blipFill>
                          <a:blip r:embed="rId16"/>
                          <a:stretch>
                            <a:fillRect/>
                          </a:stretch>
                        </pic:blipFill>
                        <pic:spPr>
                          <a:xfrm>
                            <a:off x="0" y="0"/>
                            <a:ext cx="5266690" cy="42551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jc w:val="center"/>
              <w:rPr>
                <w:rFonts w:hint="eastAsia"/>
                <w:color w:val="auto"/>
                <w:highlight w:val="none"/>
                <w:lang w:val="en-US" w:eastAsia="zh-CN"/>
              </w:rPr>
            </w:pPr>
            <w:r>
              <w:rPr>
                <w:rFonts w:hint="eastAsia" w:ascii="Times New Roman" w:hAnsi="Times New Roman" w:eastAsia="宋体" w:cs="Times New Roman"/>
                <w:b/>
                <w:bCs/>
                <w:smallCaps w:val="0"/>
                <w:color w:val="auto"/>
                <w:spacing w:val="24"/>
                <w:kern w:val="2"/>
                <w:sz w:val="24"/>
                <w:szCs w:val="24"/>
                <w:highlight w:val="none"/>
                <w:lang w:val="en-US" w:eastAsia="zh-CN" w:bidi="ar-SA"/>
              </w:rPr>
              <w:t>图3.3-7污泥储存池断面示意图</w:t>
            </w:r>
          </w:p>
        </w:tc>
      </w:tr>
    </w:tbl>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（4）表流湿地</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表流湿地位于生态净化区北侧，西侧为生态稳定塘，北侧为生态砾石床。</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表流湿地主要通过水生植物、湿地内微生物来净化水质，并能起到调节水质水量及沉淀悬浮物以防堵塞潜流湿地，保障潜流湿地的正常运行。</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表面流人工湿地指水在人工湿地介质层表面流动，依靠表层介</w:t>
      </w:r>
      <w:r>
        <w:rPr>
          <w:rFonts w:hint="default" w:ascii="Times New Roman" w:hAnsi="Times New Roman" w:eastAsia="宋体" w:cs="Times New Roman"/>
          <w:caps w:val="0"/>
          <w:smallCaps w:val="0"/>
          <w:color w:val="auto"/>
          <w:spacing w:val="0"/>
          <w:w w:val="100"/>
          <w:kern w:val="0"/>
          <w:sz w:val="24"/>
          <w:szCs w:val="24"/>
          <w:highlight w:val="none"/>
          <w:lang w:val="en-US" w:eastAsia="zh-CN"/>
        </w:rPr>
        <w:t>质、植物根茎的拦截及其上的生物膜降解作用，使水净化的人工湿地。表面流人工湿地系统内水面为自然水面，水流处于自由流动状态，通过湿地内浮游植物、浮水植物、沉水植物、挺水植物以及微生物的截留、吸附与分解等，起到净化水质的作用。</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为增加表流湿地内部的布水均匀性，前置塘和生态砾石床出水直接进入前端布水渠，布水渠通过堰流进入表流湿地，表流湿地单元面积不大于6000m2，长宽比约3:1。表流湿地采用素土夯实进行防渗，在夯实基础上，覆盖种植土，种植水生植物。表流湿地内铅丝石笼用于缓冲表流湿地进水管冲力。泥沙坑用于排放生态砾石床反冲洗产生的泥,泥沙坑总面积762</w:t>
      </w:r>
      <w:r>
        <w:rPr>
          <w:rFonts w:hint="eastAsia" w:ascii="Times New Roman" w:hAnsi="Times New Roman" w:eastAsia="宋体" w:cs="Times New Roman"/>
          <w:caps w:val="0"/>
          <w:smallCaps w:val="0"/>
          <w:color w:val="auto"/>
          <w:spacing w:val="0"/>
          <w:w w:val="100"/>
          <w:kern w:val="0"/>
          <w:sz w:val="24"/>
          <w:szCs w:val="24"/>
          <w:highlight w:val="none"/>
          <w:lang w:val="en-US" w:eastAsia="zh-CN"/>
        </w:rPr>
        <w:t>m2</w:t>
      </w:r>
      <w:r>
        <w:rPr>
          <w:rFonts w:hint="default" w:ascii="Times New Roman" w:hAnsi="Times New Roman" w:eastAsia="宋体" w:cs="Times New Roman"/>
          <w:caps w:val="0"/>
          <w:smallCaps w:val="0"/>
          <w:color w:val="auto"/>
          <w:spacing w:val="0"/>
          <w:w w:val="100"/>
          <w:kern w:val="0"/>
          <w:sz w:val="24"/>
          <w:szCs w:val="24"/>
          <w:highlight w:val="none"/>
          <w:lang w:val="en-US" w:eastAsia="zh-CN"/>
        </w:rPr>
        <w:t>，坑深2m，坡比1：2</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（5）垂直潜流湿地</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湿地处理采用上行式垂直潜流处理模式。水从湿地表面垂直流过人工湿地介质床而从底部排出，或从人工湿地底部进入垂直流向介质表层并排出，使水得以净化的人工湿地。垂直流湿地多采用间歇性进水的方式，大气中的氧气可以通过进水期的排水和停水时的通风和植物传输进入湿地系统，通过基质、植物和基质内微生物三者的共同作用净化污水。垂直潜流对污水有较高的好氧处理能力，其硝化能力比其他湿地类型都要好，可用于处理氨氮含量高的污水。</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jc w:val="center"/>
              <w:rPr>
                <w:rFonts w:hint="eastAsia"/>
                <w:color w:val="auto"/>
                <w:highlight w:val="none"/>
                <w:lang w:val="en-US" w:eastAsia="zh-CN"/>
              </w:rPr>
            </w:pPr>
            <w:r>
              <w:rPr>
                <w:rFonts w:hint="eastAsia"/>
                <w:color w:val="auto"/>
                <w:highlight w:val="none"/>
                <w:lang w:val="en-US" w:eastAsia="zh-CN"/>
              </w:rPr>
              <w:drawing>
                <wp:inline distT="0" distB="0" distL="114300" distR="114300">
                  <wp:extent cx="4870450" cy="902335"/>
                  <wp:effectExtent l="0" t="0" r="6350" b="12065"/>
                  <wp:docPr id="11" name="图片 11" descr="潜流湿地处理工艺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潜流湿地处理工艺示意图"/>
                          <pic:cNvPicPr>
                            <a:picLocks noChangeAspect="1"/>
                          </pic:cNvPicPr>
                        </pic:nvPicPr>
                        <pic:blipFill>
                          <a:blip r:embed="rId17"/>
                          <a:stretch>
                            <a:fillRect/>
                          </a:stretch>
                        </pic:blipFill>
                        <pic:spPr>
                          <a:xfrm>
                            <a:off x="0" y="0"/>
                            <a:ext cx="4870450" cy="9023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jc w:val="center"/>
              <w:rPr>
                <w:rFonts w:hint="eastAsia"/>
                <w:color w:val="auto"/>
                <w:highlight w:val="none"/>
                <w:lang w:val="en-US" w:eastAsia="zh-CN"/>
              </w:rPr>
            </w:pPr>
            <w:r>
              <w:rPr>
                <w:rFonts w:hint="eastAsia" w:ascii="Times New Roman" w:hAnsi="Times New Roman" w:eastAsia="宋体" w:cs="Times New Roman"/>
                <w:b/>
                <w:bCs/>
                <w:smallCaps w:val="0"/>
                <w:color w:val="auto"/>
                <w:spacing w:val="24"/>
                <w:kern w:val="2"/>
                <w:sz w:val="24"/>
                <w:szCs w:val="24"/>
                <w:highlight w:val="none"/>
                <w:lang w:val="en-US" w:eastAsia="zh-CN" w:bidi="ar-SA"/>
              </w:rPr>
              <w:t>图3.3-8潜流湿地处理工艺示意图</w:t>
            </w:r>
          </w:p>
        </w:tc>
      </w:tr>
    </w:tbl>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潜流湿地来水为表流湿地退水。从表流湿地设置引水管线，将表流湿地水体引入潜流湿地集水渠。将潜流湿地分为2个区，并利用湿地内部分区道路、分水渠将各分区进行隔离。此次潜流湿地总用地面积4.89万m2。其中湿地I区面积2.22万m2，II区面积2.31万m2。</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每一湿地单元采用垂直潜流湿地。湿地进水由布水渠经布水管引入水平潜流湿地进行净化，每一单元潜流湿地长×宽：54m×23.75m（其中湿地边缘处水平潜流湿地的长宽会随地形适当调整），长宽比约为2：1；潜流湿地净化后出水经末端底部集水管收集后进入集水渠，集水渠退水进入半自然湿地。</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为保证湿地的有效运行，便于湿地的维护和检修，在每一湿地单元中的垂直潜流湿地出水端分别设置进水阀井和出水阀井，并且在湿地内设置超越管连接布水渠和半自然湿地，控制湿地的进水和出水。</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垂直潜流湿地系统填料基质分为7层，自上至下依次配置为30cm、30cm、30cm、30cm、20cm、20cm、10cm，其中最底层填料依据湿地单元底坡沿下游湿地方向变化。湿地填料第一层为30cm厚的种植土，第二层为粒径8~16mm的级配碎石，第三层填料为粒径8~16mm的陶粒，第四层填料为粒径4~8mm的火山岩，第五层填料为粒径8~16mm的石灰石，第六层填料为粒径8~16mm 的级配碎石，第七层为粗砂垫层。</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为防止湿地内污染水体下渗污染地下水体，特对潜流湿地底部做防渗处理。湿地的防渗系统主要包含HDPE膜（两布一膜），其中HDPE膜厚1.0mm，无纺布重量为300g/m2。</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7" w:hRule="atLeast"/>
        </w:trPr>
        <w:tc>
          <w:tcPr>
            <w:tcW w:w="8516"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drawing>
                <wp:inline distT="0" distB="0" distL="114300" distR="114300">
                  <wp:extent cx="5257800" cy="2671445"/>
                  <wp:effectExtent l="0" t="0" r="0" b="14605"/>
                  <wp:docPr id="28" name="图片 28" descr="表流+潜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表流+潜流"/>
                          <pic:cNvPicPr>
                            <a:picLocks noChangeAspect="1"/>
                          </pic:cNvPicPr>
                        </pic:nvPicPr>
                        <pic:blipFill>
                          <a:blip r:embed="rId18"/>
                          <a:stretch>
                            <a:fillRect/>
                          </a:stretch>
                        </pic:blipFill>
                        <pic:spPr>
                          <a:xfrm>
                            <a:off x="0" y="0"/>
                            <a:ext cx="5257800" cy="267144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b/>
                <w:bCs/>
                <w:smallCaps w:val="0"/>
                <w:color w:val="auto"/>
                <w:spacing w:val="24"/>
                <w:kern w:val="2"/>
                <w:sz w:val="24"/>
                <w:szCs w:val="24"/>
                <w:highlight w:val="none"/>
                <w:lang w:val="en-US" w:eastAsia="zh-CN" w:bidi="ar-SA"/>
              </w:rPr>
              <w:t>图3.3-9表流湿地+潜流湿地平面布置图</w:t>
            </w:r>
          </w:p>
        </w:tc>
      </w:tr>
    </w:tbl>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（6）半自然湿地</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半自然湿地主要通过基底、水深、水生植物的变化，创造不同的水生环境，使河水在流动过程中得以净化，不但有较好的水处理效果，更有良好的生态效果。</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半自然湿地设置5个区，分为进水区、处理区及出水区；共设置5个区，其中Ⅰ区为进水区，Ⅱ、Ⅲ、Ⅳ为处理区，Ⅴ为出水区。</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半自然湿地面积占地面积728523m2，有效水深0.8m，有效容积582818m3，停留时间为1.7d。设置不同水深，分别种植挺水植物、浮叶植物及沉水植物等，其中0.8m水深区占比80%，0.3m水深区占比20%，挺水植物占80%。</w:t>
      </w: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drawing>
                <wp:inline distT="0" distB="0" distL="114300" distR="114300">
                  <wp:extent cx="3947160" cy="4709160"/>
                  <wp:effectExtent l="0" t="0" r="15240" b="15240"/>
                  <wp:docPr id="30" name="图片 30" descr="半自然湿地平面布置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半自然湿地平面布置图"/>
                          <pic:cNvPicPr>
                            <a:picLocks noChangeAspect="1"/>
                          </pic:cNvPicPr>
                        </pic:nvPicPr>
                        <pic:blipFill>
                          <a:blip r:embed="rId19"/>
                          <a:stretch>
                            <a:fillRect/>
                          </a:stretch>
                        </pic:blipFill>
                        <pic:spPr>
                          <a:xfrm>
                            <a:off x="0" y="0"/>
                            <a:ext cx="3947160" cy="470916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16"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b/>
                <w:bCs/>
                <w:smallCaps w:val="0"/>
                <w:color w:val="auto"/>
                <w:spacing w:val="24"/>
                <w:kern w:val="2"/>
                <w:sz w:val="24"/>
                <w:szCs w:val="24"/>
                <w:highlight w:val="none"/>
                <w:lang w:val="en-US" w:eastAsia="zh-CN" w:bidi="ar-SA"/>
              </w:rPr>
              <w:t>图3.3-10半自然湿地平面布置图</w:t>
            </w:r>
          </w:p>
        </w:tc>
      </w:tr>
    </w:tbl>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3.3.3生态滤料（填料）</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专业生态滤料是湿地生物反应床内的植物和微生物的生长基质层，是保证高质量水处理效果的核心部件，是项目能否成功和产出生态水的关键因子。专业生态滤料的各种理化特性会影响生物体的活动，从而影响水处理的效能。</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滤料的选择和生产过程，最重要是滤料的水力传导性和表面积，这两个参数相互制约，如果滤料要具备尽量良好的水力传导性，那么颗粒粒径就比较大；而颗粒粒径大的话，其表面积就相对小，能够为微生物提供的生长空间就小。合格的滤料必须同时满足项目的水力传导性能要求和颗粒粒径、级配等要求，需平衡这两个方面，找到最佳点，以保证微生物挂膜效果、水处理能力和效率。</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专业生态滤料由多种矿物材料和功能填料组成，通过原材料筛选、清洗干化、精选筛分、混合、工艺改性等主要工艺生产而成，不添加化学药剂及微生物，无二次污染。其生产过程要符合级配曲线检验、渗透性能检验等要求。</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专业生态滤料施工时铺设步骤如下：铺设前基础面检查→滤料进场→滤料卸入湿地生物反应床单元内部→滤料铺设至设计厚度。采购时严格进行滤料的质量控制，必须使用颗粒级配和渗透性能检验合格、满足设计要求的产品。滤料铺设时从下往上进行，保证整体疏松、均匀摊铺至设计标高。</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3.3.4植物工程</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植物是湿地建设的重要组成部分，湿地植物的选植和配置影响湿地污染物对污染的净化效果。工程区年均气温较低，且冬季结冰，影响湿地净化效果。从而植物配置成为保证冬季湿地运行的重要措施。</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根据大庆当地气候特征和湿地类项目特点，梳理驳岸线形，选取多种乡土植物和适生湿地植被，提高区域生物多样性，增加水体净化系统，构建稳定性较强的湿地植物群落。</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乔木小乔木选择品种如下：红皮豆杉、白扦、樟子松、银中杨、旱柳、山楂、山杏、山荆子、稠李及东北连翘等。</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灌木地被选择品种如下：卫矛、红瑞木、胡枝子、拂子茅、狼尾草、马蔺、紫花、石竹、委陵菜及费菜等。</w:t>
      </w:r>
    </w:p>
    <w:p>
      <w:pPr>
        <w:pageBreakBefore w:val="0"/>
        <w:widowControl w:val="0"/>
        <w:bidi w:val="0"/>
        <w:adjustRightInd w:val="0"/>
        <w:snapToGrid w:val="0"/>
        <w:spacing w:line="360" w:lineRule="auto"/>
        <w:ind w:firstLine="480" w:firstLineChars="200"/>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水生植物选择品种如下：芦苇、鸢尾、香蒲、水葱及菖蒲等。</w:t>
      </w:r>
    </w:p>
    <w:p>
      <w:pPr>
        <w:pageBreakBefore w:val="0"/>
        <w:widowControl w:val="0"/>
        <w:bidi w:val="0"/>
        <w:adjustRightInd w:val="0"/>
        <w:snapToGrid w:val="0"/>
        <w:spacing w:line="360" w:lineRule="auto"/>
        <w:jc w:val="both"/>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3.3.5道路工程</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生态步道穿越</w:t>
      </w:r>
      <w:r>
        <w:rPr>
          <w:rFonts w:hint="eastAsia" w:ascii="Times New Roman" w:hAnsi="Times New Roman" w:eastAsia="宋体" w:cs="Times New Roman"/>
          <w:caps w:val="0"/>
          <w:smallCaps w:val="0"/>
          <w:color w:val="auto"/>
          <w:spacing w:val="0"/>
          <w:w w:val="100"/>
          <w:kern w:val="0"/>
          <w:sz w:val="24"/>
          <w:szCs w:val="24"/>
          <w:highlight w:val="none"/>
          <w:lang w:val="en-US" w:eastAsia="zh-CN"/>
        </w:rPr>
        <w:t>连接各净化单元，</w:t>
      </w:r>
      <w:r>
        <w:rPr>
          <w:rFonts w:hint="default" w:ascii="Times New Roman" w:hAnsi="Times New Roman" w:eastAsia="宋体" w:cs="Times New Roman"/>
          <w:caps w:val="0"/>
          <w:smallCaps w:val="0"/>
          <w:color w:val="auto"/>
          <w:spacing w:val="0"/>
          <w:w w:val="100"/>
          <w:kern w:val="0"/>
          <w:sz w:val="24"/>
          <w:szCs w:val="24"/>
          <w:highlight w:val="none"/>
          <w:lang w:val="en-US" w:eastAsia="zh-CN"/>
        </w:rPr>
        <w:t>本次生态步道包括一级步道</w:t>
      </w:r>
      <w:r>
        <w:rPr>
          <w:rFonts w:hint="eastAsia" w:ascii="Times New Roman" w:hAnsi="Times New Roman" w:eastAsia="宋体" w:cs="Times New Roman"/>
          <w:caps w:val="0"/>
          <w:smallCaps w:val="0"/>
          <w:color w:val="auto"/>
          <w:spacing w:val="0"/>
          <w:w w:val="100"/>
          <w:kern w:val="0"/>
          <w:sz w:val="24"/>
          <w:szCs w:val="24"/>
          <w:highlight w:val="none"/>
          <w:lang w:val="en-US" w:eastAsia="zh-CN"/>
        </w:rPr>
        <w:t>和</w:t>
      </w:r>
      <w:r>
        <w:rPr>
          <w:rFonts w:hint="default" w:ascii="Times New Roman" w:hAnsi="Times New Roman" w:eastAsia="宋体" w:cs="Times New Roman"/>
          <w:caps w:val="0"/>
          <w:smallCaps w:val="0"/>
          <w:color w:val="auto"/>
          <w:spacing w:val="0"/>
          <w:w w:val="100"/>
          <w:kern w:val="0"/>
          <w:sz w:val="24"/>
          <w:szCs w:val="24"/>
          <w:highlight w:val="none"/>
          <w:lang w:val="en-US" w:eastAsia="zh-CN"/>
        </w:rPr>
        <w:t>二级步道</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本次</w:t>
      </w:r>
      <w:r>
        <w:rPr>
          <w:rFonts w:hint="default" w:ascii="Times New Roman" w:hAnsi="Times New Roman" w:eastAsia="宋体" w:cs="Times New Roman"/>
          <w:caps w:val="0"/>
          <w:smallCaps w:val="0"/>
          <w:color w:val="auto"/>
          <w:spacing w:val="0"/>
          <w:w w:val="100"/>
          <w:kern w:val="0"/>
          <w:sz w:val="24"/>
          <w:szCs w:val="24"/>
          <w:highlight w:val="none"/>
          <w:lang w:val="en-US" w:eastAsia="zh-CN"/>
        </w:rPr>
        <w:t>一级</w:t>
      </w:r>
      <w:r>
        <w:rPr>
          <w:rFonts w:hint="eastAsia" w:ascii="Times New Roman" w:hAnsi="Times New Roman" w:eastAsia="宋体" w:cs="Times New Roman"/>
          <w:caps w:val="0"/>
          <w:smallCaps w:val="0"/>
          <w:color w:val="auto"/>
          <w:spacing w:val="0"/>
          <w:w w:val="100"/>
          <w:kern w:val="0"/>
          <w:sz w:val="24"/>
          <w:szCs w:val="24"/>
          <w:highlight w:val="none"/>
          <w:lang w:val="en-US" w:eastAsia="zh-CN"/>
        </w:rPr>
        <w:t>布道设计</w:t>
      </w:r>
      <w:r>
        <w:rPr>
          <w:rFonts w:hint="default" w:ascii="Times New Roman" w:hAnsi="Times New Roman" w:eastAsia="宋体" w:cs="Times New Roman"/>
          <w:caps w:val="0"/>
          <w:smallCaps w:val="0"/>
          <w:color w:val="auto"/>
          <w:spacing w:val="0"/>
          <w:w w:val="100"/>
          <w:kern w:val="0"/>
          <w:sz w:val="24"/>
          <w:szCs w:val="24"/>
          <w:highlight w:val="none"/>
          <w:lang w:val="en-US" w:eastAsia="zh-CN"/>
        </w:rPr>
        <w:t>宽4m，长约1190m，</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为</w:t>
      </w:r>
      <w:r>
        <w:rPr>
          <w:rFonts w:hint="default" w:ascii="Times New Roman" w:hAnsi="Times New Roman" w:eastAsia="宋体" w:cs="Times New Roman"/>
          <w:caps w:val="0"/>
          <w:smallCaps w:val="0"/>
          <w:color w:val="auto"/>
          <w:spacing w:val="0"/>
          <w:w w:val="100"/>
          <w:kern w:val="0"/>
          <w:sz w:val="24"/>
          <w:szCs w:val="24"/>
          <w:highlight w:val="none"/>
          <w:lang w:val="en-US" w:eastAsia="zh-CN"/>
        </w:rPr>
        <w:t>湿地衔接外部路网通道，</w:t>
      </w:r>
      <w:r>
        <w:rPr>
          <w:rFonts w:hint="eastAsia" w:ascii="Times New Roman" w:hAnsi="Times New Roman" w:eastAsia="宋体" w:cs="Times New Roman"/>
          <w:caps w:val="0"/>
          <w:smallCaps w:val="0"/>
          <w:color w:val="auto"/>
          <w:spacing w:val="0"/>
          <w:w w:val="100"/>
          <w:kern w:val="0"/>
          <w:sz w:val="24"/>
          <w:szCs w:val="24"/>
          <w:highlight w:val="none"/>
          <w:lang w:val="en-US" w:eastAsia="zh-CN"/>
        </w:rPr>
        <w:t>是</w:t>
      </w:r>
      <w:r>
        <w:rPr>
          <w:rFonts w:hint="default" w:ascii="Times New Roman" w:hAnsi="Times New Roman" w:eastAsia="宋体" w:cs="Times New Roman"/>
          <w:caps w:val="0"/>
          <w:smallCaps w:val="0"/>
          <w:color w:val="auto"/>
          <w:spacing w:val="0"/>
          <w:w w:val="100"/>
          <w:kern w:val="0"/>
          <w:sz w:val="24"/>
          <w:szCs w:val="24"/>
          <w:highlight w:val="none"/>
          <w:lang w:val="en-US" w:eastAsia="zh-CN"/>
        </w:rPr>
        <w:t>湿地与外部沟通、管养运维主要通道。二级</w:t>
      </w:r>
      <w:r>
        <w:rPr>
          <w:rFonts w:hint="eastAsia" w:ascii="Times New Roman" w:hAnsi="Times New Roman" w:eastAsia="宋体" w:cs="Times New Roman"/>
          <w:caps w:val="0"/>
          <w:smallCaps w:val="0"/>
          <w:color w:val="auto"/>
          <w:spacing w:val="0"/>
          <w:w w:val="100"/>
          <w:kern w:val="0"/>
          <w:sz w:val="24"/>
          <w:szCs w:val="24"/>
          <w:highlight w:val="none"/>
          <w:lang w:val="en-US" w:eastAsia="zh-CN"/>
        </w:rPr>
        <w:t>布道设计</w:t>
      </w:r>
      <w:r>
        <w:rPr>
          <w:rFonts w:hint="default" w:ascii="Times New Roman" w:hAnsi="Times New Roman" w:eastAsia="宋体" w:cs="Times New Roman"/>
          <w:caps w:val="0"/>
          <w:smallCaps w:val="0"/>
          <w:color w:val="auto"/>
          <w:spacing w:val="0"/>
          <w:w w:val="100"/>
          <w:kern w:val="0"/>
          <w:sz w:val="24"/>
          <w:szCs w:val="24"/>
          <w:highlight w:val="none"/>
          <w:lang w:val="en-US" w:eastAsia="zh-CN"/>
        </w:rPr>
        <w:t>宽2.5m，长约1580m，</w:t>
      </w:r>
      <w:r>
        <w:rPr>
          <w:rFonts w:hint="eastAsia" w:ascii="Times New Roman" w:hAnsi="Times New Roman" w:eastAsia="宋体" w:cs="Times New Roman"/>
          <w:caps w:val="0"/>
          <w:smallCaps w:val="0"/>
          <w:color w:val="auto"/>
          <w:spacing w:val="0"/>
          <w:w w:val="100"/>
          <w:kern w:val="0"/>
          <w:sz w:val="24"/>
          <w:szCs w:val="24"/>
          <w:highlight w:val="none"/>
          <w:lang w:val="en-US" w:eastAsia="zh-CN"/>
        </w:rPr>
        <w:t>设计成</w:t>
      </w:r>
      <w:r>
        <w:rPr>
          <w:rFonts w:hint="default" w:ascii="Times New Roman" w:hAnsi="Times New Roman" w:eastAsia="宋体" w:cs="Times New Roman"/>
          <w:caps w:val="0"/>
          <w:smallCaps w:val="0"/>
          <w:color w:val="auto"/>
          <w:spacing w:val="0"/>
          <w:w w:val="100"/>
          <w:kern w:val="0"/>
          <w:sz w:val="24"/>
          <w:szCs w:val="24"/>
          <w:highlight w:val="none"/>
          <w:lang w:val="en-US" w:eastAsia="zh-CN"/>
        </w:rPr>
        <w:t>铺装路，为湿地内部区域绿化、管养道路，局部衔接检测房、堤顶路以及亲水平台等沟通为汀步，长约380m。管养道路同时可兼做湿地的游赏步道、骑行绿道功能。</w:t>
      </w:r>
    </w:p>
    <w:p>
      <w:pPr>
        <w:pageBreakBefore w:val="0"/>
        <w:widowControl w:val="0"/>
        <w:bidi w:val="0"/>
        <w:adjustRightInd w:val="0"/>
        <w:snapToGrid w:val="0"/>
        <w:spacing w:line="360" w:lineRule="auto"/>
        <w:jc w:val="both"/>
        <w:rPr>
          <w:rFonts w:hint="eastAsia" w:ascii="Times New Roman" w:hAnsi="Times New Roman" w:eastAsia="宋体" w:cs="Times New Roman"/>
          <w:b/>
          <w:bCs/>
          <w:caps w:val="0"/>
          <w:smallCaps w:val="0"/>
          <w:color w:val="auto"/>
          <w:spacing w:val="0"/>
          <w:w w:val="100"/>
          <w:kern w:val="0"/>
          <w:sz w:val="30"/>
          <w:szCs w:val="30"/>
          <w:highlight w:val="none"/>
          <w:lang w:val="en-US" w:eastAsia="zh-CN"/>
        </w:rPr>
      </w:pPr>
      <w:r>
        <w:rPr>
          <w:rFonts w:hint="eastAsia" w:ascii="Times New Roman" w:hAnsi="Times New Roman" w:eastAsia="宋体" w:cs="Times New Roman"/>
          <w:b/>
          <w:bCs/>
          <w:caps w:val="0"/>
          <w:smallCaps w:val="0"/>
          <w:color w:val="auto"/>
          <w:spacing w:val="0"/>
          <w:w w:val="100"/>
          <w:kern w:val="0"/>
          <w:sz w:val="30"/>
          <w:szCs w:val="30"/>
          <w:highlight w:val="none"/>
          <w:lang w:val="en-US" w:eastAsia="zh-CN"/>
        </w:rPr>
        <w:t>3.4净化原理</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植物的作用：湿地单元内的湿地植物主要起到输氧，改善生态滤料水力传导性能和为微生物提供生长载体的作用，其直接污染物去除作用在整个系统中微不足道，其直接去除作用不高于5%。</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颗粒物的去除：高效湿地内部填充的特殊级配的专业生态滤料，可以使大部分颗粒物留在表层10cm以内，结合高效湿地表层掉落的植物枯枝，会在湿地表层会逐步形成一种活性结构，不会使滤床板结，微生物在这一层的高活性反而有助于污染物的降解。湿地内的植物、微生物也正需要这些截留的物质为其生长提供营养和能源。据测算，每年滤床表面累积约3cm厚的物质。其他溶解性的固体物质进入滤床内部，通过生态滤料、植物、微生物三者协同作用得以去除。运行时湿地单元内的微生物一直处于饥饿状态，倾向于自我衰减，所以滤床内的污泥浓度很低，不会产生剩余污泥。</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氮的去除：</w:t>
      </w:r>
      <w:r>
        <w:rPr>
          <w:rFonts w:hint="eastAsia" w:ascii="Times New Roman" w:hAnsi="Times New Roman" w:eastAsia="宋体" w:cs="Times New Roman"/>
          <w:caps w:val="0"/>
          <w:smallCaps w:val="0"/>
          <w:color w:val="auto"/>
          <w:spacing w:val="0"/>
          <w:w w:val="100"/>
          <w:kern w:val="0"/>
          <w:sz w:val="24"/>
          <w:szCs w:val="24"/>
          <w:highlight w:val="none"/>
          <w:lang w:val="en-US" w:eastAsia="zh-CN"/>
        </w:rPr>
        <w:t>污</w:t>
      </w:r>
      <w:r>
        <w:rPr>
          <w:rFonts w:hint="default" w:ascii="Times New Roman" w:hAnsi="Times New Roman" w:eastAsia="宋体" w:cs="Times New Roman"/>
          <w:caps w:val="0"/>
          <w:smallCaps w:val="0"/>
          <w:color w:val="auto"/>
          <w:spacing w:val="0"/>
          <w:w w:val="100"/>
          <w:kern w:val="0"/>
          <w:sz w:val="24"/>
          <w:szCs w:val="24"/>
          <w:highlight w:val="none"/>
          <w:lang w:val="en-US" w:eastAsia="zh-CN"/>
        </w:rPr>
        <w:t>水中的有机氮被异养菌转化为NH</w:t>
      </w:r>
      <w:r>
        <w:rPr>
          <w:rFonts w:hint="default" w:ascii="Times New Roman" w:hAnsi="Times New Roman" w:eastAsia="宋体" w:cs="Times New Roman"/>
          <w:caps w:val="0"/>
          <w:smallCaps w:val="0"/>
          <w:color w:val="auto"/>
          <w:spacing w:val="0"/>
          <w:w w:val="100"/>
          <w:kern w:val="0"/>
          <w:sz w:val="24"/>
          <w:szCs w:val="24"/>
          <w:highlight w:val="none"/>
          <w:vertAlign w:val="subscript"/>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N后，在自养硝化菌的作用下，转化为亚硝态氮和硝态氮，在缺氧或厌氧条件下，由反硝化菌作用以及植物根系的吸收作用从系统中除去。由于湿地中的氧分布状态是以根系为中心，不同距离处形成好氧—缺氧—厌氧状态，相当于在湿地中存在许多A2/O(厌氧—缺氧—好氧)处理反应器，从而使硝化和反硝化作用在湿地中同时发生，大大提高了脱除河水中氮的能力。</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磷的去除：湿地内除磷的主要原理是通过湿地中的生态滤料、植物和微生物的协同作用来完成。生态滤料对磷的去除主要是通过化学沉淀、吸附作用等。可溶性磷酸盐与钙、镁或铁、铝等金属离子发生反应，形成可逆性和溶解性均很小的钙、镁或铁、铝磷酸盐。吸附作用主要包括在固体表面的物理吸附和以离子交换形式的化学吸附，由生态滤料的表面性质决定，受生态滤料的表面积和活性基团控制，磷酸根离子主要通过配位体交换而被吸附停留在生态滤料表面。部分磷通过各种生物（例如微生物、植物等）得到去除。生态滤料中的聚磷菌在好养条件下可以过量吸收河水中的溶解性磷酸盐，将其以聚磷的形式积聚在体内(好氧吸磷)。另外，聚磷在厌氧状态下可被聚磷菌分解（厌氧释磷），形成的无机磷可被植物吸收。</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病原体的去除：湿地生物反应床内病原体去除主要通过自然渗滤、原生动物及轮虫的掠食作用实现。湿地生物反应床内部专业生态滤料及植物根系的生物膜起到非常大的作用，病原体附着在生物膜上，并成为鞭毛原生动物、纤毛原生动物以及轮虫的掠食对象，它们对病原体的去除非常有效。根据德国泳池水湿地处理技术规范，高效湿地病原体微生物（如大肠杆菌、肠球菌、粪大肠杆菌）去除率达到90%以上（1个数量级），该去除率在德国斯普雷河生态处理项目中已得到验证。</w:t>
      </w:r>
    </w:p>
    <w:p>
      <w:pPr>
        <w:pageBreakBefore w:val="0"/>
        <w:widowControl w:val="0"/>
        <w:bidi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湿地运行过程不会堵塞：高效湿地在运行过程中能保证不堵塞，原因总结如下：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①基于先进国家的高标准计算，有40多年成功实践验证；</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②在运行时严格控制不超负荷；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③正确选择滤料，包括最佳的级配；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④植物和颗粒物形成的表土层滤料，会起到防堵塞的作用，植物庞大的根系使滤料变得疏松，滤料不会板结。</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冬季运行：高效湿地内部生物膜固定在滤料颗粒表面，是稳定的生物反应系统，湿地内的固定生物膜，一旦形成，效果十分稳定。冬季，即使生物膜作用减弱，污染物能附着于滤料中，待回温很快被降解。</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项目建成运营后，将启动水质自动监测系统，加强各节点的水质监测，保证项目的正常运营，并确保供水水质达到设计要求。</w:t>
      </w:r>
    </w:p>
    <w:p>
      <w:pPr>
        <w:pageBreakBefore w:val="0"/>
        <w:widowControl w:val="0"/>
        <w:bidi w:val="0"/>
        <w:adjustRightInd w:val="0"/>
        <w:snapToGrid w:val="0"/>
        <w:spacing w:line="360" w:lineRule="auto"/>
        <w:ind w:firstLine="482" w:firstLineChars="200"/>
        <w:jc w:val="center"/>
        <w:rPr>
          <w:rFonts w:hint="eastAsia" w:ascii="Times New Roman" w:hAnsi="Times New Roman" w:eastAsia="宋体" w:cs="Times New Roman"/>
          <w:b/>
          <w:bCs/>
          <w:caps w:val="0"/>
          <w:smallCaps w:val="0"/>
          <w:color w:val="auto"/>
          <w:spacing w:val="0"/>
          <w:w w:val="100"/>
          <w:ker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表3.4-1融雪期设计进出水设计参数</w:t>
      </w:r>
    </w:p>
    <w:tbl>
      <w:tblPr>
        <w:tblStyle w:val="13"/>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17"/>
        <w:gridCol w:w="1686"/>
        <w:gridCol w:w="1703"/>
        <w:gridCol w:w="1703"/>
        <w:gridCol w:w="170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指标项目</w:t>
            </w:r>
          </w:p>
        </w:tc>
        <w:tc>
          <w:tcPr>
            <w:tcW w:w="99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设计处理能力</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CODcr</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NH3-N</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TP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设计进水指标（mg/L）</w:t>
            </w:r>
          </w:p>
        </w:tc>
        <w:tc>
          <w:tcPr>
            <w:tcW w:w="990" w:type="pct"/>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30万m3/d</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≤60</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≤4.21</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设计出水指（mg/L）</w:t>
            </w:r>
          </w:p>
        </w:tc>
        <w:tc>
          <w:tcPr>
            <w:tcW w:w="990"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30~40</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1.5~2</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0.1~0.15</w:t>
            </w:r>
          </w:p>
        </w:tc>
      </w:tr>
    </w:tbl>
    <w:p>
      <w:pPr>
        <w:pageBreakBefore w:val="0"/>
        <w:widowControl w:val="0"/>
        <w:bidi w:val="0"/>
        <w:adjustRightInd w:val="0"/>
        <w:snapToGrid w:val="0"/>
        <w:spacing w:line="360" w:lineRule="auto"/>
        <w:ind w:firstLine="482" w:firstLineChars="200"/>
        <w:jc w:val="center"/>
        <w:rPr>
          <w:rFonts w:hint="eastAsia" w:ascii="Times New Roman" w:hAnsi="Times New Roman" w:eastAsia="宋体" w:cs="Times New Roman"/>
          <w:b/>
          <w:bCs/>
          <w:caps w:val="0"/>
          <w:smallCaps w:val="0"/>
          <w:color w:val="auto"/>
          <w:spacing w:val="0"/>
          <w:w w:val="100"/>
          <w:ker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表3.4-2项目冰封期设计进出水设计参数</w:t>
      </w:r>
    </w:p>
    <w:tbl>
      <w:tblPr>
        <w:tblStyle w:val="13"/>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15"/>
        <w:gridCol w:w="1689"/>
        <w:gridCol w:w="1703"/>
        <w:gridCol w:w="1703"/>
        <w:gridCol w:w="17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指标项目</w:t>
            </w:r>
          </w:p>
        </w:tc>
        <w:tc>
          <w:tcPr>
            <w:tcW w:w="168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设计处理能力</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CODcr</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NH3-N</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TP</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设计进水指标（mg/L）</w:t>
            </w:r>
          </w:p>
        </w:tc>
        <w:tc>
          <w:tcPr>
            <w:tcW w:w="168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15万m3/d</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≤60</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≤4.21</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8"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设计出水指（mg/L）</w:t>
            </w:r>
          </w:p>
        </w:tc>
        <w:tc>
          <w:tcPr>
            <w:tcW w:w="990" w:type="pct"/>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40~50</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2.5~3.5</w:t>
            </w:r>
          </w:p>
        </w:tc>
        <w:tc>
          <w:tcPr>
            <w:tcW w:w="1000"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0.2~0.27</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经核算，</w:t>
      </w:r>
      <w:r>
        <w:rPr>
          <w:rFonts w:hint="eastAsia" w:ascii="Times New Roman" w:hAnsi="Times New Roman" w:eastAsia="宋体" w:cs="Times New Roman"/>
          <w:caps w:val="0"/>
          <w:smallCaps w:val="0"/>
          <w:color w:val="auto"/>
          <w:spacing w:val="0"/>
          <w:w w:val="100"/>
          <w:kern w:val="0"/>
          <w:sz w:val="24"/>
          <w:szCs w:val="24"/>
          <w:highlight w:val="none"/>
          <w:lang w:val="en-US" w:eastAsia="zh-CN"/>
        </w:rPr>
        <w:t>融雪期</w:t>
      </w:r>
      <w:r>
        <w:rPr>
          <w:rFonts w:hint="default" w:ascii="Times New Roman" w:hAnsi="Times New Roman" w:eastAsia="宋体" w:cs="Times New Roman"/>
          <w:caps w:val="0"/>
          <w:smallCaps w:val="0"/>
          <w:color w:val="auto"/>
          <w:spacing w:val="0"/>
          <w:w w:val="100"/>
          <w:kern w:val="0"/>
          <w:sz w:val="24"/>
          <w:szCs w:val="24"/>
          <w:highlight w:val="none"/>
          <w:lang w:val="en-US" w:eastAsia="zh-CN"/>
        </w:rPr>
        <w:t>削减安肇新河流域入河污染负荷COD</w:t>
      </w:r>
      <w:r>
        <w:rPr>
          <w:rFonts w:hint="eastAsia" w:ascii="Times New Roman" w:hAnsi="Times New Roman" w:eastAsia="宋体" w:cs="Times New Roman"/>
          <w:caps w:val="0"/>
          <w:smallCaps w:val="0"/>
          <w:color w:val="auto"/>
          <w:spacing w:val="0"/>
          <w:w w:val="100"/>
          <w:kern w:val="0"/>
          <w:sz w:val="24"/>
          <w:szCs w:val="24"/>
          <w:highlight w:val="none"/>
          <w:lang w:val="en-US" w:eastAsia="zh-CN"/>
        </w:rPr>
        <w:t>730</w:t>
      </w:r>
      <w:r>
        <w:rPr>
          <w:rFonts w:hint="default" w:ascii="Times New Roman" w:hAnsi="Times New Roman" w:eastAsia="宋体" w:cs="Times New Roman"/>
          <w:caps w:val="0"/>
          <w:smallCaps w:val="0"/>
          <w:color w:val="auto"/>
          <w:spacing w:val="0"/>
          <w:w w:val="100"/>
          <w:kern w:val="0"/>
          <w:sz w:val="24"/>
          <w:szCs w:val="24"/>
          <w:highlight w:val="none"/>
          <w:lang w:val="en-US" w:eastAsia="zh-CN"/>
        </w:rPr>
        <w:t>t/a，氨氮</w:t>
      </w:r>
      <w:r>
        <w:rPr>
          <w:rFonts w:hint="eastAsia" w:ascii="Times New Roman" w:hAnsi="Times New Roman" w:eastAsia="宋体" w:cs="Times New Roman"/>
          <w:caps w:val="0"/>
          <w:smallCaps w:val="0"/>
          <w:color w:val="auto"/>
          <w:spacing w:val="0"/>
          <w:w w:val="100"/>
          <w:kern w:val="0"/>
          <w:sz w:val="24"/>
          <w:szCs w:val="24"/>
          <w:highlight w:val="none"/>
          <w:lang w:val="en-US" w:eastAsia="zh-CN"/>
        </w:rPr>
        <w:t>80</w:t>
      </w:r>
      <w:r>
        <w:rPr>
          <w:rFonts w:hint="default" w:ascii="Times New Roman" w:hAnsi="Times New Roman" w:eastAsia="宋体" w:cs="Times New Roman"/>
          <w:caps w:val="0"/>
          <w:smallCaps w:val="0"/>
          <w:color w:val="auto"/>
          <w:spacing w:val="0"/>
          <w:w w:val="100"/>
          <w:kern w:val="0"/>
          <w:sz w:val="24"/>
          <w:szCs w:val="24"/>
          <w:highlight w:val="none"/>
          <w:lang w:val="en-US" w:eastAsia="zh-CN"/>
        </w:rPr>
        <w:t>t/a，总磷</w:t>
      </w:r>
      <w:r>
        <w:rPr>
          <w:rFonts w:hint="eastAsia" w:ascii="Times New Roman" w:hAnsi="Times New Roman" w:eastAsia="宋体" w:cs="Times New Roman"/>
          <w:caps w:val="0"/>
          <w:smallCaps w:val="0"/>
          <w:color w:val="auto"/>
          <w:spacing w:val="0"/>
          <w:w w:val="100"/>
          <w:kern w:val="0"/>
          <w:sz w:val="24"/>
          <w:szCs w:val="24"/>
          <w:highlight w:val="none"/>
          <w:lang w:val="en-US" w:eastAsia="zh-CN"/>
        </w:rPr>
        <w:t>9</w:t>
      </w:r>
      <w:r>
        <w:rPr>
          <w:rFonts w:hint="default" w:ascii="Times New Roman" w:hAnsi="Times New Roman" w:eastAsia="宋体" w:cs="Times New Roman"/>
          <w:caps w:val="0"/>
          <w:smallCaps w:val="0"/>
          <w:color w:val="auto"/>
          <w:spacing w:val="0"/>
          <w:w w:val="100"/>
          <w:kern w:val="0"/>
          <w:sz w:val="24"/>
          <w:szCs w:val="24"/>
          <w:highlight w:val="none"/>
          <w:lang w:val="en-US" w:eastAsia="zh-CN"/>
        </w:rPr>
        <w:t>t/a。</w:t>
      </w:r>
      <w:r>
        <w:rPr>
          <w:rFonts w:hint="eastAsia" w:ascii="Times New Roman" w:hAnsi="Times New Roman" w:eastAsia="宋体" w:cs="Times New Roman"/>
          <w:caps w:val="0"/>
          <w:smallCaps w:val="0"/>
          <w:color w:val="auto"/>
          <w:spacing w:val="0"/>
          <w:w w:val="100"/>
          <w:kern w:val="0"/>
          <w:sz w:val="24"/>
          <w:szCs w:val="24"/>
          <w:highlight w:val="none"/>
          <w:lang w:val="en-US" w:eastAsia="zh-CN"/>
        </w:rPr>
        <w:t>冰封期</w:t>
      </w:r>
      <w:r>
        <w:rPr>
          <w:rFonts w:hint="default" w:ascii="Times New Roman" w:hAnsi="Times New Roman" w:eastAsia="宋体" w:cs="Times New Roman"/>
          <w:caps w:val="0"/>
          <w:smallCaps w:val="0"/>
          <w:color w:val="auto"/>
          <w:spacing w:val="0"/>
          <w:w w:val="100"/>
          <w:kern w:val="0"/>
          <w:sz w:val="24"/>
          <w:szCs w:val="24"/>
          <w:highlight w:val="none"/>
          <w:lang w:val="en-US" w:eastAsia="zh-CN"/>
        </w:rPr>
        <w:t>削减安肇新河流域入河污染负荷COD</w:t>
      </w:r>
      <w:r>
        <w:rPr>
          <w:rFonts w:hint="eastAsia" w:ascii="Times New Roman" w:hAnsi="Times New Roman" w:eastAsia="宋体" w:cs="Times New Roman"/>
          <w:caps w:val="0"/>
          <w:smallCaps w:val="0"/>
          <w:color w:val="auto"/>
          <w:spacing w:val="0"/>
          <w:w w:val="100"/>
          <w:kern w:val="0"/>
          <w:sz w:val="24"/>
          <w:szCs w:val="24"/>
          <w:highlight w:val="none"/>
          <w:lang w:val="en-US" w:eastAsia="zh-CN"/>
        </w:rPr>
        <w:t>365</w:t>
      </w:r>
      <w:r>
        <w:rPr>
          <w:rFonts w:hint="default" w:ascii="Times New Roman" w:hAnsi="Times New Roman" w:eastAsia="宋体" w:cs="Times New Roman"/>
          <w:caps w:val="0"/>
          <w:smallCaps w:val="0"/>
          <w:color w:val="auto"/>
          <w:spacing w:val="0"/>
          <w:w w:val="100"/>
          <w:kern w:val="0"/>
          <w:sz w:val="24"/>
          <w:szCs w:val="24"/>
          <w:highlight w:val="none"/>
          <w:lang w:val="en-US" w:eastAsia="zh-CN"/>
        </w:rPr>
        <w:t>t/a，氨氮</w:t>
      </w:r>
      <w:r>
        <w:rPr>
          <w:rFonts w:hint="eastAsia" w:ascii="Times New Roman" w:hAnsi="Times New Roman" w:eastAsia="宋体" w:cs="Times New Roman"/>
          <w:caps w:val="0"/>
          <w:smallCaps w:val="0"/>
          <w:color w:val="auto"/>
          <w:spacing w:val="0"/>
          <w:w w:val="100"/>
          <w:kern w:val="0"/>
          <w:sz w:val="24"/>
          <w:szCs w:val="24"/>
          <w:highlight w:val="none"/>
          <w:lang w:val="en-US" w:eastAsia="zh-CN"/>
        </w:rPr>
        <w:t>40</w:t>
      </w:r>
      <w:r>
        <w:rPr>
          <w:rFonts w:hint="default" w:ascii="Times New Roman" w:hAnsi="Times New Roman" w:eastAsia="宋体" w:cs="Times New Roman"/>
          <w:caps w:val="0"/>
          <w:smallCaps w:val="0"/>
          <w:color w:val="auto"/>
          <w:spacing w:val="0"/>
          <w:w w:val="100"/>
          <w:kern w:val="0"/>
          <w:sz w:val="24"/>
          <w:szCs w:val="24"/>
          <w:highlight w:val="none"/>
          <w:lang w:val="en-US" w:eastAsia="zh-CN"/>
        </w:rPr>
        <w:t>t/a，总磷</w:t>
      </w: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t/a。</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107" w:name="_Toc10509"/>
      <w:r>
        <w:rPr>
          <w:rFonts w:hint="eastAsia" w:ascii="Times New Roman" w:hAnsi="Times New Roman" w:eastAsia="宋体" w:cs="Times New Roman"/>
          <w:snapToGrid/>
          <w:color w:val="auto"/>
          <w:sz w:val="32"/>
          <w:highlight w:val="none"/>
          <w:lang w:val="en-US" w:eastAsia="zh-CN" w:bidi="ar-SA"/>
        </w:rPr>
        <w:t>3.5施工组织</w:t>
      </w:r>
      <w:bookmarkEnd w:id="107"/>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w:t>
      </w: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.1施工总体布置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总体布置说明</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根据本项目</w:t>
      </w:r>
      <w:r>
        <w:rPr>
          <w:rFonts w:hint="eastAsia" w:ascii="Times New Roman" w:hAnsi="Times New Roman" w:eastAsia="宋体" w:cs="Times New Roman"/>
          <w:caps w:val="0"/>
          <w:smallCaps w:val="0"/>
          <w:color w:val="auto"/>
          <w:spacing w:val="0"/>
          <w:w w:val="100"/>
          <w:kern w:val="0"/>
          <w:sz w:val="24"/>
          <w:szCs w:val="24"/>
          <w:highlight w:val="none"/>
          <w:lang w:val="en-US" w:eastAsia="zh-CN"/>
        </w:rPr>
        <w:t>工程特点</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项目占地较大，</w:t>
      </w:r>
      <w:r>
        <w:rPr>
          <w:rFonts w:hint="default" w:ascii="Times New Roman" w:hAnsi="Times New Roman" w:eastAsia="宋体" w:cs="Times New Roman"/>
          <w:caps w:val="0"/>
          <w:smallCaps w:val="0"/>
          <w:color w:val="auto"/>
          <w:spacing w:val="0"/>
          <w:w w:val="100"/>
          <w:kern w:val="0"/>
          <w:sz w:val="24"/>
          <w:szCs w:val="24"/>
          <w:highlight w:val="none"/>
          <w:lang w:val="en-US" w:eastAsia="zh-CN"/>
        </w:rPr>
        <w:t>采用就近原则，在</w:t>
      </w:r>
      <w:r>
        <w:rPr>
          <w:rFonts w:hint="eastAsia" w:ascii="Times New Roman" w:hAnsi="Times New Roman" w:eastAsia="宋体" w:cs="Times New Roman"/>
          <w:caps w:val="0"/>
          <w:smallCaps w:val="0"/>
          <w:color w:val="auto"/>
          <w:spacing w:val="0"/>
          <w:w w:val="100"/>
          <w:kern w:val="0"/>
          <w:sz w:val="24"/>
          <w:szCs w:val="24"/>
          <w:highlight w:val="none"/>
          <w:lang w:val="en-US" w:eastAsia="zh-CN"/>
        </w:rPr>
        <w:t>厂址占地内</w:t>
      </w:r>
      <w:r>
        <w:rPr>
          <w:rFonts w:hint="default" w:ascii="Times New Roman" w:hAnsi="Times New Roman" w:eastAsia="宋体" w:cs="Times New Roman"/>
          <w:caps w:val="0"/>
          <w:smallCaps w:val="0"/>
          <w:color w:val="auto"/>
          <w:spacing w:val="0"/>
          <w:w w:val="100"/>
          <w:kern w:val="0"/>
          <w:sz w:val="24"/>
          <w:szCs w:val="24"/>
          <w:highlight w:val="none"/>
          <w:lang w:val="en-US" w:eastAsia="zh-CN"/>
        </w:rPr>
        <w:t>布置临时施工设施，作为施工营地，布置临时办公</w:t>
      </w:r>
      <w:r>
        <w:rPr>
          <w:rFonts w:hint="eastAsia" w:ascii="Times New Roman" w:hAnsi="Times New Roman" w:eastAsia="宋体" w:cs="Times New Roman"/>
          <w:caps w:val="0"/>
          <w:smallCaps w:val="0"/>
          <w:color w:val="auto"/>
          <w:spacing w:val="0"/>
          <w:w w:val="100"/>
          <w:kern w:val="0"/>
          <w:sz w:val="24"/>
          <w:szCs w:val="24"/>
          <w:highlight w:val="none"/>
          <w:lang w:val="en-US" w:eastAsia="zh-CN"/>
        </w:rPr>
        <w:t>区域及</w:t>
      </w:r>
      <w:r>
        <w:rPr>
          <w:rFonts w:hint="default" w:ascii="Times New Roman" w:hAnsi="Times New Roman" w:eastAsia="宋体" w:cs="Times New Roman"/>
          <w:caps w:val="0"/>
          <w:smallCaps w:val="0"/>
          <w:color w:val="auto"/>
          <w:spacing w:val="0"/>
          <w:w w:val="100"/>
          <w:kern w:val="0"/>
          <w:sz w:val="24"/>
          <w:szCs w:val="24"/>
          <w:highlight w:val="none"/>
          <w:lang w:val="en-US" w:eastAsia="zh-CN"/>
        </w:rPr>
        <w:t>生产设施</w:t>
      </w:r>
      <w:r>
        <w:rPr>
          <w:rFonts w:hint="eastAsia" w:ascii="Times New Roman" w:hAnsi="Times New Roman" w:eastAsia="宋体" w:cs="Times New Roman"/>
          <w:caps w:val="0"/>
          <w:smallCaps w:val="0"/>
          <w:color w:val="auto"/>
          <w:spacing w:val="0"/>
          <w:w w:val="100"/>
          <w:kern w:val="0"/>
          <w:sz w:val="24"/>
          <w:szCs w:val="24"/>
          <w:highlight w:val="none"/>
          <w:lang w:val="en-US" w:eastAsia="zh-CN"/>
        </w:rPr>
        <w:t>区域</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办公区域设置办公室、员工宿舍及移动环保旱厕等</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办公室及员工宿舍采用移动式板房。</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生产设施</w:t>
      </w:r>
      <w:r>
        <w:rPr>
          <w:rFonts w:hint="eastAsia" w:ascii="Times New Roman" w:hAnsi="Times New Roman" w:eastAsia="宋体" w:cs="Times New Roman"/>
          <w:caps w:val="0"/>
          <w:smallCaps w:val="0"/>
          <w:color w:val="auto"/>
          <w:spacing w:val="0"/>
          <w:w w:val="100"/>
          <w:kern w:val="0"/>
          <w:sz w:val="24"/>
          <w:szCs w:val="24"/>
          <w:highlight w:val="none"/>
          <w:lang w:val="en-US" w:eastAsia="zh-CN"/>
        </w:rPr>
        <w:t>区域</w:t>
      </w:r>
      <w:r>
        <w:rPr>
          <w:rFonts w:hint="default" w:ascii="Times New Roman" w:hAnsi="Times New Roman" w:eastAsia="宋体" w:cs="Times New Roman"/>
          <w:caps w:val="0"/>
          <w:smallCaps w:val="0"/>
          <w:color w:val="auto"/>
          <w:spacing w:val="0"/>
          <w:w w:val="100"/>
          <w:kern w:val="0"/>
          <w:sz w:val="24"/>
          <w:szCs w:val="24"/>
          <w:highlight w:val="none"/>
          <w:lang w:val="en-US" w:eastAsia="zh-CN"/>
        </w:rPr>
        <w:t>设置材料堆放场</w:t>
      </w:r>
      <w:r>
        <w:rPr>
          <w:rFonts w:hint="eastAsia" w:ascii="Times New Roman" w:hAnsi="Times New Roman" w:eastAsia="宋体" w:cs="Times New Roman"/>
          <w:caps w:val="0"/>
          <w:smallCaps w:val="0"/>
          <w:color w:val="auto"/>
          <w:spacing w:val="0"/>
          <w:w w:val="100"/>
          <w:kern w:val="0"/>
          <w:sz w:val="24"/>
          <w:szCs w:val="24"/>
          <w:highlight w:val="none"/>
          <w:lang w:val="en-US" w:eastAsia="zh-CN"/>
        </w:rPr>
        <w:t>、底泥堆放场及土方临时堆放场等</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本项目分区域施工，</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w:t>
      </w:r>
      <w:r>
        <w:rPr>
          <w:rFonts w:hint="eastAsia" w:ascii="Times New Roman" w:hAnsi="Times New Roman" w:eastAsia="宋体" w:cs="Times New Roman"/>
          <w:caps w:val="0"/>
          <w:smallCaps w:val="0"/>
          <w:color w:val="auto"/>
          <w:spacing w:val="0"/>
          <w:w w:val="100"/>
          <w:kern w:val="0"/>
          <w:sz w:val="24"/>
          <w:szCs w:val="24"/>
          <w:highlight w:val="none"/>
          <w:lang w:val="en-US" w:eastAsia="zh-CN"/>
        </w:rPr>
        <w:t>区域</w:t>
      </w:r>
      <w:r>
        <w:rPr>
          <w:rFonts w:hint="default" w:ascii="Times New Roman" w:hAnsi="Times New Roman" w:eastAsia="宋体" w:cs="Times New Roman"/>
          <w:caps w:val="0"/>
          <w:smallCaps w:val="0"/>
          <w:color w:val="auto"/>
          <w:spacing w:val="0"/>
          <w:w w:val="100"/>
          <w:kern w:val="0"/>
          <w:sz w:val="24"/>
          <w:szCs w:val="24"/>
          <w:highlight w:val="none"/>
          <w:lang w:val="en-US" w:eastAsia="zh-CN"/>
        </w:rPr>
        <w:t>采用彩色锌波纹板或框架围网做围蔽。</w:t>
      </w:r>
      <w:r>
        <w:rPr>
          <w:rFonts w:hint="eastAsia" w:ascii="Times New Roman" w:hAnsi="Times New Roman" w:eastAsia="宋体" w:cs="Times New Roman"/>
          <w:caps w:val="0"/>
          <w:smallCaps w:val="0"/>
          <w:color w:val="auto"/>
          <w:spacing w:val="0"/>
          <w:w w:val="100"/>
          <w:kern w:val="0"/>
          <w:sz w:val="24"/>
          <w:szCs w:val="24"/>
          <w:highlight w:val="none"/>
          <w:lang w:val="en-US" w:eastAsia="zh-CN"/>
        </w:rPr>
        <w:t>材料堆放场设置成密封式构建物。</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土方临时堆放场在周围砌筑120mm宽200mm高砖挡水坎，外侧抹水泥砂浆。雨天顶部覆盖塑料布，防止雨水进入。同时周围设置临时排水沟。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底泥晾晒场灵活设置，位于施工作业区附近，根据施工时，土壤实际硬度测试，若不能进行直接覆土夯实，先进行底泥清挖，暂存于底泥晾晒场，进行简单脱水，用于湿地建设。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若可直接进行回填，直接覆土建设。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施工作业区附近设置临时沉淀池。底泥出水、含泥沙雨水及河塘内积水进入沉淀池进行沉淀，用于施工区域洒水抑尘。</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①施工道路</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设置临时道路1条，位于生态净化区东侧，与进场道路相邻。连接施工场地与大肇路，长度1.911公里，路基宽度7m。施工结束后进行道路平整，植被恢复。</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②施工用水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施工期间用水主要为员工生活用水及施工现场抑尘用水。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员工生活用水外购桶装水。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抑尘用水来源于经沉淀后的底泥出水、雨水及河塘积水。</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③施工用电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施工用电就近接入，由业主单位协调至施工现场。</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④施工排水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在底泥晾晒场、施工区域、土方临时堆放场周围设置排水沟或排水管道，将底泥出水、雨水排入临时沉淀池内，河塘内积水利用抽水泵转移至沉淀池内，经沉淀后用于施工区域抑尘，不外排。</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⑤</w:t>
      </w:r>
      <w:r>
        <w:rPr>
          <w:rFonts w:hint="eastAsia" w:ascii="Times New Roman" w:hAnsi="Times New Roman" w:eastAsia="宋体" w:cs="Times New Roman"/>
          <w:caps w:val="0"/>
          <w:smallCaps w:val="0"/>
          <w:color w:val="auto"/>
          <w:spacing w:val="0"/>
          <w:w w:val="100"/>
          <w:kern w:val="0"/>
          <w:sz w:val="24"/>
          <w:szCs w:val="24"/>
          <w:highlight w:val="none"/>
          <w:lang w:val="en-US" w:eastAsia="zh-CN"/>
        </w:rPr>
        <w:t>底泥清挖及填土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排水结束后，对底部土壤硬度测试，若可直接进行填土压实的地块，将从取土场运输过来的土直接铺设在底部，进行夯实，再进行地面硬化，填料铺设等工作。</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若底部硬度较小，不适宜直接填土夯实；将底泥清挖出来，运输至临时底泥晾晒场进行简单晾晒脱水，最后用于湿地建设。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布置原则</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施工现场设施布置时，结合现场的具体情况按以下原则进行布置：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①总体布置充分满足施工要求，布置尽量集中、紧凑，节约用地；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②充分考虑现有交通状况，不得阻碍原有道路交通；</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③功能分区明确，交通组织顺畅，满足生产、生活需求；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④结合地形，合理布置，尽量减少材料的二次搬运，降低生产成本；</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⑤场区运输道路布线合理，有利运输；</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⑥场地布置与施工总部署、施工进度、施工方法、工艺流程和机械设备相适应；</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⑦尽量减少对周边环境的影响；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⑧符合安全生产、文明施工的要求，利于防火、防洪，利于创造一个文明施工的环境条件。</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临时用地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施工组织设计要求进行现场平整、疏通交通道路，并贯彻“先地下、后地上”原则，做好上下水、电力、电讯管线铺设。现场布局周密，使用合理管理方便，合理压缩临时设施构筑，以减少费用支出。做好现场的材料储存、堆放、中转管理；按平面图布置设置机械设备；加强对现场仓库、工具间的搭设、保安、防火管理。</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①入口与围墙</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现场围蔽采用彩色锌波纹板，并做好宣传文明施工及管理工作。出入口大门由钢管焊制而成，为两开门；总宽度为6m，高度为2m。</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②现场道路</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因本项目选址位于干渠左岸，根据现有交通道路网，无直接抵达厂址道路，项目设置临时道路一条，总长度1.911公里，占地宽7m，连接大肇路及项目厂址，</w:t>
      </w:r>
      <w:r>
        <w:rPr>
          <w:rFonts w:hint="default" w:ascii="Times New Roman" w:hAnsi="Times New Roman" w:eastAsia="宋体" w:cs="Times New Roman"/>
          <w:caps w:val="0"/>
          <w:smallCaps w:val="0"/>
          <w:color w:val="auto"/>
          <w:spacing w:val="0"/>
          <w:w w:val="100"/>
          <w:kern w:val="0"/>
          <w:sz w:val="24"/>
          <w:szCs w:val="24"/>
          <w:highlight w:val="none"/>
          <w:lang w:val="en-US" w:eastAsia="zh-CN"/>
        </w:rPr>
        <w:t>以方便各种材料、</w:t>
      </w:r>
      <w:r>
        <w:rPr>
          <w:rFonts w:hint="eastAsia" w:ascii="Times New Roman" w:hAnsi="Times New Roman" w:eastAsia="宋体" w:cs="Times New Roman"/>
          <w:caps w:val="0"/>
          <w:smallCaps w:val="0"/>
          <w:color w:val="auto"/>
          <w:spacing w:val="0"/>
          <w:w w:val="100"/>
          <w:kern w:val="0"/>
          <w:sz w:val="24"/>
          <w:szCs w:val="24"/>
          <w:highlight w:val="none"/>
          <w:lang w:val="en-US" w:eastAsia="zh-CN"/>
        </w:rPr>
        <w:t>设备</w:t>
      </w:r>
      <w:r>
        <w:rPr>
          <w:rFonts w:hint="default" w:ascii="Times New Roman" w:hAnsi="Times New Roman" w:eastAsia="宋体" w:cs="Times New Roman"/>
          <w:caps w:val="0"/>
          <w:smallCaps w:val="0"/>
          <w:color w:val="auto"/>
          <w:spacing w:val="0"/>
          <w:w w:val="100"/>
          <w:kern w:val="0"/>
          <w:sz w:val="24"/>
          <w:szCs w:val="24"/>
          <w:highlight w:val="none"/>
          <w:lang w:val="en-US" w:eastAsia="zh-CN"/>
        </w:rPr>
        <w:t>的进退场。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③现场排水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项目分阶段、分区域施工，当进行其中一块河塘施工时，利用抽水泵及排水管道将积水转移至附近沉淀池进行沉淀，底泥出水及含泥沙雨水经排水沟或排水管进入沉淀池，用于施工区域抑尘。</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施工人员生活污水排入移动环保旱厕内，定期清掏，外运堆肥。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④材料堆放、加工场布置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根据整个施工布署，在现场空地处设置材料堆放及加工场，加工好的成品分别堆放在相应的施工区域内，使用时运送至各施工点。</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⑤办公生活设施布置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办公及生活区域设置可移动板房，施工结束后，方便搬离现场。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⑥施工机械、材料布置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工程所用石料、砂等散料</w:t>
      </w:r>
      <w:r>
        <w:rPr>
          <w:rFonts w:hint="eastAsia" w:ascii="Times New Roman" w:hAnsi="Times New Roman" w:eastAsia="宋体" w:cs="Times New Roman"/>
          <w:caps w:val="0"/>
          <w:smallCaps w:val="0"/>
          <w:color w:val="auto"/>
          <w:spacing w:val="0"/>
          <w:w w:val="100"/>
          <w:kern w:val="0"/>
          <w:sz w:val="24"/>
          <w:szCs w:val="24"/>
          <w:highlight w:val="none"/>
          <w:lang w:val="en-US" w:eastAsia="zh-CN"/>
        </w:rPr>
        <w:t>均运输至场内暂存在材料堆放场。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施工机械挖掘机、装载机等大型机械设备，有专用的停车场地。</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w:t>
      </w: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.2施工准备阶段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项目在开工建设之前要切实做好各项准备工作，其主要内容包括：根据施工图纸等所有设计文件制定施工方案；“三通一平”工作，即：通水、通电、通路，场地平整；组织完成围栏、拦截网、湿地植物的</w:t>
      </w:r>
      <w:r>
        <w:rPr>
          <w:rFonts w:hint="eastAsia" w:ascii="Times New Roman" w:hAnsi="Times New Roman" w:eastAsia="宋体" w:cs="Times New Roman"/>
          <w:caps w:val="0"/>
          <w:smallCaps w:val="0"/>
          <w:color w:val="auto"/>
          <w:spacing w:val="0"/>
          <w:w w:val="100"/>
          <w:kern w:val="0"/>
          <w:sz w:val="24"/>
          <w:szCs w:val="24"/>
          <w:highlight w:val="none"/>
          <w:lang w:val="en-US" w:eastAsia="zh-CN"/>
        </w:rPr>
        <w:t>采购</w:t>
      </w:r>
      <w:r>
        <w:rPr>
          <w:rFonts w:hint="default" w:ascii="Times New Roman" w:hAnsi="Times New Roman" w:eastAsia="宋体" w:cs="Times New Roman"/>
          <w:caps w:val="0"/>
          <w:smallCaps w:val="0"/>
          <w:color w:val="auto"/>
          <w:spacing w:val="0"/>
          <w:w w:val="100"/>
          <w:kern w:val="0"/>
          <w:sz w:val="24"/>
          <w:szCs w:val="24"/>
          <w:highlight w:val="none"/>
          <w:lang w:val="en-US" w:eastAsia="zh-CN"/>
        </w:rPr>
        <w:t>等准备工作；准备必要的施工图纸；择优选定施工班组。</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w:t>
      </w: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.3施工进度及人数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项目实施建设总工期为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14</w:t>
      </w:r>
      <w:r>
        <w:rPr>
          <w:rFonts w:hint="default" w:ascii="Times New Roman" w:hAnsi="Times New Roman" w:eastAsia="宋体" w:cs="Times New Roman"/>
          <w:caps w:val="0"/>
          <w:smallCaps w:val="0"/>
          <w:color w:val="auto"/>
          <w:spacing w:val="0"/>
          <w:w w:val="100"/>
          <w:kern w:val="0"/>
          <w:sz w:val="24"/>
          <w:szCs w:val="24"/>
          <w:highlight w:val="none"/>
          <w:lang w:val="en-US" w:eastAsia="zh-CN"/>
        </w:rPr>
        <w:t>个月</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高峰期施工劳人数为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60</w:t>
      </w:r>
      <w:r>
        <w:rPr>
          <w:rFonts w:hint="default" w:ascii="Times New Roman" w:hAnsi="Times New Roman" w:eastAsia="宋体" w:cs="Times New Roman"/>
          <w:caps w:val="0"/>
          <w:smallCaps w:val="0"/>
          <w:color w:val="auto"/>
          <w:spacing w:val="0"/>
          <w:w w:val="100"/>
          <w:kern w:val="0"/>
          <w:sz w:val="24"/>
          <w:szCs w:val="24"/>
          <w:highlight w:val="none"/>
          <w:lang w:val="en-US" w:eastAsia="zh-CN"/>
        </w:rPr>
        <w:t>人，项目施工进度如下：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2023年1月份至2月底完成引水闸口、明渠、暗渠及生态稳定塘建设；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2023年3月份至5月底完成提升泵站及生态砾石床建设；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2023年6月至9月底完成表流湿地及潜流湿地建设；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2023年10月至2024年1月中旬完成半自然湿地建设；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2024年1月下旬至2月底完成退水管网及辅助用房建设。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3.5.4项目施工方案概述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（1）施工方案概述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①人工湿地主要施工程序：场地清理→进水口、进水明渠及进水边闸建设→地基和池壁施工→场地平整压实及敷设防渗膜→排水系统铺设→填料铺设→给水系统铺设→湿地植物种植→退水暗涵及出水口建设。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②植物种植主要施工程序：种植土覆盖→平整场地→测量放线→种植土旋耕→土壤施肥→生态草种、花卉种植→生态草种、花卉养护。</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（2）施工围堰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本工程中进、出水口及渠道建设需布设围堰。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①施工方案</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现场勘察→材料准备→测量放样→土袋投放、堆码（预埋拉结件）→筑土振捣→防水布铺设→围堰加固→围堰拆除。</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②施工方案简述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工程采用沙袋围堰，沙袋将重复利用。根椐围堰施工范围测量放线，插杆标识，然后沿施工方向依次进行围堰。堰体填筑首先沿渠道一边侧进行纤维袋排砌填筑，由人工进行分层卧码，上、下错缝，内外搭砌，码立稳定，围堰用土为粘性土或砂夹粘土。纤维袋内装松散粘土袋口缝合，土块必须捣碎，装填量为袋容量的60%-70%。然后沿着外侧向中间开始码包，码包必须要压实、整齐，后码放同层的土袋要压住四分之一先码放的土袋。第二排码放的同层土袋要顶紧先码放土袋的中缝，上层码放的土袋必须要压紧下层码放土袋的缝隙，这样层层压实、码放整齐，层层错缝，缝缝压紧，袋间间隙采用粘土填充，每层必须人工夯实紧密后，再进行下层的填筑。</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围好堰后，将上游的水通过泵导流至下游，防止水进入施工区域，影响施工。在每个排放点需人工铺设一条单独的沙袋围堰，并在其岸堤上安装一台水泵以抽出围堰后方积水区中的水。这些抽出的水通过排水导流管排入到旁路抽水系统管道中，流入回流围堰下游。为了保证施工以及渠道顺畅，除特别功能的围堰以外，其他围堰都根据施工进度依次建设或者拆除。在一个小分段施工完成以后，上游的围堰及时拆除，同时下游的围堰作为下一个施工段上游的围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（3）土方开挖</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本工程土方开挖采用1m³反铲挖掘机开挖装，8t自卸汽车运输。基坑保护层和局部机械难以开挖的部位采用人工进行。</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清挖的底泥经底泥晾晒场进行简单脱水，用于湿地建设，外购土堆放与底泥土壤分开堆放，等待用于其他净化单元取土建设。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①施工方案</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场地清理及排水→测量放线→土方开挖→底泥晾晒→开挖土方临时堆存→其他净化单元填土建设。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②施工方案简述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土方开挖前，及时将河塘场地积水转移，利用抽水泵及排水管将积水转移至临时沉淀池内；为保证开挖边坡不受雨水冲刷，在开挖前，按照图纸要求完成边坡截流沟施工。在开挖区周围设置挡水堤和排水沟、挖设集水坑等措施，阻止场外水流入施工场地。在临时堆土场周围设置截流沟，进行雨水排放，防止雨季弃土区坍塌。排水按照施工排水工程中设计方案进行。</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③土方开挖</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土方开挖采用反铲直接开挖并装车，自卸汽车运输。开挖深度大于50m的部位应取自上而下分层开挖，土方永久边坡首先采用反铲进行预留10～20cm保护层机械修坡，再采用人工对保护层进行人工开挖修坡，确保边坡土方不受扰动和边坡美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开挖时注意控制好以下几个问题：土方开挖符合上报监理工程师并经批准的开挖参数。开挖时严格控制开挖深度，随时控制边坡，避免超挖和欠挖；土方开挖工程中严格按照设计的堆土位置、堆土高度进行堆放；雨天施工时，做好施工排水，为防止边坡冲刷造成水土流失，边坡失稳，采用彩条布或土工布覆盖，必要时坡脚处采用木桩支护。</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④土方回填</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填筑施工采用水平分层填筑，平铺法或台阶法推进。按填筑区横断面全宽度纵向分层填筑，分层厚度60～80cm。填料用推土机初步摊平，用平地机细摊平整。填筑从低处分层填筑，填层外侧按设计边坡放线，每侧加宽50cm，以保证边缘部位碾压满足要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⑤土方临时堆存场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将清挖的土方集中堆存在制定堆存场内；堆存场外明显标识指示设施。周围设置挡板，雨季施工时，雨天顶部覆盖塑料布，防止雨水进入。同时周围设置临时排水沟。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⑥余土利用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清挖的土方用于其他净化单元施工填土建设。</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（4）湿地植物种植</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①种植注意事项</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在种植过程中要特别注意以下几点：</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1）保持土壤疏松；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2）宿根植物在其生长期进行种植；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3）保证植物的入土深度，以植株栽稳、根基入土为宜；</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4）防治病虫害，根据不同的植物有针对性的选择药剂进行喷杀；</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5）种植地要通风透光，生长期保持土壤湿润。</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抽调工程部精干人员组成养护组，在生态湿地正常运行之后严格按照养护方案安排日常养护管理工作。坚持贯彻“预防为主、综合防治”的病虫害、杂草防治指导思想，努力提高管护水平，创造一流的生态绿化景观。</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②施工安排（季节性施工）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根据工程进度计划安排，现制定如下施工措施。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提前听取天气预报，植物种植尽量避开雨雪天施工，准备好苫布、塑料布等，对现场设备、未种植的植物及时进行覆盖；对宜受潮的材料设备，放置在防潮防雨雪的库房内存放。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考虑施工期综合要求，水葱、香蒲等植物宜在非冬季种植，应当采用根苗移的种植方法。植物种植后，要及时采取保温，防风措施，根据现场条件，我们采用灌水保温，水位控制在10cm～15cm之间，既利用水保温，又防止大风天气造成植物漂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（5）生态步道</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生态步道穿越连接各净化单元，本次生态步道包括一级步道和二级步道。</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本次一级布道以透水混凝土和碎拼花岗岩为主要材料，二级布道采用混凝土盖板上铺塑胶的形式。</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①施工方案</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一级布道：</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清理地面→弹中心线→安放标准块→试拼→铺贴→养护→嵌缝→清洗</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二级布道：</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场地平整与找坡→素土夯实→碎石垫层施工→透水混凝土面层施工。</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②施工简述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一级步道施工时应注意，铺设时场地浮渣应先进行清理，安放标准块，用水平尺和角尺校正无误，泥浆涂抹在石材背面，安放时必须四角同时落下，用橡皮锤敲击平实。铺好的地面在2～3天内禁止上人，光面和镜面的饰板经清洗晾干后方可打蜡擦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素土夯实时重要的质量控制工作，首先应清除腐质土，清除日后地面下陷隐患。当挖土达到设计标高后，可用打夯机进行素土夯实，达到设计要求素土夯实的密实度，如果密实度尚未达到设计要求，应不断夯实，直到达到设计要求为止。</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雨季施工，应注意天气变化，下雨时应立即停止施工，降雨偏大时应采用覆盖塑料布等措施保护已摊铺的混合料，以免混合料中的细集料被雨水冲刷流失，导致粗集料裸露。</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（6）围栏安装工程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本项目在生态净化区场界均设置围栏，采用菱形包塑网，每个格栅网立柱间距设计为3m，端头立柱距离设计为30m，并配合设置一组纵向斜撑，凡拐角处设置一个横向斜撑柱。</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3.5.5雨季施工方案</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（1）施工准备</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①技术准备</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1）在雨季到来之前，结合有关工艺标准和本工程的特点编制《雨季施工方案》，根据雨季施工方案对各专业、各作业班组进行技术交底，落实各项雨季施工技术措施。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2）编制《防汛应急预案》，备好防洪、防汛物资，做好夏季、雨季的防洪与防汛工作。</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3）根据天气特点与商品混凝土搅拌站协商调整混凝土配合比，并签订相应混凝土供货技术协议。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4）有针对性的制定有关分部、分项工程的雨季施工措施，并向有关人员进行交底。在雨季施工阶段，加强天气预报工作，了解当天和近几天的天气情况，以采取措施。</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②材料、设备准备</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雨季施工需准备的材料包括：雨衣、雨裤、雨鞋、彩条布、编织袋、平锹、潜水泵、无砂滤管等。</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雨施材料、设备必须按计划时间全部组织进场，不允许临时采购。进场时应对其质量进行检查验收，做好记录。雨季施工材料的保管、使用设专人负责。</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③现场准备</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1）收集雨季天气信息</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每天注意收听天气预报，及时了解长期、短期、即时天气预报，随时掌握天气变化情况。在生活区黑板报中设立一个气象信息栏，及时通告气象信息。</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2）维修现场排水设施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a.雨施前，整理施工现场，将由于现场施工、运输破坏的硬化地面和道路重新修整好，修补地面、道路的坑洼和积水处，保证现场排水坡度。</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b.检查场内外的排水设施，确保排水设备完好，以保证在暴雨后能在较短的时间内排出积水。清理并修复施工现场的排水沟，保证排水畅通。</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c.及时清理混凝土地泵沉淀池内的沉淀物，防止沉淀物被雨水冲入排水沟，造成排水沟堵塞。</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d.修复基坑周边被破坏掉的挡水坎，防止现场雨水流入基坑，防止雨水冲刷该部位边坡。</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（2）雨季施工技术措施</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①土方工程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土方开挖，应安排在晴天，并且连续进行，尽快完成。在挖土过程中，遇雨时，用塑料布覆盖基土，土方开挖分区分段进行，雨季施工的工作面不宜太大，应逐段、逐片的分期完成。槽底预留20～30cm土层，待验槽后清底并随即打上混凝土垫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施工时为防止地面水流入基坑，在基坑上口砌筑120mm宽200mm高砖挡水坎，外侧抹水泥砂浆。</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雨季开挖基槽或管沟时，应注意边坡稳定。必要时可适当放缓边坡坡度或设置支撑，为防止边坡被雨水冲塌，可在边坡上加钉钢丝网片，并抹50mm细石混凝土。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为防止基坑浸泡，开挖时要在坑底设置环形排水明沟或盲沟，沟底标高比开挖的坑底标高低0.5m，根据基坑大小合理设置无砂滤管集水井，并配备足够水泵，排除基底的积水。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对于较深的基坑（槽）随时观察边坡的变形，并结合护坡的沉降观测记录，及时采取措施。施工时派专人加强对边破和支撑的检查，随时对可能出现的异常情况进行处理。</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②防渗工程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1）材料堆放仓库必须封闭严密，遮盖材料必须固定牢靠，防止大风掀起。仓库四周必须准备砂袋，保护好未施工的复合土工膜。</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2）所有材料堆放地必须选择在地势较高之处，防止地表水冲刷。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3）由于工程所处的特殊地理位置，复合土工膜施工受风砂和降雨影响较大。为保证复合土工膜施工，需要准备数量较多的土工砂袋压覆土工膜周边，以防风吹。</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4）所有机械设备使用时必须采取接零（接地）措施，以防触漏电。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5）所有机械设备必须采取严格的遮雨措施，小型设备应在上下班时随身携带并在施工现场配备完好的工具箱。对于大型的设备应配备防雨罩或防雨棚。</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108" w:name="_Toc22395"/>
      <w:r>
        <w:rPr>
          <w:rFonts w:hint="default" w:ascii="Times New Roman" w:hAnsi="Times New Roman" w:eastAsia="宋体" w:cs="Times New Roman"/>
          <w:snapToGrid/>
          <w:color w:val="auto"/>
          <w:sz w:val="32"/>
          <w:highlight w:val="none"/>
          <w:lang w:val="en-US" w:eastAsia="zh-CN" w:bidi="ar-SA"/>
        </w:rPr>
        <w:t>3.</w:t>
      </w:r>
      <w:r>
        <w:rPr>
          <w:rFonts w:hint="eastAsia" w:ascii="Times New Roman" w:hAnsi="Times New Roman" w:eastAsia="宋体" w:cs="Times New Roman"/>
          <w:snapToGrid/>
          <w:color w:val="auto"/>
          <w:sz w:val="32"/>
          <w:highlight w:val="none"/>
          <w:lang w:val="en-US" w:eastAsia="zh-CN" w:bidi="ar-SA"/>
        </w:rPr>
        <w:t>6</w:t>
      </w:r>
      <w:r>
        <w:rPr>
          <w:rFonts w:hint="default" w:ascii="Times New Roman" w:hAnsi="Times New Roman" w:eastAsia="宋体" w:cs="Times New Roman"/>
          <w:snapToGrid/>
          <w:color w:val="auto"/>
          <w:sz w:val="32"/>
          <w:highlight w:val="none"/>
          <w:lang w:val="en-US" w:eastAsia="zh-CN" w:bidi="ar-SA"/>
        </w:rPr>
        <w:t>污染源分析</w:t>
      </w:r>
      <w:bookmarkEnd w:id="108"/>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w:t>
      </w:r>
      <w:r>
        <w:rPr>
          <w:rFonts w:hint="eastAsia" w:ascii="Times New Roman" w:hAnsi="Times New Roman" w:eastAsia="宋体" w:cs="Times New Roman"/>
          <w:caps w:val="0"/>
          <w:smallCaps w:val="0"/>
          <w:color w:val="auto"/>
          <w:spacing w:val="0"/>
          <w:w w:val="100"/>
          <w:kern w:val="0"/>
          <w:sz w:val="24"/>
          <w:szCs w:val="24"/>
          <w:highlight w:val="none"/>
          <w:lang w:val="en-US" w:eastAsia="zh-CN"/>
        </w:rPr>
        <w:t>6</w:t>
      </w:r>
      <w:r>
        <w:rPr>
          <w:rFonts w:hint="default" w:ascii="Times New Roman" w:hAnsi="Times New Roman" w:eastAsia="宋体" w:cs="Times New Roman"/>
          <w:caps w:val="0"/>
          <w:smallCaps w:val="0"/>
          <w:color w:val="auto"/>
          <w:spacing w:val="0"/>
          <w:w w:val="100"/>
          <w:kern w:val="0"/>
          <w:sz w:val="24"/>
          <w:szCs w:val="24"/>
          <w:highlight w:val="none"/>
          <w:lang w:val="en-US" w:eastAsia="zh-CN"/>
        </w:rPr>
        <w:t>.1施工期污染源分析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废气</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期废气包括施工场地扬尘、运输扬尘和机械燃油废气。其中机械废气排放点分散，主要成分是烟尘、CO和NOx等，其排放浓度符合相关设备标准，本报告不详细核算；这个时段由于基本是在裸露地面上施工，施工扬尘是最大的，主要污染物因子为TSP、PM10、PM2.5。同时，风力和湿度对扬尘的产生量影响最大。</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①施工期的扬尘</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w:t>
      </w: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施工场界</w:t>
      </w:r>
      <w:r>
        <w:rPr>
          <w:rFonts w:hint="default" w:ascii="Times New Roman" w:hAnsi="Times New Roman" w:eastAsia="宋体" w:cs="Times New Roman"/>
          <w:caps w:val="0"/>
          <w:smallCaps w:val="0"/>
          <w:color w:val="auto"/>
          <w:spacing w:val="0"/>
          <w:w w:val="100"/>
          <w:kern w:val="0"/>
          <w:sz w:val="24"/>
          <w:szCs w:val="24"/>
          <w:highlight w:val="none"/>
          <w:lang w:val="en-US" w:eastAsia="zh-CN"/>
        </w:rPr>
        <w:t>下风向边界处的扬尘浓度可能较高。无风时土方作业产尘量不大，主要是运输、卸车、碾压时的产尘量。</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在建设过程中将进行土方开挖等施工活动，土方填埋形成裸露土面将会产生部分扬尘，施工作业等也将产生粉尘。另外，施工运输车辆在道路上运送材料也会引起较大的扬尘。扬尘中的TSP和PM10对环境影响较大。</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期的扬尘主要为无组织排放，其中大部分扬尘颗粒粒径较大的形成降尘，少部分粒径较小的形成飘尘。施工现场尘排放量较大，对环境的影响除与排放量有关外，还与空气湿度、风速、风向等气象条件有关。扬尘施工影响主要集中在</w:t>
      </w:r>
      <w:r>
        <w:rPr>
          <w:rFonts w:hint="eastAsia" w:ascii="Times New Roman" w:hAnsi="Times New Roman" w:eastAsia="宋体" w:cs="Times New Roman"/>
          <w:caps w:val="0"/>
          <w:smallCaps w:val="0"/>
          <w:color w:val="auto"/>
          <w:spacing w:val="0"/>
          <w:w w:val="100"/>
          <w:kern w:val="0"/>
          <w:sz w:val="24"/>
          <w:szCs w:val="24"/>
          <w:highlight w:val="none"/>
          <w:lang w:val="en-US" w:eastAsia="zh-CN"/>
        </w:rPr>
        <w:t>土方</w:t>
      </w:r>
      <w:r>
        <w:rPr>
          <w:rFonts w:hint="default" w:ascii="Times New Roman" w:hAnsi="Times New Roman" w:eastAsia="宋体" w:cs="Times New Roman"/>
          <w:caps w:val="0"/>
          <w:smallCaps w:val="0"/>
          <w:color w:val="auto"/>
          <w:spacing w:val="0"/>
          <w:w w:val="100"/>
          <w:kern w:val="0"/>
          <w:sz w:val="24"/>
          <w:szCs w:val="24"/>
          <w:highlight w:val="none"/>
          <w:lang w:val="en-US" w:eastAsia="zh-CN"/>
        </w:rPr>
        <w:t>临时堆场及临时施工区100~150m范围内。</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根据同类工程类比浓度较高的地点是场地平整过程中的土料装卸过程(约20mg/m3~50mg/m3)。施工及运输车辆引起的扬尘对路边30m范围以内影响较大，路边TSP浓度可达10mg/m3以上。</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w:t>
      </w:r>
      <w:r>
        <w:rPr>
          <w:rFonts w:hint="default" w:ascii="Times New Roman" w:hAnsi="Times New Roman" w:eastAsia="宋体" w:cs="Times New Roman"/>
          <w:caps w:val="0"/>
          <w:smallCaps w:val="0"/>
          <w:color w:val="auto"/>
          <w:spacing w:val="0"/>
          <w:w w:val="100"/>
          <w:kern w:val="0"/>
          <w:sz w:val="24"/>
          <w:szCs w:val="24"/>
          <w:highlight w:val="none"/>
          <w:lang w:val="en-US" w:eastAsia="zh-CN"/>
        </w:rPr>
        <w:t>机械废气、车辆尾气</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施工中施工机械运行产生的废气、运输车辆运输产生的尾气均是动力燃料柴油和汽油燃烧后所产生，为影响空气环境的主要污染物之一，主要成分是烯烃类、CO、NOx等，但产生量不大，影响范围不大。</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废水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施工期废水主要为</w:t>
      </w:r>
      <w:r>
        <w:rPr>
          <w:rFonts w:hint="default" w:ascii="Times New Roman" w:hAnsi="Times New Roman" w:eastAsia="宋体" w:cs="Times New Roman"/>
          <w:caps w:val="0"/>
          <w:smallCaps w:val="0"/>
          <w:color w:val="auto"/>
          <w:spacing w:val="0"/>
          <w:w w:val="100"/>
          <w:kern w:val="0"/>
          <w:sz w:val="24"/>
          <w:szCs w:val="24"/>
          <w:highlight w:val="none"/>
          <w:lang w:val="en-US" w:eastAsia="zh-CN"/>
        </w:rPr>
        <w:t>雨天施工产生的含泥沙雨水</w:t>
      </w:r>
      <w:r>
        <w:rPr>
          <w:rFonts w:hint="eastAsia" w:ascii="Times New Roman" w:hAnsi="Times New Roman" w:eastAsia="宋体" w:cs="Times New Roman"/>
          <w:caps w:val="0"/>
          <w:smallCaps w:val="0"/>
          <w:color w:val="auto"/>
          <w:spacing w:val="0"/>
          <w:w w:val="100"/>
          <w:kern w:val="0"/>
          <w:sz w:val="24"/>
          <w:szCs w:val="24"/>
          <w:highlight w:val="none"/>
          <w:lang w:val="en-US" w:eastAsia="zh-CN"/>
        </w:rPr>
        <w:t>、河塘积水、底泥出水</w:t>
      </w:r>
      <w:r>
        <w:rPr>
          <w:rFonts w:hint="default" w:ascii="Times New Roman" w:hAnsi="Times New Roman" w:eastAsia="宋体" w:cs="Times New Roman"/>
          <w:caps w:val="0"/>
          <w:smallCaps w:val="0"/>
          <w:color w:val="auto"/>
          <w:spacing w:val="0"/>
          <w:w w:val="100"/>
          <w:kern w:val="0"/>
          <w:sz w:val="24"/>
          <w:szCs w:val="24"/>
          <w:highlight w:val="none"/>
          <w:lang w:val="en-US" w:eastAsia="zh-CN"/>
        </w:rPr>
        <w:t>及生活污水。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①含泥沙雨水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雨水地表径流与施工期间天气状况有较大的关系，难以定量分析。雨季雨水径流含有大量泥沙，直接外排会使周围水体的悬浮物含量增加，每个施工场地最低处设置临时沉淀池，沉淀后的雨水可回用于场地泼洒抑尘。</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w:t>
      </w:r>
      <w:r>
        <w:rPr>
          <w:rFonts w:hint="eastAsia" w:ascii="Times New Roman" w:hAnsi="Times New Roman" w:eastAsia="宋体" w:cs="Times New Roman"/>
          <w:caps w:val="0"/>
          <w:smallCaps w:val="0"/>
          <w:color w:val="auto"/>
          <w:spacing w:val="0"/>
          <w:w w:val="100"/>
          <w:kern w:val="0"/>
          <w:sz w:val="24"/>
          <w:szCs w:val="24"/>
          <w:highlight w:val="none"/>
          <w:lang w:val="en-US" w:eastAsia="zh-CN"/>
        </w:rPr>
        <w:t>河塘积水及底泥出水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本项目位于安肇新河河岸左侧的处，原位低洼地带形成的河塘，利用抽水泵转移至沉淀池内，在泥晾晒场周围设置临时排水管道，将底泥出水引至临时沉淀池进行沉淀，经沉淀后用于施工区域抑尘，不外排。</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w:t>
      </w:r>
      <w:r>
        <w:rPr>
          <w:rFonts w:hint="eastAsia" w:ascii="Times New Roman" w:hAnsi="Times New Roman" w:eastAsia="宋体" w:cs="Times New Roman"/>
          <w:caps w:val="0"/>
          <w:smallCaps w:val="0"/>
          <w:color w:val="auto"/>
          <w:spacing w:val="0"/>
          <w:w w:val="100"/>
          <w:kern w:val="0"/>
          <w:sz w:val="24"/>
          <w:szCs w:val="24"/>
          <w:highlight w:val="none"/>
          <w:lang w:val="en-US" w:eastAsia="zh-CN"/>
        </w:rPr>
        <w:t>生活污水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项目施工期间产生的员工生活污水排入移动环保旱厕内，定期清掏，外运堆肥。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（3）噪声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施工过程中需要使用许多施工机械和运输车辆，这些设备的噪声对工程区附近居民会产生一定程度的不利影响。距离本项施工场界最近村屯为新立屯，位于进场道路南侧，相对距离为277m。</w:t>
      </w:r>
    </w:p>
    <w:p>
      <w:pPr>
        <w:numPr>
          <w:ilvl w:val="0"/>
          <w:numId w:val="0"/>
        </w:numPr>
        <w:spacing w:before="2" w:line="385" w:lineRule="auto"/>
        <w:ind w:right="70" w:rightChars="0"/>
        <w:jc w:val="center"/>
        <w:rPr>
          <w:rFonts w:hint="eastAsia" w:ascii="Times New Roman" w:hAnsi="Times New Roman" w:eastAsia="宋体" w:cs="Times New Roman"/>
          <w:b/>
          <w:bCs/>
          <w:color w:val="auto"/>
          <w:spacing w:val="24"/>
          <w:sz w:val="24"/>
          <w:szCs w:val="24"/>
          <w:highlight w:val="none"/>
          <w:lang w:val="en-US" w:eastAsia="zh-CN"/>
        </w:rPr>
      </w:pPr>
      <w:r>
        <w:rPr>
          <w:rFonts w:hint="eastAsia" w:ascii="Times New Roman" w:hAnsi="Times New Roman" w:eastAsia="宋体" w:cs="Times New Roman"/>
          <w:b/>
          <w:bCs/>
          <w:color w:val="auto"/>
          <w:spacing w:val="24"/>
          <w:sz w:val="24"/>
          <w:szCs w:val="24"/>
          <w:highlight w:val="none"/>
          <w:lang w:val="en-US" w:eastAsia="zh-CN"/>
        </w:rPr>
        <w:t>表3.6-1 不同距离下施工机械的噪声影响 单位：LAeq</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838"/>
        <w:gridCol w:w="2839"/>
        <w:gridCol w:w="28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机械类型</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数量</w:t>
            </w:r>
            <w:r>
              <w:rPr>
                <w:rFonts w:hint="eastAsia" w:ascii="Times New Roman" w:hAnsi="Times New Roman" w:cs="Times New Roman"/>
                <w:smallCaps w:val="0"/>
                <w:color w:val="auto"/>
                <w:spacing w:val="0"/>
                <w:w w:val="100"/>
                <w:sz w:val="21"/>
                <w:szCs w:val="21"/>
                <w:highlight w:val="none"/>
                <w:lang w:eastAsia="zh-CN"/>
              </w:rPr>
              <w:t>（</w:t>
            </w:r>
            <w:r>
              <w:rPr>
                <w:rFonts w:ascii="Times New Roman" w:hAnsi="Times New Roman" w:cs="Times New Roman"/>
                <w:smallCaps w:val="0"/>
                <w:color w:val="auto"/>
                <w:spacing w:val="0"/>
                <w:w w:val="100"/>
                <w:sz w:val="21"/>
                <w:szCs w:val="21"/>
                <w:highlight w:val="none"/>
              </w:rPr>
              <w:t>台</w:t>
            </w:r>
            <w:r>
              <w:rPr>
                <w:rFonts w:hint="eastAsia" w:ascii="Times New Roman" w:hAnsi="Times New Roman" w:cs="Times New Roman"/>
                <w:smallCaps w:val="0"/>
                <w:color w:val="auto"/>
                <w:spacing w:val="0"/>
                <w:w w:val="100"/>
                <w:sz w:val="21"/>
                <w:szCs w:val="21"/>
                <w:highlight w:val="none"/>
                <w:lang w:eastAsia="zh-CN"/>
              </w:rPr>
              <w:t>）</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源强dB</w:t>
            </w:r>
            <w:r>
              <w:rPr>
                <w:rFonts w:hint="eastAsia" w:ascii="Times New Roman" w:hAnsi="Times New Roman" w:cs="Times New Roman"/>
                <w:smallCaps w:val="0"/>
                <w:color w:val="auto"/>
                <w:spacing w:val="0"/>
                <w:w w:val="100"/>
                <w:sz w:val="21"/>
                <w:szCs w:val="21"/>
                <w:highlight w:val="none"/>
                <w:lang w:eastAsia="zh-CN"/>
              </w:rPr>
              <w:t>（</w:t>
            </w:r>
            <w:r>
              <w:rPr>
                <w:rFonts w:hint="eastAsia" w:ascii="Times New Roman" w:hAnsi="Times New Roman" w:cs="Times New Roman"/>
                <w:smallCaps w:val="0"/>
                <w:color w:val="auto"/>
                <w:spacing w:val="0"/>
                <w:w w:val="100"/>
                <w:sz w:val="21"/>
                <w:szCs w:val="21"/>
                <w:highlight w:val="none"/>
                <w:lang w:val="en-US" w:eastAsia="zh-CN"/>
              </w:rPr>
              <w:t>A</w:t>
            </w:r>
            <w:r>
              <w:rPr>
                <w:rFonts w:hint="eastAsia" w:ascii="Times New Roman" w:hAnsi="Times New Roman" w:cs="Times New Roman"/>
                <w:smallCaps w:val="0"/>
                <w:color w:val="auto"/>
                <w:spacing w:val="0"/>
                <w:w w:val="100"/>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挖掘机</w:t>
            </w:r>
          </w:p>
        </w:tc>
        <w:tc>
          <w:tcPr>
            <w:tcW w:w="2839" w:type="dxa"/>
            <w:tcBorders>
              <w:tl2br w:val="nil"/>
              <w:tr2bl w:val="nil"/>
            </w:tcBorders>
            <w:vAlign w:val="top"/>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15</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92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推土机</w:t>
            </w:r>
          </w:p>
        </w:tc>
        <w:tc>
          <w:tcPr>
            <w:tcW w:w="2839" w:type="dxa"/>
            <w:tcBorders>
              <w:tl2br w:val="nil"/>
              <w:tr2bl w:val="nil"/>
            </w:tcBorders>
            <w:vAlign w:val="top"/>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0" w:hRule="atLeast"/>
        </w:trPr>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压路机</w:t>
            </w:r>
          </w:p>
        </w:tc>
        <w:tc>
          <w:tcPr>
            <w:tcW w:w="2839" w:type="dxa"/>
            <w:tcBorders>
              <w:tl2br w:val="nil"/>
              <w:tr2bl w:val="nil"/>
            </w:tcBorders>
            <w:vAlign w:val="top"/>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装载机</w:t>
            </w:r>
          </w:p>
        </w:tc>
        <w:tc>
          <w:tcPr>
            <w:tcW w:w="2839" w:type="dxa"/>
            <w:tcBorders>
              <w:tl2br w:val="nil"/>
              <w:tr2bl w:val="nil"/>
            </w:tcBorders>
            <w:vAlign w:val="top"/>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20</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运输车</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10</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四不像</w:t>
            </w:r>
          </w:p>
        </w:tc>
        <w:tc>
          <w:tcPr>
            <w:tcW w:w="2839" w:type="dxa"/>
            <w:tcBorders>
              <w:tl2br w:val="nil"/>
              <w:tr2bl w:val="nil"/>
            </w:tcBorders>
            <w:vAlign w:val="top"/>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10</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汽车起重机</w:t>
            </w:r>
          </w:p>
        </w:tc>
        <w:tc>
          <w:tcPr>
            <w:tcW w:w="2839" w:type="dxa"/>
            <w:tcBorders>
              <w:tl2br w:val="nil"/>
              <w:tr2bl w:val="nil"/>
            </w:tcBorders>
            <w:vAlign w:val="top"/>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86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柴油发电机</w:t>
            </w:r>
          </w:p>
        </w:tc>
        <w:tc>
          <w:tcPr>
            <w:tcW w:w="2839" w:type="dxa"/>
            <w:tcBorders>
              <w:tl2br w:val="nil"/>
              <w:tr2bl w:val="nil"/>
            </w:tcBorders>
            <w:vAlign w:val="top"/>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水泵</w:t>
            </w:r>
          </w:p>
        </w:tc>
        <w:tc>
          <w:tcPr>
            <w:tcW w:w="2839" w:type="dxa"/>
            <w:tcBorders>
              <w:tl2br w:val="nil"/>
              <w:tr2bl w:val="nil"/>
            </w:tcBorders>
            <w:vAlign w:val="top"/>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20</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砂浆搅拌机</w:t>
            </w:r>
          </w:p>
        </w:tc>
        <w:tc>
          <w:tcPr>
            <w:tcW w:w="2839" w:type="dxa"/>
            <w:tcBorders>
              <w:tl2br w:val="nil"/>
              <w:tr2bl w:val="nil"/>
            </w:tcBorders>
            <w:vAlign w:val="top"/>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10</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砼运输车</w:t>
            </w:r>
          </w:p>
        </w:tc>
        <w:tc>
          <w:tcPr>
            <w:tcW w:w="2839" w:type="dxa"/>
            <w:tcBorders>
              <w:tl2br w:val="nil"/>
              <w:tr2bl w:val="nil"/>
            </w:tcBorders>
            <w:vAlign w:val="top"/>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插入式振动器</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8</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86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钢筋切割机</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4</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钢筋弯曲机</w:t>
            </w:r>
          </w:p>
        </w:tc>
        <w:tc>
          <w:tcPr>
            <w:tcW w:w="2839" w:type="dxa"/>
            <w:tcBorders>
              <w:tl2br w:val="nil"/>
              <w:tr2bl w:val="nil"/>
            </w:tcBorders>
            <w:vAlign w:val="top"/>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钢筋调直机</w:t>
            </w:r>
          </w:p>
        </w:tc>
        <w:tc>
          <w:tcPr>
            <w:tcW w:w="2839" w:type="dxa"/>
            <w:tcBorders>
              <w:tl2br w:val="nil"/>
              <w:tr2bl w:val="nil"/>
            </w:tcBorders>
            <w:vAlign w:val="top"/>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w:t>
            </w:r>
          </w:p>
        </w:tc>
        <w:tc>
          <w:tcPr>
            <w:tcW w:w="2839"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95</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尽管施工期噪声会对附近村屯产生一定影响，但相对距离较远，施工噪声随距离衰减，同时采取合理安排施工布局，施工时间，施工作业区设置挡板，调节设备工况，使其高效正常运行，可降低施工噪声对周围环境的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施工结束后，施工噪声的影响随施工结束而消失。可被周围环境所接受。</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（4）固体废物</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本项目施工期产生的固体废物主要为生活垃圾及建筑垃圾。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根据设计资料，本项目需外购土进行湿地填土建设，河塘底泥经简单晾晒后，可进行湿地建设，施工期间无弃土产生。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①生活垃圾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项目计划施工期420天，其中10人工作420天，50人工作270天，生活垃圾人均排放系数取0.50kg/d人，则生活垃圾产生量为8.85t，统一收集，拉运至村屯垃圾暂存点，等待集中拉运处置。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②建筑垃圾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施工阶段产生的建筑垃圾，包括砂石、水泥等，建筑垃圾应当分类集中堆存，统一收集后拉到县区有关部门要求的地方进行处置。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施工过程中机械设备不在施工场地内维修，在项目附近的检修点进行检修维护。因此本项目不产生危险废物。</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（5）生态影响分析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项目施工期不可避免对项目周边植被、临时施工道路的土壤造成一定影响，但随着施工期结束所有不利影响将随之消失，周边环境质量及景观也将得到进一步美观。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因此，在施工期为了防止项目建设对周边生态环境造成严重破坏，施工过程应严格采取围挡措施，做好施工区域的环境保护工作，对施工区域外的植物、树木尽量维持原状，防止由于工程施工造成施工区附近地区的环境污染、加强开挖边坡治理防止冲刷和水土流失。积极开展尘、毒、噪音治理，合理排放废渣、生活污水和施工废水，最大限度地减少施工活动给周围环境造成的不利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项目推行标准工地建设，按照“安全文明标准化诚信工地”创建标准，统一规划场地整体布置，合理安排办公区、生活区、生产区等布设。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（6）景观影响分析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本项目施工不破坏安肇新河干渠原有景观，不会造成水量、流速、径流、水位等水文要素的变化。</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项目在干渠岸边新建进水口及出水口，采取八字口结构，减少水力阻力的影响，尽量减少运行期间对河道水量及流向。</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项目建设完全后，将改变干渠左岸原有的景观，将原有天然河塘及荒草地转变为人工湿地，增加区域陆生物种多样性及改善水生环境，为区域生态景观起到改善作用。</w:t>
      </w:r>
    </w:p>
    <w:p>
      <w:pPr>
        <w:numPr>
          <w:ilvl w:val="0"/>
          <w:numId w:val="0"/>
        </w:numPr>
        <w:spacing w:before="2" w:line="385" w:lineRule="auto"/>
        <w:ind w:right="70" w:rightChars="0" w:firstLine="578" w:firstLineChars="200"/>
        <w:jc w:val="center"/>
        <w:rPr>
          <w:rFonts w:hint="eastAsia" w:ascii="Times New Roman" w:hAnsi="Times New Roman" w:eastAsia="宋体" w:cs="Times New Roman"/>
          <w:b/>
          <w:bCs/>
          <w:color w:val="auto"/>
          <w:spacing w:val="24"/>
          <w:sz w:val="24"/>
          <w:szCs w:val="24"/>
          <w:highlight w:val="none"/>
          <w:lang w:val="en-US" w:eastAsia="zh-CN"/>
        </w:rPr>
      </w:pPr>
      <w:r>
        <w:rPr>
          <w:rFonts w:hint="eastAsia" w:ascii="Times New Roman" w:hAnsi="Times New Roman" w:eastAsia="宋体" w:cs="Times New Roman"/>
          <w:b/>
          <w:bCs/>
          <w:color w:val="auto"/>
          <w:spacing w:val="24"/>
          <w:sz w:val="24"/>
          <w:szCs w:val="24"/>
          <w:highlight w:val="none"/>
          <w:lang w:val="en-US" w:eastAsia="zh-CN"/>
        </w:rPr>
        <w:t>表3.6-2施工期污染源一览表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895"/>
        <w:gridCol w:w="1211"/>
        <w:gridCol w:w="1292"/>
        <w:gridCol w:w="1200"/>
        <w:gridCol w:w="2839"/>
        <w:gridCol w:w="107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21" w:hRule="atLeast"/>
        </w:trPr>
        <w:tc>
          <w:tcPr>
            <w:tcW w:w="2106"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排放源</w:t>
            </w:r>
          </w:p>
        </w:tc>
        <w:tc>
          <w:tcPr>
            <w:tcW w:w="12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污染工序</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污染因子</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防治设施、措施</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排放特征</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9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废气</w:t>
            </w:r>
          </w:p>
        </w:tc>
        <w:tc>
          <w:tcPr>
            <w:tcW w:w="12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施工扬尘</w:t>
            </w:r>
          </w:p>
        </w:tc>
        <w:tc>
          <w:tcPr>
            <w:tcW w:w="12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基底开挖、清理、回填土方等</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PM</w:t>
            </w:r>
            <w:r>
              <w:rPr>
                <w:rFonts w:hint="eastAsia" w:ascii="Times New Roman" w:hAnsi="Times New Roman" w:cs="Times New Roman"/>
                <w:color w:val="auto"/>
                <w:sz w:val="21"/>
                <w:szCs w:val="21"/>
                <w:highlight w:val="none"/>
                <w:vertAlign w:val="subscript"/>
                <w:lang w:val="en-US" w:eastAsia="zh-CN"/>
              </w:rPr>
              <w:t>10</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施工区域、土方临时堆放场及底泥晾晒场周围设置围挡，土方临时堆放场及运输车辆顶部加盖苫布，施工场地定期洒水抑尘。</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间歇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2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施工机械尾气</w:t>
            </w:r>
          </w:p>
        </w:tc>
        <w:tc>
          <w:tcPr>
            <w:tcW w:w="12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CO、NO</w:t>
            </w:r>
            <w:r>
              <w:rPr>
                <w:rFonts w:hint="eastAsia" w:ascii="Times New Roman" w:hAnsi="Times New Roman" w:cs="Times New Roman"/>
                <w:color w:val="auto"/>
                <w:sz w:val="21"/>
                <w:szCs w:val="21"/>
                <w:highlight w:val="none"/>
                <w:vertAlign w:val="subscript"/>
                <w:lang w:val="en-US" w:eastAsia="zh-CN"/>
              </w:rPr>
              <w:t>X</w:t>
            </w:r>
            <w:r>
              <w:rPr>
                <w:rFonts w:hint="eastAsia" w:ascii="Times New Roman" w:hAnsi="Times New Roman" w:cs="Times New Roman"/>
                <w:color w:val="auto"/>
                <w:sz w:val="21"/>
                <w:szCs w:val="21"/>
                <w:highlight w:val="none"/>
                <w:vertAlign w:val="baseline"/>
                <w:lang w:val="en-US" w:eastAsia="zh-CN"/>
              </w:rPr>
              <w:t>等</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空气扩散</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间歇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9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废水</w:t>
            </w:r>
          </w:p>
        </w:tc>
        <w:tc>
          <w:tcPr>
            <w:tcW w:w="12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含泥沙</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雨水</w:t>
            </w:r>
          </w:p>
        </w:tc>
        <w:tc>
          <w:tcPr>
            <w:tcW w:w="12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雨季施工</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SS</w:t>
            </w:r>
          </w:p>
        </w:tc>
        <w:tc>
          <w:tcPr>
            <w:tcW w:w="2839"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经临时沉淀池进行沉淀后，用于厂区洒水抑尘</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间歇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2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河塘内</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积水</w:t>
            </w:r>
          </w:p>
        </w:tc>
        <w:tc>
          <w:tcPr>
            <w:tcW w:w="1292"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场地清理</w:t>
            </w:r>
          </w:p>
        </w:tc>
        <w:tc>
          <w:tcPr>
            <w:tcW w:w="1200"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SS</w:t>
            </w:r>
          </w:p>
        </w:tc>
        <w:tc>
          <w:tcPr>
            <w:tcW w:w="2839"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间歇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2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底泥出水</w:t>
            </w:r>
          </w:p>
        </w:tc>
        <w:tc>
          <w:tcPr>
            <w:tcW w:w="129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200"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p>
        </w:tc>
        <w:tc>
          <w:tcPr>
            <w:tcW w:w="2839"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间歇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2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生活污水</w:t>
            </w:r>
          </w:p>
        </w:tc>
        <w:tc>
          <w:tcPr>
            <w:tcW w:w="12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施工人员生活</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COD、氨氮、TP、TN</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排入移动环保旱厕内，定期清掏，外运堆肥</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间歇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噪声</w:t>
            </w:r>
          </w:p>
        </w:tc>
        <w:tc>
          <w:tcPr>
            <w:tcW w:w="12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施工机械、运输车辆噪声</w:t>
            </w:r>
          </w:p>
        </w:tc>
        <w:tc>
          <w:tcPr>
            <w:tcW w:w="12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场地施工/材料运输</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ascii="Times New Roman" w:hAnsi="Times New Roman" w:eastAsia="Times New Roman" w:cs="Times New Roman"/>
                <w:color w:val="auto"/>
                <w:spacing w:val="4"/>
                <w:sz w:val="20"/>
                <w:szCs w:val="20"/>
                <w:highlight w:val="none"/>
              </w:rPr>
              <w:t>L</w:t>
            </w:r>
            <w:r>
              <w:rPr>
                <w:rFonts w:ascii="Times New Roman" w:hAnsi="Times New Roman" w:eastAsia="Times New Roman" w:cs="Times New Roman"/>
                <w:color w:val="auto"/>
                <w:spacing w:val="3"/>
                <w:sz w:val="20"/>
                <w:szCs w:val="20"/>
                <w:highlight w:val="none"/>
              </w:rPr>
              <w:t>eq</w:t>
            </w:r>
          </w:p>
        </w:tc>
        <w:tc>
          <w:tcPr>
            <w:tcW w:w="2839"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施工现场合理布局，选用低噪音设备，合理安排施工时间，定期对设备进行检修及维护</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间歇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9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固废</w:t>
            </w:r>
          </w:p>
        </w:tc>
        <w:tc>
          <w:tcPr>
            <w:tcW w:w="12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建筑垃圾</w:t>
            </w:r>
          </w:p>
        </w:tc>
        <w:tc>
          <w:tcPr>
            <w:tcW w:w="12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场地施工</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砂石、水泥等</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统一收集后拉到县区有关部门要求的地方进行处置</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间歇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9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21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生活垃圾</w:t>
            </w:r>
          </w:p>
        </w:tc>
        <w:tc>
          <w:tcPr>
            <w:tcW w:w="129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施工人员生活</w:t>
            </w:r>
          </w:p>
        </w:tc>
        <w:tc>
          <w:tcPr>
            <w:tcW w:w="12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生活垃圾</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统一收集，拉运至村屯垃圾暂存点，等待集中拉运处置</w:t>
            </w:r>
          </w:p>
        </w:tc>
        <w:tc>
          <w:tcPr>
            <w:tcW w:w="107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间歇</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3.6.2运营期污染源分析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（1）废气</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项目建成后，湿地陆生绿植及水生植物进行光合作用，进行光合作用，有效地净化空气，改善周边空气，提高周边空气质量。</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项目运行期间产生的废气主要为供暖期锅炉烟气及食堂油烟。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锅炉房供暖期间使用生物质作为燃料，将产生锅炉燃烧烟气，为有组织排放，经袋式除尘器除尘后，通过1根20m排气筒排放。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食堂油烟经集气罩收集后，通过油烟净化器净化，通过专用烟道，高于屋顶排放。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①锅炉烟气</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新建1座92kw的热水锅炉，使用生物质作为燃料，为综合楼供暖，锅炉年运行180天，4320h。根据企业提供资料，供暖期用生物质燃料80t/a，根据《排放源统计调查产排污核算方法和系数手册》，生物质燃料含硫量以0.04%计。烟气产生量为499200m3/a，颗粒物产生量0.04t/a，二氧化硫产生量0.054t/a，氮氧化物产生量0.082t/a。</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配套袋式除尘器，燃烧烟气经引风机进入烟道直接除尘器处理，处理后烟气经1根20m高排气筒排放。袋式除尘器除尘效率为99%。</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②食堂油烟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项目拟设一个职工食堂，设2个灶头，单个灶头排风量以2000m3/h计，食堂日工作时间约为7h，年运营365天。为职工提供一日三餐，每餐需供10人用餐。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根据类比调查，食堂人均食用油用量按30g/人·餐计，则项目职工食堂年耗油量为0.329t/a。一般油烟挥发量占总耗油量的2～4%，本次以3%计，则油烟产生量为9.86kg/a。</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食堂配套安装集气罩及油烟净化器；油烟经集气罩收集后，经油烟净化器处置后，通过专用烟道高于屋顶排放。集气罩收集效率为90%，油烟净化器净化效率为75%。项目运行期间废气排放情况见下表。</w:t>
      </w:r>
    </w:p>
    <w:p>
      <w:pPr>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br w:type="page"/>
      </w:r>
    </w:p>
    <w:p>
      <w:pPr>
        <w:rPr>
          <w:rFonts w:hint="eastAsia"/>
          <w:color w:val="auto"/>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jc w:val="center"/>
        <w:rPr>
          <w:rFonts w:hint="default"/>
          <w:color w:val="auto"/>
          <w:highlight w:val="none"/>
          <w:lang w:val="en-US" w:eastAsia="zh-CN"/>
        </w:rPr>
      </w:pPr>
      <w:r>
        <w:rPr>
          <w:rFonts w:hint="eastAsia"/>
          <w:color w:val="auto"/>
          <w:highlight w:val="none"/>
          <w:lang w:val="en-US" w:eastAsia="zh-CN"/>
        </w:rPr>
        <w:t>表</w:t>
      </w:r>
      <w:r>
        <w:rPr>
          <w:rFonts w:hint="eastAsia" w:ascii="Times New Roman" w:hAnsi="Times New Roman" w:eastAsia="宋体" w:cs="Times New Roman"/>
          <w:b/>
          <w:bCs/>
          <w:color w:val="auto"/>
          <w:spacing w:val="24"/>
          <w:sz w:val="24"/>
          <w:szCs w:val="24"/>
          <w:highlight w:val="none"/>
          <w:lang w:val="en-US" w:eastAsia="zh-CN"/>
        </w:rPr>
        <w:t>3.6-3 项目废气排放情况</w:t>
      </w:r>
    </w:p>
    <w:tbl>
      <w:tblPr>
        <w:tblStyle w:val="13"/>
        <w:tblW w:w="499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34"/>
        <w:gridCol w:w="884"/>
        <w:gridCol w:w="1287"/>
        <w:gridCol w:w="1301"/>
        <w:gridCol w:w="1156"/>
        <w:gridCol w:w="1193"/>
        <w:gridCol w:w="1199"/>
        <w:gridCol w:w="1057"/>
        <w:gridCol w:w="1400"/>
        <w:gridCol w:w="1156"/>
        <w:gridCol w:w="1165"/>
        <w:gridCol w:w="143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30" w:type="pct"/>
            <w:vMerge w:val="restar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产污环节</w:t>
            </w:r>
          </w:p>
        </w:tc>
        <w:tc>
          <w:tcPr>
            <w:tcW w:w="766" w:type="pct"/>
            <w:gridSpan w:val="2"/>
            <w:vMerge w:val="restart"/>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污染物</w:t>
            </w:r>
          </w:p>
        </w:tc>
        <w:tc>
          <w:tcPr>
            <w:tcW w:w="1288" w:type="pct"/>
            <w:gridSpan w:val="3"/>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产生情况</w:t>
            </w:r>
          </w:p>
        </w:tc>
        <w:tc>
          <w:tcPr>
            <w:tcW w:w="423" w:type="pct"/>
            <w:vMerge w:val="restar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治理措施</w:t>
            </w:r>
          </w:p>
        </w:tc>
        <w:tc>
          <w:tcPr>
            <w:tcW w:w="373" w:type="pct"/>
            <w:vMerge w:val="restar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处理效率（%）</w:t>
            </w:r>
          </w:p>
        </w:tc>
        <w:tc>
          <w:tcPr>
            <w:tcW w:w="1313" w:type="pct"/>
            <w:gridSpan w:val="3"/>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排放情况</w:t>
            </w:r>
          </w:p>
        </w:tc>
        <w:tc>
          <w:tcPr>
            <w:tcW w:w="505" w:type="pct"/>
            <w:vMerge w:val="restar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排放限值mg/m3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330" w:type="pct"/>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766" w:type="pct"/>
            <w:gridSpan w:val="2"/>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459"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产生浓度mg/m</w:t>
            </w:r>
            <w:r>
              <w:rPr>
                <w:rFonts w:hint="eastAsia" w:ascii="Times New Roman" w:hAnsi="Times New Roman" w:eastAsia="宋体" w:cs="Times New Roman"/>
                <w:color w:val="auto"/>
                <w:szCs w:val="21"/>
                <w:highlight w:val="none"/>
                <w:vertAlign w:val="superscript"/>
                <w:lang w:val="en-US" w:eastAsia="zh-CN"/>
              </w:rPr>
              <w:t>3</w:t>
            </w:r>
          </w:p>
        </w:tc>
        <w:tc>
          <w:tcPr>
            <w:tcW w:w="408"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产生速率kg/h</w:t>
            </w:r>
          </w:p>
        </w:tc>
        <w:tc>
          <w:tcPr>
            <w:tcW w:w="420"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产生量t/a</w:t>
            </w:r>
          </w:p>
        </w:tc>
        <w:tc>
          <w:tcPr>
            <w:tcW w:w="423" w:type="pct"/>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373" w:type="pct"/>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494" w:type="pct"/>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排放浓度mg/m3</w:t>
            </w:r>
          </w:p>
        </w:tc>
        <w:tc>
          <w:tcPr>
            <w:tcW w:w="408" w:type="pct"/>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排放速率kg/h</w:t>
            </w:r>
          </w:p>
        </w:tc>
        <w:tc>
          <w:tcPr>
            <w:tcW w:w="411" w:type="pct"/>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排放量t/a</w:t>
            </w:r>
          </w:p>
        </w:tc>
        <w:tc>
          <w:tcPr>
            <w:tcW w:w="505" w:type="pct"/>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0" w:type="pct"/>
            <w:vMerge w:val="restar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锅炉</w:t>
            </w:r>
          </w:p>
        </w:tc>
        <w:tc>
          <w:tcPr>
            <w:tcW w:w="312" w:type="pct"/>
            <w:vMerge w:val="restart"/>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锅炉</w:t>
            </w:r>
          </w:p>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烟气</w:t>
            </w:r>
          </w:p>
        </w:tc>
        <w:tc>
          <w:tcPr>
            <w:tcW w:w="454" w:type="pct"/>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颗粒物</w:t>
            </w:r>
          </w:p>
        </w:tc>
        <w:tc>
          <w:tcPr>
            <w:tcW w:w="459"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80</w:t>
            </w:r>
          </w:p>
        </w:tc>
        <w:tc>
          <w:tcPr>
            <w:tcW w:w="408"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0.009</w:t>
            </w:r>
          </w:p>
        </w:tc>
        <w:tc>
          <w:tcPr>
            <w:tcW w:w="420"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0.04</w:t>
            </w:r>
          </w:p>
        </w:tc>
        <w:tc>
          <w:tcPr>
            <w:tcW w:w="423" w:type="pct"/>
            <w:vMerge w:val="restar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袋式除尘器</w:t>
            </w:r>
          </w:p>
        </w:tc>
        <w:tc>
          <w:tcPr>
            <w:tcW w:w="373" w:type="pct"/>
            <w:vMerge w:val="restar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99</w:t>
            </w:r>
          </w:p>
        </w:tc>
        <w:tc>
          <w:tcPr>
            <w:tcW w:w="494"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0.85</w:t>
            </w:r>
          </w:p>
        </w:tc>
        <w:tc>
          <w:tcPr>
            <w:tcW w:w="408"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0.00001</w:t>
            </w:r>
          </w:p>
        </w:tc>
        <w:tc>
          <w:tcPr>
            <w:tcW w:w="411"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0.0004</w:t>
            </w:r>
          </w:p>
        </w:tc>
        <w:tc>
          <w:tcPr>
            <w:tcW w:w="505"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20" w:hRule="atLeast"/>
        </w:trPr>
        <w:tc>
          <w:tcPr>
            <w:tcW w:w="330" w:type="pct"/>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312" w:type="pct"/>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454" w:type="pct"/>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二氧化硫</w:t>
            </w:r>
          </w:p>
        </w:tc>
        <w:tc>
          <w:tcPr>
            <w:tcW w:w="459"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109</w:t>
            </w:r>
          </w:p>
        </w:tc>
        <w:tc>
          <w:tcPr>
            <w:tcW w:w="408"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0.0125</w:t>
            </w:r>
          </w:p>
        </w:tc>
        <w:tc>
          <w:tcPr>
            <w:tcW w:w="420"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0.054</w:t>
            </w:r>
          </w:p>
        </w:tc>
        <w:tc>
          <w:tcPr>
            <w:tcW w:w="423" w:type="pct"/>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373" w:type="pct"/>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494" w:type="pct"/>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109</w:t>
            </w:r>
          </w:p>
        </w:tc>
        <w:tc>
          <w:tcPr>
            <w:tcW w:w="1156" w:type="dxa"/>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0.0125</w:t>
            </w:r>
          </w:p>
        </w:tc>
        <w:tc>
          <w:tcPr>
            <w:tcW w:w="1165" w:type="dxa"/>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0.054</w:t>
            </w:r>
          </w:p>
        </w:tc>
        <w:tc>
          <w:tcPr>
            <w:tcW w:w="505"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0" w:type="pct"/>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312" w:type="pct"/>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454" w:type="pct"/>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氮氧化物</w:t>
            </w:r>
          </w:p>
        </w:tc>
        <w:tc>
          <w:tcPr>
            <w:tcW w:w="459"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163</w:t>
            </w:r>
          </w:p>
        </w:tc>
        <w:tc>
          <w:tcPr>
            <w:tcW w:w="408"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0.019</w:t>
            </w:r>
          </w:p>
        </w:tc>
        <w:tc>
          <w:tcPr>
            <w:tcW w:w="420"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0.082</w:t>
            </w:r>
          </w:p>
        </w:tc>
        <w:tc>
          <w:tcPr>
            <w:tcW w:w="423" w:type="pct"/>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373" w:type="pct"/>
            <w:vMerge w:val="continue"/>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p>
        </w:tc>
        <w:tc>
          <w:tcPr>
            <w:tcW w:w="494" w:type="pct"/>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163</w:t>
            </w:r>
          </w:p>
        </w:tc>
        <w:tc>
          <w:tcPr>
            <w:tcW w:w="1156" w:type="dxa"/>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0.019</w:t>
            </w:r>
          </w:p>
        </w:tc>
        <w:tc>
          <w:tcPr>
            <w:tcW w:w="1165" w:type="dxa"/>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0.082</w:t>
            </w:r>
          </w:p>
        </w:tc>
        <w:tc>
          <w:tcPr>
            <w:tcW w:w="505"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0"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食堂</w:t>
            </w:r>
          </w:p>
        </w:tc>
        <w:tc>
          <w:tcPr>
            <w:tcW w:w="766" w:type="pct"/>
            <w:gridSpan w:val="2"/>
            <w:tcBorders>
              <w:tl2br w:val="nil"/>
              <w:tr2bl w:val="nil"/>
            </w:tcBorders>
            <w:vAlign w:val="center"/>
          </w:tcPr>
          <w:p>
            <w:pPr>
              <w:spacing w:line="360" w:lineRule="exac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饮食业油烟</w:t>
            </w:r>
          </w:p>
        </w:tc>
        <w:tc>
          <w:tcPr>
            <w:tcW w:w="459"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1.93</w:t>
            </w:r>
          </w:p>
        </w:tc>
        <w:tc>
          <w:tcPr>
            <w:tcW w:w="408"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0.004</w:t>
            </w:r>
          </w:p>
        </w:tc>
        <w:tc>
          <w:tcPr>
            <w:tcW w:w="420"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0.00986</w:t>
            </w:r>
          </w:p>
        </w:tc>
        <w:tc>
          <w:tcPr>
            <w:tcW w:w="423"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集气罩+油烟净化器</w:t>
            </w:r>
          </w:p>
        </w:tc>
        <w:tc>
          <w:tcPr>
            <w:tcW w:w="373"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90+75</w:t>
            </w:r>
          </w:p>
        </w:tc>
        <w:tc>
          <w:tcPr>
            <w:tcW w:w="494"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0.43</w:t>
            </w:r>
          </w:p>
        </w:tc>
        <w:tc>
          <w:tcPr>
            <w:tcW w:w="408"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0.0009</w:t>
            </w:r>
          </w:p>
        </w:tc>
        <w:tc>
          <w:tcPr>
            <w:tcW w:w="411"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0.0022</w:t>
            </w:r>
          </w:p>
        </w:tc>
        <w:tc>
          <w:tcPr>
            <w:tcW w:w="505" w:type="pct"/>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2.0</w:t>
            </w:r>
          </w:p>
        </w:tc>
      </w:tr>
    </w:tbl>
    <w:p>
      <w:pPr>
        <w:rPr>
          <w:rFonts w:hint="eastAsia"/>
          <w:color w:val="auto"/>
          <w:highlight w:val="none"/>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color w:val="auto"/>
          <w:highlight w:val="none"/>
          <w:lang w:val="en-US" w:eastAsia="zh-CN"/>
        </w:rPr>
        <w:br w:type="page"/>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（2）废水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本项目属于</w:t>
      </w:r>
      <w:r>
        <w:rPr>
          <w:rFonts w:hint="default" w:ascii="Times New Roman" w:hAnsi="Times New Roman" w:eastAsia="宋体" w:cs="Times New Roman"/>
          <w:caps w:val="0"/>
          <w:smallCaps w:val="0"/>
          <w:color w:val="auto"/>
          <w:spacing w:val="0"/>
          <w:w w:val="100"/>
          <w:kern w:val="0"/>
          <w:sz w:val="24"/>
          <w:szCs w:val="24"/>
          <w:highlight w:val="none"/>
          <w:lang w:val="en-US" w:eastAsia="zh-CN"/>
        </w:rPr>
        <w:t>污水处理及其再生利用工程</w:t>
      </w:r>
      <w:r>
        <w:rPr>
          <w:rFonts w:hint="eastAsia" w:ascii="Times New Roman" w:hAnsi="Times New Roman" w:eastAsia="宋体" w:cs="Times New Roman"/>
          <w:caps w:val="0"/>
          <w:smallCaps w:val="0"/>
          <w:color w:val="auto"/>
          <w:spacing w:val="0"/>
          <w:w w:val="100"/>
          <w:kern w:val="0"/>
          <w:sz w:val="24"/>
          <w:szCs w:val="24"/>
          <w:highlight w:val="none"/>
          <w:lang w:val="en-US" w:eastAsia="zh-CN"/>
        </w:rPr>
        <w:t>，将安肇新河部分河水通过新建的进水口及进水明渠进入人工湿地生态净化区进行净化。污水先进入生态稳定塘，进行沉淀，有效降低悬浮物的浓度。经净化的水分别进入</w:t>
      </w:r>
      <w:r>
        <w:rPr>
          <w:rFonts w:hint="default" w:ascii="Times New Roman" w:hAnsi="Times New Roman" w:eastAsia="宋体" w:cs="Times New Roman"/>
          <w:caps w:val="0"/>
          <w:smallCaps w:val="0"/>
          <w:color w:val="auto"/>
          <w:spacing w:val="0"/>
          <w:w w:val="100"/>
          <w:kern w:val="0"/>
          <w:sz w:val="24"/>
          <w:szCs w:val="24"/>
          <w:highlight w:val="none"/>
          <w:lang w:val="en-US" w:eastAsia="zh-CN"/>
        </w:rPr>
        <w:t>生态砾石床</w:t>
      </w:r>
      <w:r>
        <w:rPr>
          <w:rFonts w:hint="eastAsia" w:ascii="Times New Roman" w:hAnsi="Times New Roman" w:eastAsia="宋体" w:cs="Times New Roman"/>
          <w:caps w:val="0"/>
          <w:smallCaps w:val="0"/>
          <w:color w:val="auto"/>
          <w:spacing w:val="0"/>
          <w:w w:val="100"/>
          <w:kern w:val="0"/>
          <w:sz w:val="24"/>
          <w:szCs w:val="24"/>
          <w:highlight w:val="none"/>
          <w:lang w:val="en-US" w:eastAsia="zh-CN"/>
        </w:rPr>
        <w:t>、表流湿地、</w:t>
      </w:r>
      <w:r>
        <w:rPr>
          <w:rFonts w:hint="default" w:ascii="Times New Roman" w:hAnsi="Times New Roman" w:eastAsia="宋体" w:cs="Times New Roman"/>
          <w:caps w:val="0"/>
          <w:smallCaps w:val="0"/>
          <w:color w:val="auto"/>
          <w:spacing w:val="0"/>
          <w:w w:val="100"/>
          <w:kern w:val="0"/>
          <w:sz w:val="24"/>
          <w:szCs w:val="24"/>
          <w:highlight w:val="none"/>
          <w:lang w:val="en-US" w:eastAsia="zh-CN"/>
        </w:rPr>
        <w:t>垂直潜流湿地</w:t>
      </w:r>
      <w:r>
        <w:rPr>
          <w:rFonts w:hint="eastAsia" w:ascii="Times New Roman" w:hAnsi="Times New Roman" w:eastAsia="宋体" w:cs="Times New Roman"/>
          <w:caps w:val="0"/>
          <w:smallCaps w:val="0"/>
          <w:color w:val="auto"/>
          <w:spacing w:val="0"/>
          <w:w w:val="100"/>
          <w:kern w:val="0"/>
          <w:sz w:val="24"/>
          <w:szCs w:val="24"/>
          <w:highlight w:val="none"/>
          <w:lang w:val="en-US" w:eastAsia="zh-CN"/>
        </w:rPr>
        <w:t>及</w:t>
      </w:r>
      <w:r>
        <w:rPr>
          <w:rFonts w:hint="default" w:ascii="Times New Roman" w:hAnsi="Times New Roman" w:eastAsia="宋体" w:cs="Times New Roman"/>
          <w:caps w:val="0"/>
          <w:smallCaps w:val="0"/>
          <w:color w:val="auto"/>
          <w:spacing w:val="0"/>
          <w:w w:val="100"/>
          <w:kern w:val="0"/>
          <w:sz w:val="24"/>
          <w:szCs w:val="24"/>
          <w:highlight w:val="none"/>
          <w:lang w:val="en-US" w:eastAsia="zh-CN"/>
        </w:rPr>
        <w:t>半自然湿地</w:t>
      </w:r>
      <w:r>
        <w:rPr>
          <w:rFonts w:hint="eastAsia" w:ascii="Times New Roman" w:hAnsi="Times New Roman" w:eastAsia="宋体" w:cs="Times New Roman"/>
          <w:caps w:val="0"/>
          <w:smallCaps w:val="0"/>
          <w:color w:val="auto"/>
          <w:spacing w:val="0"/>
          <w:w w:val="100"/>
          <w:kern w:val="0"/>
          <w:sz w:val="24"/>
          <w:szCs w:val="24"/>
          <w:highlight w:val="none"/>
          <w:lang w:val="en-US" w:eastAsia="zh-CN"/>
        </w:rPr>
        <w:t>进行处理，人工湿地采取微生物降解+植物吸收+水体自净工艺，对污水处理。净化后的水通过退水涵洞及在干渠左岸新建退水口，回流至安肇新河内，与干渠内其他污水混合，起到稀释作用，通过安肇新河入库里泡排口进入库里泡内。</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项目运行期间产生的废水主要为供暖期锅炉排污水及员工生活污水。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锅炉排污水属于清净下水，主要污染物为pH、化学需氧量、溶解性总固体（全盐量），排入潜流湿地内，经填料净化后，排入安肇新河内。排放量为21t/a。</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活污水产生量按生活用水量的80%计，则本项目生活污水产生量为234t/a，排入厂区防渗化粪池内，定期清掏，拉运至大同污水处理厂处理，大同污水处理厂采用“AO+混凝沉淀+过滤+紫外消毒”工艺处理后，尾水满足《城镇污水处理厂污染物排放标准》（GB18918-2002）一级A标准，排入安肇新河内。</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（3）噪声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运行期噪声主要来源于风机及各种泵类等设备噪声，主要分布在锅炉房、综合楼及提升泵房内。</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通过安装减振垫，泵房内合理布局，墙体隔音等措施，降低运行泵类噪声对周围环境的影响。根据类似设备噪声强度调查，本项目主要械设备噪声值见下表。</w:t>
      </w:r>
    </w:p>
    <w:p>
      <w:pPr>
        <w:numPr>
          <w:ilvl w:val="0"/>
          <w:numId w:val="0"/>
        </w:numPr>
        <w:spacing w:before="2" w:line="385" w:lineRule="auto"/>
        <w:ind w:right="70" w:rightChars="0"/>
        <w:jc w:val="center"/>
        <w:rPr>
          <w:rFonts w:hint="default" w:ascii="Times New Roman" w:hAnsi="Times New Roman" w:eastAsia="宋体" w:cs="Times New Roman"/>
          <w:b/>
          <w:bCs/>
          <w:color w:val="auto"/>
          <w:spacing w:val="24"/>
          <w:sz w:val="24"/>
          <w:szCs w:val="24"/>
          <w:highlight w:val="none"/>
          <w:lang w:val="en-US" w:eastAsia="zh-CN"/>
        </w:rPr>
      </w:pPr>
      <w:r>
        <w:rPr>
          <w:rFonts w:hint="eastAsia" w:ascii="Times New Roman" w:hAnsi="Times New Roman" w:eastAsia="宋体" w:cs="Times New Roman"/>
          <w:b/>
          <w:bCs/>
          <w:color w:val="auto"/>
          <w:spacing w:val="24"/>
          <w:sz w:val="24"/>
          <w:szCs w:val="24"/>
          <w:highlight w:val="none"/>
          <w:lang w:val="en-US" w:eastAsia="zh-CN"/>
        </w:rPr>
        <w:t>表3.6-4 运行期噪声设备一览表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14"/>
        <w:gridCol w:w="2288"/>
        <w:gridCol w:w="1725"/>
        <w:gridCol w:w="1885"/>
        <w:gridCol w:w="170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82" w:hRule="atLeast"/>
        </w:trPr>
        <w:tc>
          <w:tcPr>
            <w:tcW w:w="914"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序号</w:t>
            </w:r>
          </w:p>
        </w:tc>
        <w:tc>
          <w:tcPr>
            <w:tcW w:w="2288"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噪声源（工艺单元）</w:t>
            </w:r>
          </w:p>
        </w:tc>
        <w:tc>
          <w:tcPr>
            <w:tcW w:w="1725"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设备名称</w:t>
            </w:r>
          </w:p>
        </w:tc>
        <w:tc>
          <w:tcPr>
            <w:tcW w:w="1885"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噪声源强dB（A）</w:t>
            </w:r>
          </w:p>
        </w:tc>
        <w:tc>
          <w:tcPr>
            <w:tcW w:w="1704" w:type="dxa"/>
            <w:tcBorders>
              <w:tl2br w:val="nil"/>
              <w:tr2bl w:val="nil"/>
            </w:tcBorders>
            <w:vAlign w:val="center"/>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数量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2288"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提升泵房</w:t>
            </w:r>
          </w:p>
        </w:tc>
        <w:tc>
          <w:tcPr>
            <w:tcW w:w="1725"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提升泵</w:t>
            </w:r>
          </w:p>
        </w:tc>
        <w:tc>
          <w:tcPr>
            <w:tcW w:w="1885"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90</w:t>
            </w:r>
          </w:p>
        </w:tc>
        <w:tc>
          <w:tcPr>
            <w:tcW w:w="1704"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2288"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锅炉房</w:t>
            </w:r>
          </w:p>
        </w:tc>
        <w:tc>
          <w:tcPr>
            <w:tcW w:w="1725"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风机</w:t>
            </w:r>
          </w:p>
        </w:tc>
        <w:tc>
          <w:tcPr>
            <w:tcW w:w="1885"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80</w:t>
            </w:r>
          </w:p>
        </w:tc>
        <w:tc>
          <w:tcPr>
            <w:tcW w:w="1704"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14"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3</w:t>
            </w:r>
          </w:p>
        </w:tc>
        <w:tc>
          <w:tcPr>
            <w:tcW w:w="2288"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综合楼</w:t>
            </w:r>
          </w:p>
        </w:tc>
        <w:tc>
          <w:tcPr>
            <w:tcW w:w="1725"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风机</w:t>
            </w:r>
          </w:p>
        </w:tc>
        <w:tc>
          <w:tcPr>
            <w:tcW w:w="1885"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80</w:t>
            </w:r>
          </w:p>
        </w:tc>
        <w:tc>
          <w:tcPr>
            <w:tcW w:w="1704" w:type="dxa"/>
            <w:tcBorders>
              <w:tl2br w:val="nil"/>
              <w:tr2bl w:val="nil"/>
            </w:tcBorders>
          </w:tcPr>
          <w:p>
            <w:pPr>
              <w:spacing w:line="36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（4）固体废物</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本项目运营期产生的固体废物主要为运维人员生活垃圾、湿地收割的植物废弃物、锅炉灰渣及除尘器收集沉渣。</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①生活垃圾及植物废弃物</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生活垃圾统一收集，拉运至村屯垃圾暂存点，等待集中拉运处置。项目运行期间员工人数为10人，生活垃圾以0.50kg/d·人计，则生活垃圾产生量为1.83t/a。植物废弃物送至生活垃圾填埋处理。</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②锅炉灰渣</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根据《污染源源强核算技术指南 锅炉》（HJ991-2018）8.1.1，本项目生物质燃料收到基低位发热量取3480kJ/kg，收到基灰分取12.36%，则锅炉灰渣产生量为13t/a。袋装密封暂存在锅炉房内，定期外售综合利用。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③除尘器收集沉渣</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袋式除尘器除尘效率为99%，收集沉渣为0.04t/a。袋装密封暂存在锅炉房内，定期外售综合利用。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综上所述，项目产生的固体废物均妥善处置，不会对周边产生不利影响。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（5）生态影响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①陆生生态环境影响分析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位于安肇新河入库里泡排口上游左侧岸边处，占地共1360亩，主要对安肇新河部分河水进行净化，拦截、降低进入库里泡污染物质含量。项目建设生态稳定塘、生态砾石床、表流湿地、潜流湿地及半自然湿地净化单元，构建多级复合人工湿地。项目占地属平原地貌，区域植物主要为农作物和灌木，区域土壤为一般草地及盐碱地。项目影响区范围内无珍稀保护动植物分布。项目运营期湿地系统可以为诸多生物提供适宜生长的环境，提供候鸟栖息地，在增加生物多样性、生态系统的复杂和稳定性、维持自然平衡中起着非常重要的作用。该项目以芦苇、香蒲及水葱等作为湿地植物，搭配本土乔木、灌木及地被植物，并进行优化配置，由此建立生物多样性和稳定性的生态系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因此，本项目运营期对周围地区陆生生态环境有积极的影响。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②水生生态环境影响分析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本项目出水水质主要的污染源是COD、NH3-N和总磷。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COD和NH3-N都是耗氧性物质，COD是反应水体有机污染的一项重要指标，NH3-N是水体中的营养素，是水体富营养化氮元素的来源。COD和NH3-N含量的高低直接影响水体中的溶解氧量（DO），影响水生生物可利用的的氧气量。项目运行后COD和NH3-N在自然降解下，对水生生物的影响将会持续减弱。</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安肇新河内总磷超标主要是因为农业面源污染，化肥过度使用，导致较高含磷污水随地表径流直接进入安肇新河内，项目建设，利用生态滤料、植物和微生物的协同作用，在好养条件下可以过量吸收河水中的溶解性磷酸盐，将其以聚磷的形式积聚在体内(好氧吸磷)。另外，聚磷在厌氧状态下可被聚磷菌分解（厌氧释磷），形成的无机磷可被植物吸收。改善安肇新河及库里泡水质，项目建设对区域水生生态环境影响起到积极影响。</w:t>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color w:val="auto"/>
          <w:sz w:val="32"/>
          <w:highlight w:val="none"/>
          <w:lang w:val="en-US" w:eastAsia="zh-CN" w:bidi="ar-SA"/>
        </w:rPr>
      </w:pPr>
      <w:bookmarkStart w:id="109" w:name="_Toc9634"/>
      <w:r>
        <w:rPr>
          <w:rFonts w:hint="eastAsia" w:ascii="Times New Roman" w:hAnsi="Times New Roman" w:eastAsia="宋体" w:cs="Times New Roman"/>
          <w:snapToGrid/>
          <w:color w:val="auto"/>
          <w:sz w:val="32"/>
          <w:highlight w:val="none"/>
          <w:lang w:val="en-US" w:eastAsia="zh-CN" w:bidi="ar-SA"/>
        </w:rPr>
        <w:t>3.7污染物总量控制分析</w:t>
      </w:r>
      <w:bookmarkEnd w:id="109"/>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根据国家“十四五”规定的总量控制污染物种类，综合考虑本项目的排污特点、所在区域的环境质量现状等因素，本项目将COD、氨氮、颗粒物、二氧化硫、氮氧化物作为总量控制指标，本项目属于</w:t>
      </w:r>
      <w:r>
        <w:rPr>
          <w:rFonts w:hint="default" w:ascii="Times New Roman" w:hAnsi="Times New Roman" w:eastAsia="宋体" w:cs="Times New Roman"/>
          <w:caps w:val="0"/>
          <w:smallCaps w:val="0"/>
          <w:color w:val="auto"/>
          <w:spacing w:val="0"/>
          <w:w w:val="100"/>
          <w:kern w:val="0"/>
          <w:sz w:val="24"/>
          <w:szCs w:val="24"/>
          <w:highlight w:val="none"/>
          <w:lang w:val="en-US" w:eastAsia="zh-CN"/>
        </w:rPr>
        <w:t>污水处理及其再生利用工程</w:t>
      </w:r>
      <w:r>
        <w:rPr>
          <w:rFonts w:hint="eastAsia" w:ascii="Times New Roman" w:hAnsi="Times New Roman" w:eastAsia="宋体" w:cs="Times New Roman"/>
          <w:caps w:val="0"/>
          <w:smallCaps w:val="0"/>
          <w:color w:val="auto"/>
          <w:spacing w:val="0"/>
          <w:w w:val="100"/>
          <w:kern w:val="0"/>
          <w:sz w:val="24"/>
          <w:szCs w:val="24"/>
          <w:highlight w:val="none"/>
          <w:lang w:val="en-US" w:eastAsia="zh-CN"/>
        </w:rPr>
        <w:t>，经处理后的水，回流至安肇新河内，与干渠内其他污水混合，起到稀释作用，通过安肇新河入库里泡排口进入库里泡内。根据本项目融雪期及冰封期进水指标及处理能力，核算出水污染物总量控制指标。</w:t>
      </w:r>
    </w:p>
    <w:p>
      <w:pPr>
        <w:numPr>
          <w:ilvl w:val="0"/>
          <w:numId w:val="0"/>
        </w:numPr>
        <w:spacing w:before="2" w:line="385" w:lineRule="auto"/>
        <w:ind w:right="70" w:rightChars="0"/>
        <w:jc w:val="center"/>
        <w:rPr>
          <w:rFonts w:hint="eastAsia" w:ascii="Times New Roman" w:hAnsi="Times New Roman" w:eastAsia="宋体" w:cs="Times New Roman"/>
          <w:b/>
          <w:bCs/>
          <w:color w:val="auto"/>
          <w:spacing w:val="24"/>
          <w:sz w:val="24"/>
          <w:szCs w:val="24"/>
          <w:highlight w:val="none"/>
          <w:lang w:val="en-US" w:eastAsia="zh-CN"/>
        </w:rPr>
      </w:pPr>
      <w:r>
        <w:rPr>
          <w:rFonts w:hint="eastAsia" w:ascii="Times New Roman" w:hAnsi="Times New Roman" w:eastAsia="宋体" w:cs="Times New Roman"/>
          <w:b/>
          <w:bCs/>
          <w:color w:val="auto"/>
          <w:spacing w:val="24"/>
          <w:sz w:val="24"/>
          <w:szCs w:val="24"/>
          <w:highlight w:val="none"/>
          <w:lang w:val="en-US" w:eastAsia="zh-CN"/>
        </w:rPr>
        <w:t>表3-7-1 本项目大气污染物总量控制目标值</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58"/>
        <w:gridCol w:w="425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总量控制因子</w:t>
            </w:r>
          </w:p>
        </w:tc>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总量控制目标（t/a）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二氧化硫</w:t>
            </w:r>
          </w:p>
        </w:tc>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氮氧化物</w:t>
            </w:r>
          </w:p>
        </w:tc>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0.068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颗粒物</w:t>
            </w:r>
          </w:p>
        </w:tc>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COD</w:t>
            </w:r>
          </w:p>
        </w:tc>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3855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氨氮</w:t>
            </w:r>
          </w:p>
        </w:tc>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94.5</w:t>
            </w:r>
          </w:p>
        </w:tc>
      </w:tr>
    </w:tbl>
    <w:p>
      <w:pPr>
        <w:pStyle w:val="8"/>
        <w:ind w:left="0" w:leftChars="0" w:firstLine="0" w:firstLineChars="0"/>
        <w:rPr>
          <w:rFonts w:hint="eastAsia"/>
          <w:color w:val="auto"/>
          <w:highlight w:val="none"/>
          <w:lang w:val="en-US" w:eastAsia="zh-CN"/>
        </w:rPr>
      </w:pPr>
    </w:p>
    <w:p>
      <w:pPr>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br w:type="page"/>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110" w:name="_Toc19500"/>
      <w:bookmarkStart w:id="111" w:name="_Toc17733"/>
      <w:r>
        <w:rPr>
          <w:rFonts w:hint="eastAsia" w:ascii="Times New Roman" w:hAnsi="Times New Roman" w:eastAsia="宋体" w:cs="Times New Roman"/>
          <w:snapToGrid/>
          <w:color w:val="auto"/>
          <w:sz w:val="32"/>
          <w:highlight w:val="none"/>
          <w:lang w:val="en-US" w:eastAsia="zh-CN" w:bidi="ar-SA"/>
        </w:rPr>
        <w:t>4.环境现状调查与评价</w:t>
      </w:r>
      <w:bookmarkEnd w:id="110"/>
      <w:bookmarkEnd w:id="111"/>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color w:val="auto"/>
          <w:sz w:val="32"/>
          <w:highlight w:val="none"/>
          <w:lang w:val="en-US" w:eastAsia="zh-CN" w:bidi="ar-SA"/>
        </w:rPr>
      </w:pPr>
      <w:bookmarkStart w:id="112" w:name="_Toc17606"/>
      <w:r>
        <w:rPr>
          <w:rFonts w:hint="eastAsia" w:ascii="Times New Roman" w:hAnsi="Times New Roman" w:eastAsia="宋体" w:cs="Times New Roman"/>
          <w:snapToGrid/>
          <w:color w:val="auto"/>
          <w:sz w:val="32"/>
          <w:highlight w:val="none"/>
          <w:lang w:val="en-US" w:eastAsia="zh-CN" w:bidi="ar-SA"/>
        </w:rPr>
        <w:t>4.1自然环境现状调查与评价</w:t>
      </w:r>
      <w:bookmarkEnd w:id="112"/>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4.1.1地理位置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大同区位于大庆市西南部，地处松嫩平原西部，下辖8个乡镇，58个行政村，315个自然屯，6个街道办事处，18个社区。东北与安达市接壤，东南与肇州县毗邻，西南与肇源县分界，西北与杜尔伯特蒙古族自治县相连。全区总面积2400平方千米。包括庆葡街道、高台子镇街道、林源镇街道、立志街道、新华街道、大同镇街道、大同镇、高台子镇、太阳升镇、林源镇、祝三乡、老山头乡、八井子乡和双榆树乡。</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位于大同区安肇新河入库里泡排口上游左侧岸边处，项目中心地理坐标，东经124°53′48.972″，北纬45°56′1.761″。项目所在地西侧为安肇新河，北侧及南侧为自然形成河塘，东侧为一般草地。距离项目厂址最近的敏感点为新立屯散户，位于进场道路南侧，相对最近距离277m。本项目地理位置见附图1，周边关系见附图2。</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4.1.2地形地貌</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大庆市地处松嫩平原，全市总的地势是东北高、西南低，地形平坦，一般地面高程在120～160m之间，微地形复杂，自然坡降在1/5000～1/3000左右。区域地貌单元简单，局部微形发育，分布有起伏的沙丘、湖泊、沼泽地及盐碱低洼地，整个区域由江湾漫滩及阶地构成了现状的地形地貌基本特征。由于大庆市位于松辽盆地内部，地层上主要沉积了全新统、上更新统地层，全新统主要沿第四系水系流域及其支流分布，包括第二松花江、嫩江及其支流，以及东部的通肯河、呼兰河等流域。周边湖泊与水系非常发达，几乎布满全区，中部及南部地区盐碱地也占据了非常大的范围。在地质地貌上存在着微弱的差异，东部、东南及东北为隆起区，西部为斜坡区，中部为坳陷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4.1.3地层地质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（1）区域地质概况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项目所在区域</w:t>
      </w:r>
      <w:r>
        <w:rPr>
          <w:rFonts w:hint="default" w:ascii="Times New Roman" w:hAnsi="Times New Roman" w:eastAsia="宋体" w:cs="Times New Roman"/>
          <w:caps w:val="0"/>
          <w:smallCaps w:val="0"/>
          <w:color w:val="auto"/>
          <w:spacing w:val="0"/>
          <w:w w:val="100"/>
          <w:kern w:val="0"/>
          <w:sz w:val="24"/>
          <w:szCs w:val="24"/>
          <w:highlight w:val="none"/>
          <w:lang w:val="en-US" w:eastAsia="zh-CN"/>
        </w:rPr>
        <w:t>基底地层由白垩系、第三系的沉积岩构成。二者呈不整合接触，被第四系掩埋。区内第四系松散堆积层发育，堆积厚度大，分布范围广，且呈北部厚，南部薄的规律。本区域建设仅涉及到第四系松散堆积层。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①中更新统湖积层（lQ2）</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该层岩性由灰色粉砂、黏性土构成，广泛分布于低平原区，位于上更新统之下。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②上更新统冲积层（alQ3）</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该层遍布整个低平原区，岩性上部为黄褐色粉质黏土，粉细砂，该层覆于中更新统之上。</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③全新统冲积层（alQ4）</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分布于低平地带，覆于上更新统之上，岩性为粉质黏土层，在微起伏的低丘处本层缺失。</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④全新统沼泽堆积层（fQ4）</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分布于局部洼地内部和边缘，为近代沉积物，由薄层状粉质黏土和含有机质粉质黏土组成，松软沼泽堆积特征明显。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）地质构造及区域稳定性</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根据《黑龙江省区域地质志》，工作区大地构造单元为松嫩中断（坳）陷带的中央坳陷带。松嫩中断（坳）陷带在地貌上构成广阔的松嫩平原，是大型中、新生代内陆断（坳）陷盆地。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自中生带以来，区内长期保持着大幅度的下沉。进入第四纪，拗陷带曾发生过两次以上的沉降间歇或回升，这种间歇或回升是在长期大幅度的降沉运动中发生的，故本区构造运动有颤动式升降的迹象，这种新构造运动的作用，使本区堆积了四个不同时期的地层。很多迹象表明：当前本区处于下沉阶段的相对稳定时期，所以出现了河流迂回改道，湖沼广布，近代堆积物的形成，盐渍化的广泛发育等自然现象。</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区域一般性构造断裂主要有富裕泰来断裂、讷河～绥化隐伏断裂。距双阳河70km以外，对本区无影响。区内无活断层，亦未见地震活动的文字记载。据“1：400万中国地震动参数区划图”（GB18306--2001）可知，该区地震动峰值加速度为0.05g~0.065g，相当于地震基本烈度Ⅵ度。地震动反应谱特征周期0.35s。本区属于区域地质构造相对稳定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（3）地层岩性特征</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场地钻探深度范围内为第四系地层，根据野外钻探、原位测试、室内试验等结果，对所揭露的地层按照成因、结构、工程特征进行综合划分，地层自上而下分别描述如下：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水：无色，透明，层厚0.30-0.70m。</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1）素填土：以黏性土为主。层厚0-2.70m。</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2）淤泥：黑色，含大量有机质及腐烂的植物根系，土质不均匀，含软塑黏性土及淤泥质土层。稍有光泽，干强度中等，韧性中等，无摇振反应。流塑。层厚0.30-0.80m。</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3）粉质黏土：灰黑-黄色，土质不均匀，局部夹粉土薄层。含氧化铁斑点。稍有光泽，干强度中等，韧性中等，无摇振反应。可塑。层厚3.80-7.70m。</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4）粉土：黄色，土质不均匀，局部夹粉土薄层。无光泽，干强度低，韧性低，摇振反应中等。稍密，湿。层厚1.00-1.40m。</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5）粉砂：灰黄-灰色，中密，饱和。分选性一般，主要矿物成分为石英、长石等。层厚1.30-12.50m。</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6）粉质黏土：灰-灰黑色，土质不均匀，局部夹黏土薄层。稍有光泽，干强度中等，韧性中等，无摇振反应。软塑，局部流塑。层厚0-3.00m。</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7）粉质黏土：灰色，土质不均匀，局部夹黏土薄层。稍有光泽，干强度中等，韧性中等，无摇振反应。软塑。层厚0-3.50m。</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8）黏土：灰色，土质不均匀，局部夹粉质黏土薄层。有光泽，干强度高，韧性高，无摇振反应。硬塑。</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4.1.</w:t>
      </w: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水文地质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场地地下水为第四系松散层孔隙潜水，赋存于粉土和粉砂层中。地下水补给源为大气降水，以蒸发和地下径流方式排泄。</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该场地属松嫩冲积平原，地下水动态变化规律为：7-9月份为丰水期，水位较高，3-5月份为枯水期，水位较低，年变化幅度为1.50-2.00m左右。勘察期间地下水稳定水位埋藏深度为0-2.10m之间。其中32-38号孔地下水位受地表水影响，与地表水连通。</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地下水的形成条件</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评价区位于松辽盆地的北部，中部隆起构造带—大庆长垣构造的西部凹陷区。中生界白垩系沉积了巨厚的碎屑岩，第三系砂岩，第四系则覆盖全区，不整合于第三系上新统地层之上，沉积有下更新统白土山组、上更新统齐齐哈尔组地层。在各组岩层中沉积有厚薄不均的砂、砂砾石层及砂岩、砂砾岩层，为地下水的赋存提供了良好的条件。</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地下水的埋藏条件及含水层介质、水力性质等，区内地下水类型可划分为第四系上更新统松散层孔隙潜水、第四系下更新统白土山组松散岩类孔隙承压水及第三系泰康组孔隙裂隙承压水和白垩系上统明水组孔隙裂隙承压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地下水类型及含水岩组特征</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①第四系上更新统松散层孔隙潜水分布于全区，含水层岩性为上更新统齐齐哈尔组粉细砂组成，厚度2.5~4.5m。地下水水位埋深0.4~2.5m，弱富水性，单井涌水量小于100m3/d。</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第四系下更新统白土山组松散岩类孔隙承压水分布于全区，含水层主要由河湖相沉积的灰白色、杂色砂、砂砾石组成，偶夹粘土透镜体。含水层顶板埋深65.0~70.0m，含水层厚度0.0~3.0m，承压水头高度15~25m，渗透系数5.0~15 .0m/d。富水性较强，单井涌水量为1000~1200m3/d。</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③第三系上统泰康组孔隙裂隙承压水含水层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泰康组承压含水层其岩性主要是砂砾岩，与上部第四系含水层之间有一层不布不稳定的泥岩，厚度一般在3~10m，成岩性不好，胶结较差，具有一定的透水性。砂砾岩层结构松散，颗粒较粗，分选性较好，透水性强、富水性好，自上而下由细变粗，呈明显河流相沉积，沉积发育比较稳定，区域含水层由东向西逐渐增大，由北向南逐渐变薄，顶板埋深一般在80~90m之间，含水层累计厚度为47~71m，承压水头高度22.01~24.40m，渗透系数25.0~35.0m/d。富水性强。泰康组是区域主要开采含水层之一。</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④白垩系上统明水组孔隙裂隙承压水含水层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明水组承压含水层其岩性主要是含砾细砂岩和泥质砂岩组成，质软，成岩性较差，含水层分布不均，连续性较差，多以透镜体状分布，透水性一般、富水性一般，含水层一般由2~7个单层组成，单层厚度为2.0~10.0m，累计厚度10.0m~80.0m，明水组含水层由于受构造格局的影响，分布于全区域内</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地下水的补给、径流和排泄条件</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①地下水补给</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大气降雨补给</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从区域主要含水层分布可以看出，含水层的补给主要地表水补给和降雨垂向补给上部第四系孔隙潜水含水层，潜水通过透水层越流补给下部的白土山组含水层、泰康组含水层。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地表水体的入渗补给</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库里泡的</w:t>
      </w:r>
      <w:r>
        <w:rPr>
          <w:rFonts w:hint="default" w:ascii="Times New Roman" w:hAnsi="Times New Roman" w:eastAsia="宋体" w:cs="Times New Roman"/>
          <w:caps w:val="0"/>
          <w:smallCaps w:val="0"/>
          <w:color w:val="auto"/>
          <w:spacing w:val="0"/>
          <w:w w:val="100"/>
          <w:kern w:val="0"/>
          <w:sz w:val="24"/>
          <w:szCs w:val="24"/>
          <w:highlight w:val="none"/>
          <w:lang w:val="en-US" w:eastAsia="zh-CN"/>
        </w:rPr>
        <w:t>入渗水量构成了第四系潜水补给的主要来源。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侧向补给</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在天然条件下，主要来自区域以外广泛连续分布的同一含水层中的地下水，地下水在水动力驱动下，通过水平方向径流补给区域内地下水，但目前区域由于受到开采地下水的形成降落漏斗的影响，天然流场有所改变。北、西、南三个方向都有一定量的地下水侧向补给。</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②地下水径流规律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评价区内地下水的径流方向在不同层位有所不同。上部潜水含水层主要由粉细砂组成，颗粒较细，分布不连续，透水性较差，且受地形影响，地下水径流滞缓，评价区范围内地下水流向不明显，区域上总体流向随地势由北向南流。</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③地下水排泄</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在人为活动影响条件下，规划区地下水的排泄主要有</w:t>
      </w: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种类型，即蒸发排泄、侧向径流排泄。</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潜水蒸发排泄</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该区属干旱、半干旱季风气候区，区内水面和沼泽湿地较为发育，由于气候干燥，尤其是在多风少雨的春末初夏，降水量小200mm，蒸发强度大</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1100—1600mm</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，因此蒸发是潜水的主要排泄方式。</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侧向径流排泄</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地下水通过同一含水层向区域南部径流流出区域。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4.1.</w:t>
      </w: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地表水系</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大庆市西部及南部边缘有嫩江、松花江流过，西北部及北部有乌裕尔河和双阳河流入，境内有人工排干安肇新河和四条排水干渠由北向南穿过，构成了大庆市的区域地表水系。</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安肇新河是为打破大庆地区闭流状态而开挖的一条人工排水干渠，河流经过王花泡、北二十里泡、中内泡和库里泡4座大中型滞洪区，同时西部排干、中央排干、东一排干、东二排干和兴隆排干的排水全部汇入安肇新河，最终排入松花江，河流全长108.1km，库里泡以上集水面积10259km2。</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①王花泡</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王花泡滞洪区位于安达市境内，20世纪60年代中期兴建，系作为调蓄双阳河洪水和明青坡水以保证大庆市和下游广大低平原区防洪安全的关键性工程，控制面积4215km²，集水面积4124km²，按100年一遇洪水设计，总库容217658×108m3，设计水位147163m，相应库水面积207km²·由土坝和泄洪闸组成，最大泄90m3/s。</w:t>
      </w:r>
      <w:r>
        <w:rPr>
          <w:rFonts w:hint="eastAsia" w:ascii="Times New Roman" w:hAnsi="Times New Roman" w:eastAsia="宋体" w:cs="Times New Roman"/>
          <w:caps w:val="0"/>
          <w:smallCaps w:val="0"/>
          <w:color w:val="auto"/>
          <w:spacing w:val="0"/>
          <w:w w:val="100"/>
          <w:kern w:val="0"/>
          <w:sz w:val="24"/>
          <w:szCs w:val="24"/>
          <w:highlight w:val="none"/>
          <w:lang w:val="en-US" w:eastAsia="zh-CN"/>
        </w:rPr>
        <w:t>位于安肇新河上游。</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②北二十里泡</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大庆市北二十里泡湿地位于龙凤区境内东南，是一处位于城区中的湿地，距离市中心仅8km。地理坐标为东经125°07′-125°15′，北纬46°28′</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46°32'，总面积5050.39公顷。北二十里泡湿地处中纬度地带，属温带大陆性季风气候区，四季明显，温差较大。年平均气温4.5℃，极端最高气温39.8℃，极端最低气温</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39.2℃。平均4月中下旬解冻开泡，11月上旬结冰，无霜期149天，结冰期176天。年平均降水量为435mm。湿地内地势低洼平坦，泡沼相间，自然坡降小于千分之一。土壤由草甸土和沼泽土组成，其中沼泽土是主要的土壤类型，分布面积约占自然保护区总面积的80%左右。</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③中内泡</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中内泡在安达市西南郊。地处松嫩平原东部，系平原洼地积水成湖，原有面积较小，后因大庆油田发展需要，引安肇新河入湖，并筑堤2500.0m，出水口建节制闸2座，控制湖水外流，始成为平原水库型湖泊</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水位144.50m，长8.7km，最大宽4.5km，平均宽3.8km，面积33.0平方公里，最大水深2.5m，平均水深1.67m，蓄水量0.552亿立方米。湖区属中温带半湿润气候，年均气温3.2℃，1月平均气温-10.9℃，7月平均气温22.9℃。多年平均日照时数2 841h，无霜期141d，降水量411mm。湖水依赖湖面降水和地表径流补给，入湖河流为安肇新河，出流经节制闸注入安肇新河。湖水pH值9.5，矿化度2900mg/L，属吞吐型微咸水湖。</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④库里泡</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库里泡位于黑龙江省大庆市的东南部，大同区老山头乡，松花江北岸，大同与肇州交界处。库里泡所在地区的地质构造属松辽盆地的一部分，地区为浅洼地，地貌类型属松花江、嫩江冲积一级阶地，属乌裕尔河、双阳河冲积泛滥低平原区，海拔130-160m。库里泡流域呈枣核状，南北长16km，东西最宽处5km，水深浅不一，北浅南深，最深处4m，最浅处0.5m，是串联在安肇新河下游较大的泡沼泄洪区，通过安肇新河主干渠容纳大庆市污水，出水水质为劣Ⅴ类，外泄洪水由古恰闸口入松花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4.1.</w:t>
      </w:r>
      <w:r>
        <w:rPr>
          <w:rFonts w:hint="eastAsia" w:ascii="Times New Roman" w:hAnsi="Times New Roman" w:eastAsia="宋体" w:cs="Times New Roman"/>
          <w:caps w:val="0"/>
          <w:smallCaps w:val="0"/>
          <w:color w:val="auto"/>
          <w:spacing w:val="0"/>
          <w:w w:val="100"/>
          <w:kern w:val="0"/>
          <w:sz w:val="24"/>
          <w:szCs w:val="24"/>
          <w:highlight w:val="none"/>
          <w:lang w:val="en-US" w:eastAsia="zh-CN"/>
        </w:rPr>
        <w:t>6</w:t>
      </w:r>
      <w:r>
        <w:rPr>
          <w:rFonts w:hint="default" w:ascii="Times New Roman" w:hAnsi="Times New Roman" w:eastAsia="宋体" w:cs="Times New Roman"/>
          <w:caps w:val="0"/>
          <w:smallCaps w:val="0"/>
          <w:color w:val="auto"/>
          <w:spacing w:val="0"/>
          <w:w w:val="100"/>
          <w:kern w:val="0"/>
          <w:sz w:val="24"/>
          <w:szCs w:val="24"/>
          <w:highlight w:val="none"/>
          <w:lang w:val="en-US" w:eastAsia="zh-CN"/>
        </w:rPr>
        <w:t>气候气象</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大庆地区处于中纬度东亚大陆东部边缘，属寒温带大陆性干旱草原性气候，受蒙古内陆冷空气和海洋暖流季风的影响较大，冬季漫长，受高纬西北气流控制，严寒少雪，多西北风；夏季短暂，受太平洋高压气流影响，高温多雨，多南风。春秋两季为过渡期，时间短，气流变化大；春季多大风，干燥少雨；秋季多晴朗天气。大庆市冬季主要以西北风为主，夏季多为南风、西南风。</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大庆地区连续30年气象参数统计分析如下：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年平均风速—3.7m/s；</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年最大风速、风向—22.7m/s，SW，1996年；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年平均气温—3.3℃；</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年极端最高气温—38.9℃，2001年6月；</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年极端最低气温—</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36.2℃，1970年1月；</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年相对湿度—63%；</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年降水量—442.0mm；</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年平均蒸发量—1154</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8-1500mm；</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采暖期日平均气温—-10.3℃；</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最大冻土深度—2200mm；</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静风频率—7%。</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4.1</w:t>
      </w:r>
      <w:r>
        <w:rPr>
          <w:rFonts w:hint="eastAsia" w:ascii="Times New Roman" w:hAnsi="Times New Roman" w:eastAsia="宋体" w:cs="Times New Roman"/>
          <w:caps w:val="0"/>
          <w:smallCaps w:val="0"/>
          <w:color w:val="auto"/>
          <w:spacing w:val="0"/>
          <w:w w:val="100"/>
          <w:kern w:val="0"/>
          <w:sz w:val="24"/>
          <w:szCs w:val="24"/>
          <w:highlight w:val="none"/>
          <w:lang w:val="en-US" w:eastAsia="zh-CN"/>
        </w:rPr>
        <w:t>.7</w:t>
      </w:r>
      <w:r>
        <w:rPr>
          <w:rFonts w:hint="default" w:ascii="Times New Roman" w:hAnsi="Times New Roman" w:eastAsia="宋体" w:cs="Times New Roman"/>
          <w:caps w:val="0"/>
          <w:smallCaps w:val="0"/>
          <w:color w:val="auto"/>
          <w:spacing w:val="0"/>
          <w:w w:val="100"/>
          <w:kern w:val="0"/>
          <w:sz w:val="24"/>
          <w:szCs w:val="24"/>
          <w:highlight w:val="none"/>
          <w:lang w:val="en-US" w:eastAsia="zh-CN"/>
        </w:rPr>
        <w:t>土壤情况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大庆地区土壤类型主要为黑钙土、草甸土、盐土、碱土、风沙土、沼泽土和泛滥土等。大庆地区西部是嫩江冲积风沙地，形成西部以风沙土为主，东部以碳酸盐草甸黑钙土、草甸土为主的两条土壤带，江岸形成泛滥土，盐碱土镶 嵌分布于两条土带之中，组成了复杂的土壤复区。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大庆市天然植被主要由草甸草原、盐生草甸和沼泽构成。草甸草原是松嫩草原的地带性植被，分布在漫岗、缓坡地和低平地上，主要以中旱生的多年生草本植物为建群种，并以丛生和根茎型禾草占优势。禾本科主要有羊草、野古草、隐子草、贝加尔针茅和洽草等；豆科有兴安胡枝子、细叶胡枝子、五脉山黧豆、苜蓿、草木樨、山野豌豆等；杂类草主要有蒿属、萎陵属的植物等。植被盖度多在65%以上，亩产干草约100~150kg。该类草场是畜牧生产的主要割草场和放牧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盐生草甸多分布于处地势低洼处，与草甸草原植被镶嵌。植被由盐中生和旱中生禾草、杂类草组成，主要植物有星星草、碱茅、羊草、芦苇、盐生凤毛菊、碱蓬、碱蒿等。植被盖度60~80%，亩产干草70kg。该类草地主要作为放牧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沼泽植被在大庆地区广泛分布。该类型植被是在地表终年积水或季节性积水的条件下，由多年生湿生植物为主形成的一种隐域性植被。芦苇是最常见的类型，植被盖度在80~100%，产量较高，主要用于造纸工业。</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4.1.</w:t>
      </w:r>
      <w:r>
        <w:rPr>
          <w:rFonts w:hint="eastAsia" w:ascii="Times New Roman" w:hAnsi="Times New Roman" w:eastAsia="宋体" w:cs="Times New Roman"/>
          <w:caps w:val="0"/>
          <w:smallCaps w:val="0"/>
          <w:color w:val="auto"/>
          <w:spacing w:val="0"/>
          <w:w w:val="100"/>
          <w:kern w:val="0"/>
          <w:sz w:val="24"/>
          <w:szCs w:val="24"/>
          <w:highlight w:val="none"/>
          <w:lang w:val="en-US" w:eastAsia="zh-CN"/>
        </w:rPr>
        <w:t>8</w:t>
      </w:r>
      <w:r>
        <w:rPr>
          <w:rFonts w:hint="default" w:ascii="Times New Roman" w:hAnsi="Times New Roman" w:eastAsia="宋体" w:cs="Times New Roman"/>
          <w:caps w:val="0"/>
          <w:smallCaps w:val="0"/>
          <w:color w:val="auto"/>
          <w:spacing w:val="0"/>
          <w:w w:val="100"/>
          <w:kern w:val="0"/>
          <w:sz w:val="24"/>
          <w:szCs w:val="24"/>
          <w:highlight w:val="none"/>
          <w:lang w:val="en-US" w:eastAsia="zh-CN"/>
        </w:rPr>
        <w:t>动植物资源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区域内野生动物种类和数量均较少，伴随人类生存的农田小型鼠类、麻雀、家燕等种群数量较多，使陆生动物区系具有典型的农田动物群色彩。小型哺乳类特别是鼠类仍为常见种。野生动物主要有普通刺猬、东北兔、黄鼬、褐家鼠、小家鼠、大仓鼠、东方田鼠、普通田鼠等10余种啮齿目、兔形目和食肉目动物。由于农业区内人类活动干扰较大，躲避天敌的条件较差，因此鸟类一般不会在此繁殖。区内鸟类主要为村栖型等伴人鸟类，如喜鹊、小嘴乌鸦、麻雀、家燕等。</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113" w:name="_Toc29941"/>
      <w:r>
        <w:rPr>
          <w:rFonts w:hint="default" w:ascii="Times New Roman" w:hAnsi="Times New Roman" w:eastAsia="宋体" w:cs="Times New Roman"/>
          <w:snapToGrid/>
          <w:color w:val="auto"/>
          <w:sz w:val="32"/>
          <w:highlight w:val="none"/>
          <w:lang w:val="en-US" w:eastAsia="zh-CN" w:bidi="ar-SA"/>
        </w:rPr>
        <w:t>4.2环境质量现状监测与评价</w:t>
      </w:r>
      <w:bookmarkEnd w:id="113"/>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4.2.1环境空气质量现状调查与评价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（1）项目所在区域环境空气质量达标情况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本项目位于大同区大同镇境内，根据《环境空气质量评价技术规范（试行）》（HJ663-2013），项目所在区域环境空气质量状况良好，属于环境空气质量达标区。具体判定情况详见表4.2-1。</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大庆市生态环境局2022年6月5日公布的《2021年大庆市生态环境状况公报》，2021年城区环境空气中二氧化硫（SO2）年均浓度为9µg/m3，优于国家一级标准限值；二氧化氮（NO2）年均浓度为18µg/m3，优于国家一级标准限值；可吸入颗粒物（PM10）年均浓度为41µg/m3，优于国家二级标准限值；细颗粒物（PM2.5）年均浓度为27µg/m3，达到国家二级标准限值；一氧化碳（CO）24小时平均第95百分位数为0.9mg/m3，优于国家一级标准限值；臭氧最大8小时平均第90百分位数为126µg/m3，优于国家二级标准限值。</w:t>
      </w:r>
    </w:p>
    <w:p>
      <w:pPr>
        <w:widowControl/>
        <w:spacing w:line="360" w:lineRule="auto"/>
        <w:jc w:val="center"/>
        <w:rPr>
          <w:rFonts w:ascii="Times New Roman" w:hAnsi="Times New Roman" w:eastAsia="宋体" w:cs="Times New Roman"/>
          <w:b/>
          <w:bCs/>
          <w:smallCaps w:val="0"/>
          <w:color w:val="auto"/>
          <w:spacing w:val="0"/>
          <w:w w:val="100"/>
          <w:kern w:val="0"/>
          <w:sz w:val="24"/>
          <w:highlight w:val="none"/>
          <w:lang w:bidi="ar"/>
        </w:rPr>
      </w:pPr>
      <w:r>
        <w:rPr>
          <w:rFonts w:ascii="Times New Roman" w:hAnsi="Times New Roman" w:eastAsia="宋体" w:cs="Times New Roman"/>
          <w:b/>
          <w:bCs/>
          <w:smallCaps w:val="0"/>
          <w:color w:val="auto"/>
          <w:spacing w:val="0"/>
          <w:w w:val="100"/>
          <w:kern w:val="0"/>
          <w:sz w:val="24"/>
          <w:highlight w:val="none"/>
          <w:lang w:bidi="ar"/>
        </w:rPr>
        <w:t>表4.2-1区域空气质量现状评价表</w:t>
      </w:r>
    </w:p>
    <w:tbl>
      <w:tblPr>
        <w:tblStyle w:val="12"/>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14"/>
        <w:gridCol w:w="2637"/>
        <w:gridCol w:w="1811"/>
        <w:gridCol w:w="1533"/>
        <w:gridCol w:w="760"/>
        <w:gridCol w:w="75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9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污染物</w:t>
            </w:r>
          </w:p>
        </w:tc>
        <w:tc>
          <w:tcPr>
            <w:tcW w:w="1548"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年评价指标</w:t>
            </w:r>
          </w:p>
        </w:tc>
        <w:tc>
          <w:tcPr>
            <w:tcW w:w="106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现状浓度（μg/m</w:t>
            </w:r>
            <w:r>
              <w:rPr>
                <w:rFonts w:ascii="Times New Roman" w:hAnsi="Times New Roman" w:cs="Times New Roman"/>
                <w:smallCaps w:val="0"/>
                <w:color w:val="auto"/>
                <w:spacing w:val="0"/>
                <w:w w:val="100"/>
                <w:sz w:val="21"/>
                <w:szCs w:val="21"/>
                <w:highlight w:val="none"/>
                <w:vertAlign w:val="superscript"/>
              </w:rPr>
              <w:t>3</w:t>
            </w:r>
            <w:r>
              <w:rPr>
                <w:rFonts w:ascii="Times New Roman" w:hAnsi="Times New Roman" w:cs="Times New Roman"/>
                <w:smallCaps w:val="0"/>
                <w:color w:val="auto"/>
                <w:spacing w:val="0"/>
                <w:w w:val="100"/>
                <w:sz w:val="21"/>
                <w:szCs w:val="21"/>
                <w:highlight w:val="none"/>
              </w:rPr>
              <w:t>）</w:t>
            </w:r>
          </w:p>
        </w:tc>
        <w:tc>
          <w:tcPr>
            <w:tcW w:w="900"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标准值（μg/m</w:t>
            </w:r>
            <w:r>
              <w:rPr>
                <w:rFonts w:ascii="Times New Roman" w:hAnsi="Times New Roman" w:cs="Times New Roman"/>
                <w:smallCaps w:val="0"/>
                <w:color w:val="auto"/>
                <w:spacing w:val="0"/>
                <w:w w:val="100"/>
                <w:sz w:val="21"/>
                <w:szCs w:val="21"/>
                <w:highlight w:val="none"/>
                <w:vertAlign w:val="superscript"/>
              </w:rPr>
              <w:t>3</w:t>
            </w:r>
            <w:r>
              <w:rPr>
                <w:rFonts w:ascii="Times New Roman" w:hAnsi="Times New Roman" w:cs="Times New Roman"/>
                <w:smallCaps w:val="0"/>
                <w:color w:val="auto"/>
                <w:spacing w:val="0"/>
                <w:w w:val="100"/>
                <w:sz w:val="21"/>
                <w:szCs w:val="21"/>
                <w:highlight w:val="none"/>
              </w:rPr>
              <w:t>）</w:t>
            </w:r>
          </w:p>
        </w:tc>
        <w:tc>
          <w:tcPr>
            <w:tcW w:w="446"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占标率%</w:t>
            </w:r>
          </w:p>
        </w:tc>
        <w:tc>
          <w:tcPr>
            <w:tcW w:w="44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9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SO</w:t>
            </w:r>
            <w:r>
              <w:rPr>
                <w:rFonts w:ascii="Times New Roman" w:hAnsi="Times New Roman" w:cs="Times New Roman"/>
                <w:smallCaps w:val="0"/>
                <w:color w:val="auto"/>
                <w:spacing w:val="0"/>
                <w:w w:val="100"/>
                <w:sz w:val="21"/>
                <w:szCs w:val="21"/>
                <w:highlight w:val="none"/>
                <w:vertAlign w:val="subscript"/>
              </w:rPr>
              <w:t>2</w:t>
            </w:r>
          </w:p>
        </w:tc>
        <w:tc>
          <w:tcPr>
            <w:tcW w:w="1548" w:type="pct"/>
            <w:tcBorders>
              <w:tl2br w:val="nil"/>
              <w:tr2bl w:val="nil"/>
            </w:tcBorders>
            <w:vAlign w:val="center"/>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年平均质量浓度</w:t>
            </w:r>
          </w:p>
        </w:tc>
        <w:tc>
          <w:tcPr>
            <w:tcW w:w="106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9</w:t>
            </w:r>
          </w:p>
        </w:tc>
        <w:tc>
          <w:tcPr>
            <w:tcW w:w="900"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60</w:t>
            </w:r>
          </w:p>
        </w:tc>
        <w:tc>
          <w:tcPr>
            <w:tcW w:w="446" w:type="pct"/>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15.0</w:t>
            </w:r>
          </w:p>
        </w:tc>
        <w:tc>
          <w:tcPr>
            <w:tcW w:w="44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9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NO</w:t>
            </w:r>
            <w:r>
              <w:rPr>
                <w:rFonts w:ascii="Times New Roman" w:hAnsi="Times New Roman" w:cs="Times New Roman"/>
                <w:smallCaps w:val="0"/>
                <w:color w:val="auto"/>
                <w:spacing w:val="0"/>
                <w:w w:val="100"/>
                <w:sz w:val="21"/>
                <w:szCs w:val="21"/>
                <w:highlight w:val="none"/>
                <w:vertAlign w:val="subscript"/>
              </w:rPr>
              <w:t>2</w:t>
            </w:r>
          </w:p>
        </w:tc>
        <w:tc>
          <w:tcPr>
            <w:tcW w:w="1548"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年平均质量浓度</w:t>
            </w:r>
          </w:p>
        </w:tc>
        <w:tc>
          <w:tcPr>
            <w:tcW w:w="1063"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18</w:t>
            </w:r>
          </w:p>
        </w:tc>
        <w:tc>
          <w:tcPr>
            <w:tcW w:w="900"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40</w:t>
            </w:r>
          </w:p>
        </w:tc>
        <w:tc>
          <w:tcPr>
            <w:tcW w:w="446" w:type="pct"/>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45.0</w:t>
            </w:r>
          </w:p>
        </w:tc>
        <w:tc>
          <w:tcPr>
            <w:tcW w:w="44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9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PM</w:t>
            </w:r>
            <w:r>
              <w:rPr>
                <w:rFonts w:ascii="Times New Roman" w:hAnsi="Times New Roman" w:cs="Times New Roman"/>
                <w:smallCaps w:val="0"/>
                <w:color w:val="auto"/>
                <w:spacing w:val="0"/>
                <w:w w:val="100"/>
                <w:sz w:val="21"/>
                <w:szCs w:val="21"/>
                <w:highlight w:val="none"/>
                <w:vertAlign w:val="subscript"/>
              </w:rPr>
              <w:t>10</w:t>
            </w:r>
          </w:p>
        </w:tc>
        <w:tc>
          <w:tcPr>
            <w:tcW w:w="1548"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年平均质量浓度</w:t>
            </w:r>
          </w:p>
        </w:tc>
        <w:tc>
          <w:tcPr>
            <w:tcW w:w="1063"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rPr>
              <w:t>41</w:t>
            </w:r>
          </w:p>
        </w:tc>
        <w:tc>
          <w:tcPr>
            <w:tcW w:w="900"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70</w:t>
            </w:r>
          </w:p>
        </w:tc>
        <w:tc>
          <w:tcPr>
            <w:tcW w:w="446" w:type="pct"/>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58.6</w:t>
            </w:r>
          </w:p>
        </w:tc>
        <w:tc>
          <w:tcPr>
            <w:tcW w:w="44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9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PM</w:t>
            </w:r>
            <w:r>
              <w:rPr>
                <w:rFonts w:ascii="Times New Roman" w:hAnsi="Times New Roman" w:cs="Times New Roman"/>
                <w:smallCaps w:val="0"/>
                <w:color w:val="auto"/>
                <w:spacing w:val="0"/>
                <w:w w:val="100"/>
                <w:sz w:val="21"/>
                <w:szCs w:val="21"/>
                <w:highlight w:val="none"/>
                <w:vertAlign w:val="subscript"/>
              </w:rPr>
              <w:t>2.5</w:t>
            </w:r>
          </w:p>
        </w:tc>
        <w:tc>
          <w:tcPr>
            <w:tcW w:w="1548"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年平均质量浓度</w:t>
            </w:r>
          </w:p>
        </w:tc>
        <w:tc>
          <w:tcPr>
            <w:tcW w:w="1063"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rPr>
              <w:t>27</w:t>
            </w:r>
          </w:p>
        </w:tc>
        <w:tc>
          <w:tcPr>
            <w:tcW w:w="900"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35</w:t>
            </w:r>
          </w:p>
        </w:tc>
        <w:tc>
          <w:tcPr>
            <w:tcW w:w="446" w:type="pct"/>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77.1</w:t>
            </w:r>
          </w:p>
        </w:tc>
        <w:tc>
          <w:tcPr>
            <w:tcW w:w="44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9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CO</w:t>
            </w:r>
          </w:p>
        </w:tc>
        <w:tc>
          <w:tcPr>
            <w:tcW w:w="1548"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ascii="Times New Roman" w:hAnsi="Times New Roman" w:cs="Times New Roman"/>
                <w:smallCaps w:val="0"/>
                <w:color w:val="auto"/>
                <w:spacing w:val="0"/>
                <w:w w:val="100"/>
                <w:sz w:val="21"/>
                <w:szCs w:val="21"/>
                <w:highlight w:val="none"/>
              </w:rPr>
              <w:t>24小时平均第95百分位数</w:t>
            </w:r>
          </w:p>
        </w:tc>
        <w:tc>
          <w:tcPr>
            <w:tcW w:w="1063"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rPr>
              <w:t>900</w:t>
            </w:r>
          </w:p>
        </w:tc>
        <w:tc>
          <w:tcPr>
            <w:tcW w:w="900"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4</w:t>
            </w:r>
            <w:r>
              <w:rPr>
                <w:rFonts w:hint="eastAsia" w:ascii="Times New Roman" w:hAnsi="Times New Roman" w:cs="Times New Roman"/>
                <w:smallCaps w:val="0"/>
                <w:color w:val="auto"/>
                <w:spacing w:val="0"/>
                <w:w w:val="100"/>
                <w:sz w:val="21"/>
                <w:szCs w:val="21"/>
                <w:highlight w:val="none"/>
              </w:rPr>
              <w:t>000</w:t>
            </w:r>
          </w:p>
        </w:tc>
        <w:tc>
          <w:tcPr>
            <w:tcW w:w="446" w:type="pct"/>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22.5</w:t>
            </w:r>
          </w:p>
        </w:tc>
        <w:tc>
          <w:tcPr>
            <w:tcW w:w="44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59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O</w:t>
            </w:r>
            <w:r>
              <w:rPr>
                <w:rFonts w:ascii="Times New Roman" w:hAnsi="Times New Roman" w:cs="Times New Roman"/>
                <w:smallCaps w:val="0"/>
                <w:color w:val="auto"/>
                <w:spacing w:val="0"/>
                <w:w w:val="100"/>
                <w:sz w:val="21"/>
                <w:szCs w:val="21"/>
                <w:highlight w:val="none"/>
                <w:vertAlign w:val="subscript"/>
              </w:rPr>
              <w:t>3</w:t>
            </w:r>
          </w:p>
        </w:tc>
        <w:tc>
          <w:tcPr>
            <w:tcW w:w="1548"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rPr>
              <w:t>8小时最大平均第90百分位数</w:t>
            </w:r>
          </w:p>
        </w:tc>
        <w:tc>
          <w:tcPr>
            <w:tcW w:w="1063"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rPr>
              <w:t>126</w:t>
            </w:r>
          </w:p>
        </w:tc>
        <w:tc>
          <w:tcPr>
            <w:tcW w:w="900"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160</w:t>
            </w:r>
          </w:p>
        </w:tc>
        <w:tc>
          <w:tcPr>
            <w:tcW w:w="446" w:type="pct"/>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78.8</w:t>
            </w:r>
          </w:p>
        </w:tc>
        <w:tc>
          <w:tcPr>
            <w:tcW w:w="44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达标</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（2）环境空气质量现状补充监测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①监测布点</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w:t>
      </w: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本项目特点</w:t>
      </w:r>
      <w:r>
        <w:rPr>
          <w:rFonts w:hint="default" w:ascii="Times New Roman" w:hAnsi="Times New Roman" w:eastAsia="宋体" w:cs="Times New Roman"/>
          <w:caps w:val="0"/>
          <w:smallCaps w:val="0"/>
          <w:color w:val="auto"/>
          <w:spacing w:val="0"/>
          <w:w w:val="100"/>
          <w:kern w:val="0"/>
          <w:sz w:val="24"/>
          <w:szCs w:val="24"/>
          <w:highlight w:val="none"/>
          <w:lang w:val="en-US" w:eastAsia="zh-CN"/>
        </w:rPr>
        <w:t>及《环境影响评价技术导则 大气环境》(HJ2.2-2018)要求，本项目选取2个环境空气监测点位，监测点位详见表4.2-2。</w:t>
      </w:r>
    </w:p>
    <w:p>
      <w:pPr>
        <w:widowControl/>
        <w:spacing w:line="360" w:lineRule="auto"/>
        <w:jc w:val="center"/>
        <w:rPr>
          <w:rFonts w:ascii="Times New Roman" w:hAnsi="Times New Roman" w:eastAsia="宋体" w:cs="Times New Roman"/>
          <w:b/>
          <w:bCs/>
          <w:smallCaps w:val="0"/>
          <w:color w:val="auto"/>
          <w:spacing w:val="0"/>
          <w:w w:val="100"/>
          <w:kern w:val="0"/>
          <w:sz w:val="24"/>
          <w:highlight w:val="none"/>
          <w:lang w:bidi="ar"/>
        </w:rPr>
      </w:pPr>
      <w:r>
        <w:rPr>
          <w:rFonts w:hint="eastAsia" w:ascii="Times New Roman" w:hAnsi="Times New Roman" w:eastAsia="宋体" w:cs="Times New Roman"/>
          <w:b/>
          <w:bCs/>
          <w:smallCaps w:val="0"/>
          <w:color w:val="auto"/>
          <w:spacing w:val="0"/>
          <w:w w:val="100"/>
          <w:kern w:val="0"/>
          <w:sz w:val="24"/>
          <w:highlight w:val="none"/>
          <w:lang w:bidi="ar"/>
        </w:rPr>
        <w:t>表</w:t>
      </w:r>
      <w:r>
        <w:rPr>
          <w:rFonts w:ascii="Times New Roman" w:hAnsi="Times New Roman" w:eastAsia="宋体" w:cs="Times New Roman"/>
          <w:b/>
          <w:bCs/>
          <w:smallCaps w:val="0"/>
          <w:color w:val="auto"/>
          <w:spacing w:val="0"/>
          <w:w w:val="100"/>
          <w:kern w:val="0"/>
          <w:sz w:val="24"/>
          <w:highlight w:val="none"/>
          <w:lang w:bidi="ar"/>
        </w:rPr>
        <w:t>4.</w:t>
      </w:r>
      <w:r>
        <w:rPr>
          <w:rFonts w:hint="eastAsia" w:ascii="Times New Roman" w:hAnsi="Times New Roman" w:eastAsia="宋体" w:cs="Times New Roman"/>
          <w:b/>
          <w:bCs/>
          <w:smallCaps w:val="0"/>
          <w:color w:val="auto"/>
          <w:spacing w:val="0"/>
          <w:w w:val="100"/>
          <w:kern w:val="0"/>
          <w:sz w:val="24"/>
          <w:highlight w:val="none"/>
          <w:lang w:bidi="ar"/>
        </w:rPr>
        <w:t>2</w:t>
      </w:r>
      <w:r>
        <w:rPr>
          <w:rFonts w:ascii="Times New Roman" w:hAnsi="Times New Roman" w:eastAsia="宋体" w:cs="Times New Roman"/>
          <w:b/>
          <w:bCs/>
          <w:smallCaps w:val="0"/>
          <w:color w:val="auto"/>
          <w:spacing w:val="0"/>
          <w:w w:val="100"/>
          <w:kern w:val="0"/>
          <w:sz w:val="24"/>
          <w:highlight w:val="none"/>
          <w:lang w:bidi="ar"/>
        </w:rPr>
        <w:t>-2</w:t>
      </w:r>
      <w:r>
        <w:rPr>
          <w:rFonts w:hint="eastAsia" w:ascii="Times New Roman" w:hAnsi="Times New Roman" w:eastAsia="宋体" w:cs="Times New Roman"/>
          <w:b/>
          <w:bCs/>
          <w:smallCaps w:val="0"/>
          <w:color w:val="auto"/>
          <w:spacing w:val="0"/>
          <w:w w:val="100"/>
          <w:kern w:val="0"/>
          <w:sz w:val="24"/>
          <w:highlight w:val="none"/>
          <w:lang w:bidi="ar"/>
        </w:rPr>
        <w:t>空气环境现状补充监测点位基本信息</w:t>
      </w:r>
    </w:p>
    <w:tbl>
      <w:tblPr>
        <w:tblStyle w:val="13"/>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24"/>
        <w:gridCol w:w="2206"/>
        <w:gridCol w:w="1339"/>
        <w:gridCol w:w="1856"/>
        <w:gridCol w:w="169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36"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监测点位</w:t>
            </w:r>
          </w:p>
        </w:tc>
        <w:tc>
          <w:tcPr>
            <w:tcW w:w="1295"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监测点坐标</w:t>
            </w:r>
          </w:p>
        </w:tc>
        <w:tc>
          <w:tcPr>
            <w:tcW w:w="786"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监测因子</w:t>
            </w:r>
          </w:p>
        </w:tc>
        <w:tc>
          <w:tcPr>
            <w:tcW w:w="1089"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监测时段</w:t>
            </w:r>
          </w:p>
        </w:tc>
        <w:tc>
          <w:tcPr>
            <w:tcW w:w="99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相对厂址方位</w:t>
            </w:r>
            <w:r>
              <w:rPr>
                <w:rFonts w:ascii="Times New Roman" w:hAnsi="Times New Roman" w:cs="Times New Roman"/>
                <w:smallCaps w:val="0"/>
                <w:color w:val="auto"/>
                <w:spacing w:val="0"/>
                <w:w w:val="100"/>
                <w:sz w:val="21"/>
                <w:szCs w:val="21"/>
                <w:highlight w:val="none"/>
              </w:rPr>
              <w:t>/</w:t>
            </w:r>
            <w:r>
              <w:rPr>
                <w:rFonts w:hint="eastAsia" w:ascii="Times New Roman" w:hAnsi="Times New Roman" w:cs="Times New Roman"/>
                <w:smallCaps w:val="0"/>
                <w:color w:val="auto"/>
                <w:spacing w:val="0"/>
                <w:w w:val="100"/>
                <w:sz w:val="21"/>
                <w:szCs w:val="21"/>
                <w:highlight w:val="none"/>
              </w:rPr>
              <w:t>距离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36"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三不管屯</w:t>
            </w:r>
          </w:p>
        </w:tc>
        <w:tc>
          <w:tcPr>
            <w:tcW w:w="1295"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eastAsia="zh-CN"/>
              </w:rPr>
            </w:pPr>
            <w:r>
              <w:rPr>
                <w:rFonts w:hint="eastAsia" w:ascii="Times New Roman" w:hAnsi="Times New Roman" w:cs="Times New Roman"/>
                <w:smallCaps w:val="0"/>
                <w:color w:val="auto"/>
                <w:spacing w:val="0"/>
                <w:w w:val="100"/>
                <w:sz w:val="21"/>
                <w:szCs w:val="21"/>
                <w:highlight w:val="none"/>
                <w:lang w:eastAsia="zh-CN"/>
              </w:rPr>
              <w:t>124.888907,45.939887</w:t>
            </w:r>
          </w:p>
        </w:tc>
        <w:tc>
          <w:tcPr>
            <w:tcW w:w="786" w:type="pct"/>
            <w:vMerge w:val="restar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氨、硫化氢、TSP</w:t>
            </w:r>
          </w:p>
        </w:tc>
        <w:tc>
          <w:tcPr>
            <w:tcW w:w="1089" w:type="pct"/>
            <w:vMerge w:val="restart"/>
            <w:tcBorders>
              <w:tl2br w:val="nil"/>
              <w:tr2bl w:val="nil"/>
            </w:tcBorders>
            <w:vAlign w:val="center"/>
          </w:tcPr>
          <w:p>
            <w:pPr>
              <w:widowControl/>
              <w:spacing w:line="360" w:lineRule="exact"/>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rPr>
              <w:t>氨、硫化氢每日</w:t>
            </w:r>
            <w:r>
              <w:rPr>
                <w:rFonts w:ascii="Times New Roman" w:hAnsi="Times New Roman" w:cs="Times New Roman"/>
                <w:smallCaps w:val="0"/>
                <w:color w:val="auto"/>
                <w:spacing w:val="0"/>
                <w:w w:val="100"/>
                <w:sz w:val="21"/>
                <w:szCs w:val="21"/>
                <w:highlight w:val="none"/>
              </w:rPr>
              <w:t>02</w:t>
            </w:r>
            <w:r>
              <w:rPr>
                <w:rFonts w:hint="eastAsia" w:ascii="Times New Roman" w:hAnsi="Times New Roman" w:cs="Times New Roman"/>
                <w:smallCaps w:val="0"/>
                <w:color w:val="auto"/>
                <w:spacing w:val="0"/>
                <w:w w:val="100"/>
                <w:sz w:val="21"/>
                <w:szCs w:val="21"/>
                <w:highlight w:val="none"/>
              </w:rPr>
              <w:t>、</w:t>
            </w:r>
            <w:r>
              <w:rPr>
                <w:rFonts w:ascii="Times New Roman" w:hAnsi="Times New Roman" w:cs="Times New Roman"/>
                <w:smallCaps w:val="0"/>
                <w:color w:val="auto"/>
                <w:spacing w:val="0"/>
                <w:w w:val="100"/>
                <w:sz w:val="21"/>
                <w:szCs w:val="21"/>
                <w:highlight w:val="none"/>
              </w:rPr>
              <w:t>08</w:t>
            </w:r>
            <w:r>
              <w:rPr>
                <w:rFonts w:hint="eastAsia" w:ascii="Times New Roman" w:hAnsi="Times New Roman" w:cs="Times New Roman"/>
                <w:smallCaps w:val="0"/>
                <w:color w:val="auto"/>
                <w:spacing w:val="0"/>
                <w:w w:val="100"/>
                <w:sz w:val="21"/>
                <w:szCs w:val="21"/>
                <w:highlight w:val="none"/>
              </w:rPr>
              <w:t>、</w:t>
            </w:r>
            <w:r>
              <w:rPr>
                <w:rFonts w:ascii="Times New Roman" w:hAnsi="Times New Roman" w:cs="Times New Roman"/>
                <w:smallCaps w:val="0"/>
                <w:color w:val="auto"/>
                <w:spacing w:val="0"/>
                <w:w w:val="100"/>
                <w:sz w:val="21"/>
                <w:szCs w:val="21"/>
                <w:highlight w:val="none"/>
              </w:rPr>
              <w:t>14</w:t>
            </w:r>
            <w:r>
              <w:rPr>
                <w:rFonts w:hint="eastAsia" w:ascii="Times New Roman" w:hAnsi="Times New Roman" w:cs="Times New Roman"/>
                <w:smallCaps w:val="0"/>
                <w:color w:val="auto"/>
                <w:spacing w:val="0"/>
                <w:w w:val="100"/>
                <w:sz w:val="21"/>
                <w:szCs w:val="21"/>
                <w:highlight w:val="none"/>
              </w:rPr>
              <w:t>、</w:t>
            </w:r>
            <w:r>
              <w:rPr>
                <w:rFonts w:ascii="Times New Roman" w:hAnsi="Times New Roman" w:cs="Times New Roman"/>
                <w:smallCaps w:val="0"/>
                <w:color w:val="auto"/>
                <w:spacing w:val="0"/>
                <w:w w:val="100"/>
                <w:sz w:val="21"/>
                <w:szCs w:val="21"/>
                <w:highlight w:val="none"/>
              </w:rPr>
              <w:t>20</w:t>
            </w:r>
            <w:r>
              <w:rPr>
                <w:rFonts w:hint="eastAsia" w:ascii="Times New Roman" w:hAnsi="Times New Roman" w:cs="Times New Roman"/>
                <w:smallCaps w:val="0"/>
                <w:color w:val="auto"/>
                <w:spacing w:val="0"/>
                <w:w w:val="100"/>
                <w:sz w:val="21"/>
                <w:szCs w:val="21"/>
                <w:highlight w:val="none"/>
              </w:rPr>
              <w:t>时</w:t>
            </w:r>
            <w:r>
              <w:rPr>
                <w:rFonts w:hint="eastAsia" w:ascii="Times New Roman" w:hAnsi="Times New Roman" w:cs="Times New Roman"/>
                <w:smallCaps w:val="0"/>
                <w:color w:val="auto"/>
                <w:spacing w:val="0"/>
                <w:w w:val="100"/>
                <w:sz w:val="21"/>
                <w:szCs w:val="21"/>
                <w:highlight w:val="none"/>
                <w:lang w:eastAsia="zh-CN"/>
              </w:rPr>
              <w:t>；</w:t>
            </w:r>
            <w:r>
              <w:rPr>
                <w:rFonts w:hint="eastAsia" w:ascii="Times New Roman" w:hAnsi="Times New Roman" w:cs="Times New Roman"/>
                <w:smallCaps w:val="0"/>
                <w:color w:val="auto"/>
                <w:spacing w:val="0"/>
                <w:w w:val="100"/>
                <w:sz w:val="21"/>
                <w:szCs w:val="21"/>
                <w:highlight w:val="none"/>
                <w:lang w:val="en-US" w:eastAsia="zh-CN"/>
              </w:rPr>
              <w:t>TSP监测日均值</w:t>
            </w:r>
          </w:p>
        </w:tc>
        <w:tc>
          <w:tcPr>
            <w:tcW w:w="992" w:type="pct"/>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西侧/515m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36"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建国村</w:t>
            </w:r>
          </w:p>
        </w:tc>
        <w:tc>
          <w:tcPr>
            <w:tcW w:w="1295"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eastAsia="zh-CN"/>
              </w:rPr>
            </w:pPr>
            <w:r>
              <w:rPr>
                <w:rFonts w:hint="eastAsia" w:ascii="Times New Roman" w:hAnsi="Times New Roman" w:cs="Times New Roman"/>
                <w:smallCaps w:val="0"/>
                <w:color w:val="auto"/>
                <w:spacing w:val="0"/>
                <w:w w:val="100"/>
                <w:sz w:val="21"/>
                <w:szCs w:val="21"/>
                <w:highlight w:val="none"/>
                <w:lang w:eastAsia="zh-CN"/>
              </w:rPr>
              <w:t>124.891235,45.964177</w:t>
            </w:r>
          </w:p>
        </w:tc>
        <w:tc>
          <w:tcPr>
            <w:tcW w:w="786"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1089"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992" w:type="pct"/>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西北侧/2713m</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②监测项目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氨、硫化氢、TSP。</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③监测时间和频率</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2022年</w:t>
      </w:r>
      <w:r>
        <w:rPr>
          <w:rFonts w:hint="eastAsia" w:ascii="Times New Roman" w:hAnsi="Times New Roman" w:eastAsia="宋体" w:cs="Times New Roman"/>
          <w:caps w:val="0"/>
          <w:smallCaps w:val="0"/>
          <w:color w:val="auto"/>
          <w:spacing w:val="0"/>
          <w:w w:val="100"/>
          <w:kern w:val="0"/>
          <w:sz w:val="24"/>
          <w:szCs w:val="24"/>
          <w:highlight w:val="none"/>
          <w:lang w:val="en-US" w:eastAsia="zh-CN"/>
        </w:rPr>
        <w:t>11</w:t>
      </w:r>
      <w:r>
        <w:rPr>
          <w:rFonts w:hint="default" w:ascii="Times New Roman" w:hAnsi="Times New Roman" w:eastAsia="宋体" w:cs="Times New Roman"/>
          <w:caps w:val="0"/>
          <w:smallCaps w:val="0"/>
          <w:color w:val="auto"/>
          <w:spacing w:val="0"/>
          <w:w w:val="100"/>
          <w:kern w:val="0"/>
          <w:sz w:val="24"/>
          <w:szCs w:val="24"/>
          <w:highlight w:val="none"/>
          <w:lang w:val="en-US" w:eastAsia="zh-CN"/>
        </w:rPr>
        <w:t>月1</w:t>
      </w: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日-</w:t>
      </w:r>
      <w:r>
        <w:rPr>
          <w:rFonts w:hint="eastAsia" w:ascii="Times New Roman" w:hAnsi="Times New Roman" w:eastAsia="宋体" w:cs="Times New Roman"/>
          <w:caps w:val="0"/>
          <w:smallCaps w:val="0"/>
          <w:color w:val="auto"/>
          <w:spacing w:val="0"/>
          <w:w w:val="100"/>
          <w:kern w:val="0"/>
          <w:sz w:val="24"/>
          <w:szCs w:val="24"/>
          <w:highlight w:val="none"/>
          <w:lang w:val="en-US" w:eastAsia="zh-CN"/>
        </w:rPr>
        <w:t>11</w:t>
      </w:r>
      <w:r>
        <w:rPr>
          <w:rFonts w:hint="default" w:ascii="Times New Roman" w:hAnsi="Times New Roman" w:eastAsia="宋体" w:cs="Times New Roman"/>
          <w:caps w:val="0"/>
          <w:smallCaps w:val="0"/>
          <w:color w:val="auto"/>
          <w:spacing w:val="0"/>
          <w:w w:val="100"/>
          <w:kern w:val="0"/>
          <w:sz w:val="24"/>
          <w:szCs w:val="24"/>
          <w:highlight w:val="none"/>
          <w:lang w:val="en-US" w:eastAsia="zh-CN"/>
        </w:rPr>
        <w:t>月</w:t>
      </w:r>
      <w:r>
        <w:rPr>
          <w:rFonts w:hint="eastAsia" w:ascii="Times New Roman" w:hAnsi="Times New Roman" w:eastAsia="宋体" w:cs="Times New Roman"/>
          <w:caps w:val="0"/>
          <w:smallCaps w:val="0"/>
          <w:color w:val="auto"/>
          <w:spacing w:val="0"/>
          <w:w w:val="100"/>
          <w:kern w:val="0"/>
          <w:sz w:val="24"/>
          <w:szCs w:val="24"/>
          <w:highlight w:val="none"/>
          <w:lang w:val="en-US" w:eastAsia="zh-CN"/>
        </w:rPr>
        <w:t>17</w:t>
      </w:r>
      <w:r>
        <w:rPr>
          <w:rFonts w:hint="default" w:ascii="Times New Roman" w:hAnsi="Times New Roman" w:eastAsia="宋体" w:cs="Times New Roman"/>
          <w:caps w:val="0"/>
          <w:smallCaps w:val="0"/>
          <w:color w:val="auto"/>
          <w:spacing w:val="0"/>
          <w:w w:val="100"/>
          <w:kern w:val="0"/>
          <w:sz w:val="24"/>
          <w:szCs w:val="24"/>
          <w:highlight w:val="none"/>
          <w:lang w:val="en-US" w:eastAsia="zh-CN"/>
        </w:rPr>
        <w:t>日，氨、硫化氢</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每天4次</w:t>
      </w:r>
      <w:r>
        <w:rPr>
          <w:rFonts w:hint="eastAsia" w:ascii="Times New Roman" w:hAnsi="Times New Roman" w:eastAsia="宋体" w:cs="Times New Roman"/>
          <w:caps w:val="0"/>
          <w:smallCaps w:val="0"/>
          <w:color w:val="auto"/>
          <w:spacing w:val="0"/>
          <w:w w:val="100"/>
          <w:kern w:val="0"/>
          <w:sz w:val="24"/>
          <w:szCs w:val="24"/>
          <w:highlight w:val="none"/>
          <w:lang w:val="en-US" w:eastAsia="zh-CN"/>
        </w:rPr>
        <w:t>；颗粒物，每天1次，</w:t>
      </w:r>
      <w:r>
        <w:rPr>
          <w:rFonts w:hint="default" w:ascii="Times New Roman" w:hAnsi="Times New Roman" w:eastAsia="宋体" w:cs="Times New Roman"/>
          <w:caps w:val="0"/>
          <w:smallCaps w:val="0"/>
          <w:color w:val="auto"/>
          <w:spacing w:val="0"/>
          <w:w w:val="100"/>
          <w:kern w:val="0"/>
          <w:sz w:val="24"/>
          <w:szCs w:val="24"/>
          <w:highlight w:val="none"/>
          <w:lang w:val="en-US" w:eastAsia="zh-CN"/>
        </w:rPr>
        <w:t>连续监测7天。</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④评价方法：</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根据《环境影响评价技术导则 大气环境》（HJ2.2-2018）中6.4.3.2“取各污染物不同评价时段监测浓度的最大值，作为评价范围内环境空气保护目标及网格点环境质量现状浓度”。计算公式为</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drawing>
          <wp:inline distT="0" distB="0" distL="114300" distR="114300">
            <wp:extent cx="3413760" cy="670560"/>
            <wp:effectExtent l="0" t="0" r="15240" b="15240"/>
            <wp:docPr id="3" name="图片 3" descr="环境空气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环境空气公示"/>
                    <pic:cNvPicPr>
                      <a:picLocks noChangeAspect="1"/>
                    </pic:cNvPicPr>
                  </pic:nvPicPr>
                  <pic:blipFill>
                    <a:blip r:embed="rId20"/>
                    <a:stretch>
                      <a:fillRect/>
                    </a:stretch>
                  </pic:blipFill>
                  <pic:spPr>
                    <a:xfrm>
                      <a:off x="0" y="0"/>
                      <a:ext cx="3413760" cy="67056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式中：C现状（x，y）——环境空气保护目标及网格点（x，y）环境质量现状浓度，μg/m3；</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C监测（x，y）——第j个监测点位在t时刻环境质量现状浓度（包括1h平均、8h平均或日平均质量浓度），μg/m3；</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n——现状补充监测点位数。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再采用浓度占标率法评价。计算公式为：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Pi=（Ci/C0i）×100%</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式中：Pi—第i个污染物的最大地面浓度占标率，%；</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Ci—采用估算模型计算出的第i个污染物的最大地面浓度，mg/m3；</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C0i—第i个污染物的环境空气质量浓度标准，mg/m3。</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⑤监测与评价结果</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监测与统计结果见表4.2-3。</w:t>
      </w:r>
    </w:p>
    <w:p>
      <w:pPr>
        <w:widowControl/>
        <w:spacing w:line="360" w:lineRule="auto"/>
        <w:jc w:val="center"/>
        <w:rPr>
          <w:rFonts w:ascii="Times New Roman" w:hAnsi="Times New Roman" w:eastAsia="宋体" w:cs="Times New Roman"/>
          <w:b/>
          <w:bCs/>
          <w:smallCaps w:val="0"/>
          <w:color w:val="auto"/>
          <w:spacing w:val="0"/>
          <w:w w:val="100"/>
          <w:kern w:val="0"/>
          <w:sz w:val="24"/>
          <w:highlight w:val="none"/>
          <w:lang w:bidi="ar"/>
        </w:rPr>
      </w:pPr>
      <w:r>
        <w:rPr>
          <w:rFonts w:hint="eastAsia" w:ascii="Times New Roman" w:hAnsi="Times New Roman" w:eastAsia="宋体" w:cs="Times New Roman"/>
          <w:b/>
          <w:bCs/>
          <w:smallCaps w:val="0"/>
          <w:color w:val="auto"/>
          <w:spacing w:val="0"/>
          <w:w w:val="100"/>
          <w:kern w:val="0"/>
          <w:sz w:val="24"/>
          <w:highlight w:val="none"/>
          <w:lang w:bidi="ar"/>
        </w:rPr>
        <w:t>表</w:t>
      </w:r>
      <w:r>
        <w:rPr>
          <w:rFonts w:ascii="Times New Roman" w:hAnsi="Times New Roman" w:eastAsia="宋体" w:cs="Times New Roman"/>
          <w:b/>
          <w:bCs/>
          <w:smallCaps w:val="0"/>
          <w:color w:val="auto"/>
          <w:spacing w:val="0"/>
          <w:w w:val="100"/>
          <w:kern w:val="0"/>
          <w:sz w:val="24"/>
          <w:highlight w:val="none"/>
          <w:lang w:bidi="ar"/>
        </w:rPr>
        <w:t>4.</w:t>
      </w:r>
      <w:r>
        <w:rPr>
          <w:rFonts w:hint="eastAsia" w:ascii="Times New Roman" w:hAnsi="Times New Roman" w:eastAsia="宋体" w:cs="Times New Roman"/>
          <w:b/>
          <w:bCs/>
          <w:smallCaps w:val="0"/>
          <w:color w:val="auto"/>
          <w:spacing w:val="0"/>
          <w:w w:val="100"/>
          <w:kern w:val="0"/>
          <w:sz w:val="24"/>
          <w:highlight w:val="none"/>
          <w:lang w:bidi="ar"/>
        </w:rPr>
        <w:t>2</w:t>
      </w:r>
      <w:r>
        <w:rPr>
          <w:rFonts w:ascii="Times New Roman" w:hAnsi="Times New Roman" w:eastAsia="宋体" w:cs="Times New Roman"/>
          <w:b/>
          <w:bCs/>
          <w:smallCaps w:val="0"/>
          <w:color w:val="auto"/>
          <w:spacing w:val="0"/>
          <w:w w:val="100"/>
          <w:kern w:val="0"/>
          <w:sz w:val="24"/>
          <w:highlight w:val="none"/>
          <w:lang w:bidi="ar"/>
        </w:rPr>
        <w:t>-3</w:t>
      </w:r>
      <w:r>
        <w:rPr>
          <w:rFonts w:hint="eastAsia" w:ascii="Times New Roman" w:hAnsi="Times New Roman" w:eastAsia="宋体" w:cs="Times New Roman"/>
          <w:b/>
          <w:bCs/>
          <w:smallCaps w:val="0"/>
          <w:color w:val="auto"/>
          <w:spacing w:val="0"/>
          <w:w w:val="100"/>
          <w:kern w:val="0"/>
          <w:sz w:val="24"/>
          <w:highlight w:val="none"/>
          <w:lang w:bidi="ar"/>
        </w:rPr>
        <w:t>其他污染物</w:t>
      </w:r>
      <w:r>
        <w:rPr>
          <w:rFonts w:hint="eastAsia" w:ascii="Times New Roman" w:hAnsi="Times New Roman" w:eastAsia="宋体" w:cs="Times New Roman"/>
          <w:b/>
          <w:bCs/>
          <w:smallCaps w:val="0"/>
          <w:color w:val="auto"/>
          <w:spacing w:val="0"/>
          <w:w w:val="100"/>
          <w:kern w:val="0"/>
          <w:sz w:val="24"/>
          <w:highlight w:val="none"/>
          <w:lang w:val="en-US" w:eastAsia="zh-CN" w:bidi="ar"/>
        </w:rPr>
        <w:t>环</w:t>
      </w:r>
      <w:r>
        <w:rPr>
          <w:rFonts w:hint="eastAsia" w:ascii="Times New Roman" w:hAnsi="Times New Roman" w:eastAsia="宋体" w:cs="Times New Roman"/>
          <w:b/>
          <w:bCs/>
          <w:smallCaps w:val="0"/>
          <w:color w:val="auto"/>
          <w:spacing w:val="0"/>
          <w:w w:val="100"/>
          <w:kern w:val="0"/>
          <w:sz w:val="24"/>
          <w:highlight w:val="none"/>
          <w:lang w:bidi="ar"/>
        </w:rPr>
        <w:t>境质量现状</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94"/>
        <w:gridCol w:w="856"/>
        <w:gridCol w:w="749"/>
        <w:gridCol w:w="930"/>
        <w:gridCol w:w="1097"/>
        <w:gridCol w:w="1054"/>
        <w:gridCol w:w="917"/>
        <w:gridCol w:w="919"/>
        <w:gridCol w:w="90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监测</w:t>
            </w:r>
          </w:p>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点位</w:t>
            </w:r>
          </w:p>
        </w:tc>
        <w:tc>
          <w:tcPr>
            <w:tcW w:w="85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污染物</w:t>
            </w:r>
          </w:p>
        </w:tc>
        <w:tc>
          <w:tcPr>
            <w:tcW w:w="74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平均</w:t>
            </w:r>
          </w:p>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时间</w:t>
            </w:r>
          </w:p>
        </w:tc>
        <w:tc>
          <w:tcPr>
            <w:tcW w:w="93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评价</w:t>
            </w:r>
          </w:p>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标准</w:t>
            </w:r>
          </w:p>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m</w:t>
            </w:r>
            <w:r>
              <w:rPr>
                <w:rFonts w:hint="eastAsia" w:ascii="Times New Roman" w:hAnsi="Times New Roman" w:cs="Times New Roman"/>
                <w:smallCaps w:val="0"/>
                <w:color w:val="auto"/>
                <w:spacing w:val="0"/>
                <w:w w:val="100"/>
                <w:sz w:val="21"/>
                <w:szCs w:val="21"/>
                <w:highlight w:val="none"/>
              </w:rPr>
              <w:t>g/m3</w:t>
            </w:r>
          </w:p>
        </w:tc>
        <w:tc>
          <w:tcPr>
            <w:tcW w:w="10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监测浓度范围</w:t>
            </w:r>
          </w:p>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m</w:t>
            </w:r>
            <w:r>
              <w:rPr>
                <w:rFonts w:hint="eastAsia" w:ascii="Times New Roman" w:hAnsi="Times New Roman" w:cs="Times New Roman"/>
                <w:smallCaps w:val="0"/>
                <w:color w:val="auto"/>
                <w:spacing w:val="0"/>
                <w:w w:val="100"/>
                <w:sz w:val="21"/>
                <w:szCs w:val="21"/>
                <w:highlight w:val="none"/>
              </w:rPr>
              <w:t>g/m3</w:t>
            </w:r>
          </w:p>
        </w:tc>
        <w:tc>
          <w:tcPr>
            <w:tcW w:w="1054"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监测浓度的最大值</w:t>
            </w:r>
            <w:r>
              <w:rPr>
                <w:rFonts w:hint="eastAsia" w:ascii="Times New Roman" w:hAnsi="Times New Roman" w:cs="Times New Roman"/>
                <w:smallCaps w:val="0"/>
                <w:color w:val="auto"/>
                <w:spacing w:val="0"/>
                <w:w w:val="100"/>
                <w:sz w:val="21"/>
                <w:szCs w:val="21"/>
                <w:highlight w:val="none"/>
                <w:lang w:val="en-US" w:eastAsia="zh-CN"/>
              </w:rPr>
              <w:t>m</w:t>
            </w:r>
            <w:r>
              <w:rPr>
                <w:rFonts w:hint="eastAsia" w:ascii="Times New Roman" w:hAnsi="Times New Roman" w:cs="Times New Roman"/>
                <w:smallCaps w:val="0"/>
                <w:color w:val="auto"/>
                <w:spacing w:val="0"/>
                <w:w w:val="100"/>
                <w:sz w:val="21"/>
                <w:szCs w:val="21"/>
                <w:highlight w:val="none"/>
              </w:rPr>
              <w:t>g/m3</w:t>
            </w:r>
          </w:p>
        </w:tc>
        <w:tc>
          <w:tcPr>
            <w:tcW w:w="91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最大浓度占标率%</w:t>
            </w:r>
          </w:p>
        </w:tc>
        <w:tc>
          <w:tcPr>
            <w:tcW w:w="91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超标</w:t>
            </w:r>
          </w:p>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率%</w:t>
            </w:r>
          </w:p>
        </w:tc>
        <w:tc>
          <w:tcPr>
            <w:tcW w:w="90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达标</w:t>
            </w:r>
          </w:p>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三不管屯</w:t>
            </w:r>
          </w:p>
        </w:tc>
        <w:tc>
          <w:tcPr>
            <w:tcW w:w="856" w:type="dxa"/>
            <w:vMerge w:val="restart"/>
            <w:tcBorders>
              <w:tl2br w:val="nil"/>
              <w:tr2bl w:val="nil"/>
            </w:tcBorders>
            <w:vAlign w:val="center"/>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氨气</w:t>
            </w:r>
          </w:p>
        </w:tc>
        <w:tc>
          <w:tcPr>
            <w:tcW w:w="749"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1h</w:t>
            </w:r>
          </w:p>
        </w:tc>
        <w:tc>
          <w:tcPr>
            <w:tcW w:w="930" w:type="dxa"/>
            <w:vMerge w:val="restart"/>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0.2</w:t>
            </w:r>
          </w:p>
        </w:tc>
        <w:tc>
          <w:tcPr>
            <w:tcW w:w="109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0.03-0.10</w:t>
            </w:r>
          </w:p>
        </w:tc>
        <w:tc>
          <w:tcPr>
            <w:tcW w:w="1054" w:type="dxa"/>
            <w:vMerge w:val="restart"/>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0.08</w:t>
            </w:r>
          </w:p>
        </w:tc>
        <w:tc>
          <w:tcPr>
            <w:tcW w:w="917" w:type="dxa"/>
            <w:vMerge w:val="restart"/>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40</w:t>
            </w:r>
          </w:p>
        </w:tc>
        <w:tc>
          <w:tcPr>
            <w:tcW w:w="919" w:type="dxa"/>
            <w:vMerge w:val="restart"/>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w:t>
            </w:r>
          </w:p>
        </w:tc>
        <w:tc>
          <w:tcPr>
            <w:tcW w:w="900"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建国村</w:t>
            </w:r>
          </w:p>
        </w:tc>
        <w:tc>
          <w:tcPr>
            <w:tcW w:w="856"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p>
        </w:tc>
        <w:tc>
          <w:tcPr>
            <w:tcW w:w="749"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p>
        </w:tc>
        <w:tc>
          <w:tcPr>
            <w:tcW w:w="93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p>
        </w:tc>
        <w:tc>
          <w:tcPr>
            <w:tcW w:w="109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0.04-0.12</w:t>
            </w:r>
          </w:p>
        </w:tc>
        <w:tc>
          <w:tcPr>
            <w:tcW w:w="1054"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917" w:type="dxa"/>
            <w:vMerge w:val="continue"/>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p>
        </w:tc>
        <w:tc>
          <w:tcPr>
            <w:tcW w:w="919" w:type="dxa"/>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900" w:type="dxa"/>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三不管屯</w:t>
            </w:r>
          </w:p>
        </w:tc>
        <w:tc>
          <w:tcPr>
            <w:tcW w:w="856"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硫化氢</w:t>
            </w:r>
          </w:p>
        </w:tc>
        <w:tc>
          <w:tcPr>
            <w:tcW w:w="749"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rPr>
              <w:t>1h</w:t>
            </w:r>
          </w:p>
        </w:tc>
        <w:tc>
          <w:tcPr>
            <w:tcW w:w="930" w:type="dxa"/>
            <w:vMerge w:val="restart"/>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0.01</w:t>
            </w:r>
          </w:p>
        </w:tc>
        <w:tc>
          <w:tcPr>
            <w:tcW w:w="109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0.003-0.008</w:t>
            </w:r>
          </w:p>
        </w:tc>
        <w:tc>
          <w:tcPr>
            <w:tcW w:w="1054" w:type="dxa"/>
            <w:vMerge w:val="restart"/>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0.007</w:t>
            </w:r>
          </w:p>
        </w:tc>
        <w:tc>
          <w:tcPr>
            <w:tcW w:w="917" w:type="dxa"/>
            <w:vMerge w:val="restart"/>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70</w:t>
            </w:r>
          </w:p>
        </w:tc>
        <w:tc>
          <w:tcPr>
            <w:tcW w:w="919" w:type="dxa"/>
            <w:vMerge w:val="restart"/>
            <w:tcBorders>
              <w:tl2br w:val="nil"/>
              <w:tr2bl w:val="nil"/>
            </w:tcBorders>
            <w:vAlign w:val="center"/>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w:t>
            </w:r>
          </w:p>
        </w:tc>
        <w:tc>
          <w:tcPr>
            <w:tcW w:w="900" w:type="dxa"/>
            <w:vMerge w:val="restar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建国村</w:t>
            </w:r>
          </w:p>
        </w:tc>
        <w:tc>
          <w:tcPr>
            <w:tcW w:w="856"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p>
        </w:tc>
        <w:tc>
          <w:tcPr>
            <w:tcW w:w="749"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93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109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0.005-0.008</w:t>
            </w:r>
          </w:p>
        </w:tc>
        <w:tc>
          <w:tcPr>
            <w:tcW w:w="1054"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917" w:type="dxa"/>
            <w:vMerge w:val="continue"/>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p>
        </w:tc>
        <w:tc>
          <w:tcPr>
            <w:tcW w:w="919" w:type="dxa"/>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900" w:type="dxa"/>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三不管屯</w:t>
            </w:r>
          </w:p>
        </w:tc>
        <w:tc>
          <w:tcPr>
            <w:tcW w:w="856" w:type="dxa"/>
            <w:vMerge w:val="restart"/>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TSP</w:t>
            </w:r>
          </w:p>
        </w:tc>
        <w:tc>
          <w:tcPr>
            <w:tcW w:w="749" w:type="dxa"/>
            <w:vMerge w:val="restart"/>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24h</w:t>
            </w:r>
          </w:p>
        </w:tc>
        <w:tc>
          <w:tcPr>
            <w:tcW w:w="930" w:type="dxa"/>
            <w:vMerge w:val="restart"/>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300</w:t>
            </w:r>
          </w:p>
        </w:tc>
        <w:tc>
          <w:tcPr>
            <w:tcW w:w="1097" w:type="dxa"/>
            <w:vMerge w:val="restart"/>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0.115-0.140</w:t>
            </w:r>
          </w:p>
        </w:tc>
        <w:tc>
          <w:tcPr>
            <w:tcW w:w="1054" w:type="dxa"/>
            <w:vMerge w:val="restart"/>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0.140</w:t>
            </w:r>
          </w:p>
        </w:tc>
        <w:tc>
          <w:tcPr>
            <w:tcW w:w="917" w:type="dxa"/>
            <w:vMerge w:val="restart"/>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46.7</w:t>
            </w:r>
          </w:p>
        </w:tc>
        <w:tc>
          <w:tcPr>
            <w:tcW w:w="919" w:type="dxa"/>
            <w:vMerge w:val="restart"/>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w:t>
            </w:r>
          </w:p>
        </w:tc>
        <w:tc>
          <w:tcPr>
            <w:tcW w:w="900" w:type="dxa"/>
            <w:vMerge w:val="restar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9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建国村</w:t>
            </w:r>
          </w:p>
        </w:tc>
        <w:tc>
          <w:tcPr>
            <w:tcW w:w="856"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p>
        </w:tc>
        <w:tc>
          <w:tcPr>
            <w:tcW w:w="749"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93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1097"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1054"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917" w:type="dxa"/>
            <w:vMerge w:val="continue"/>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p>
        </w:tc>
        <w:tc>
          <w:tcPr>
            <w:tcW w:w="919"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900" w:type="dxa"/>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由表4.2-3可知，评价区域环境空气监测点位</w:t>
      </w:r>
      <w:r>
        <w:rPr>
          <w:rFonts w:hint="eastAsia" w:ascii="Times New Roman" w:hAnsi="Times New Roman" w:eastAsia="宋体" w:cs="Times New Roman"/>
          <w:caps w:val="0"/>
          <w:smallCaps w:val="0"/>
          <w:color w:val="auto"/>
          <w:spacing w:val="0"/>
          <w:w w:val="100"/>
          <w:kern w:val="0"/>
          <w:sz w:val="24"/>
          <w:szCs w:val="24"/>
          <w:highlight w:val="none"/>
          <w:lang w:val="en-US" w:eastAsia="zh-CN"/>
        </w:rPr>
        <w:t>氨气及硫化氢满足《环境影响评价技术导则 大气环境》（HJ2.1-2018）表D.1限值要求。颗粒物</w:t>
      </w:r>
      <w:r>
        <w:rPr>
          <w:rFonts w:hint="default" w:ascii="Times New Roman" w:hAnsi="Times New Roman" w:eastAsia="宋体" w:cs="Times New Roman"/>
          <w:caps w:val="0"/>
          <w:smallCaps w:val="0"/>
          <w:color w:val="auto"/>
          <w:spacing w:val="0"/>
          <w:w w:val="100"/>
          <w:kern w:val="0"/>
          <w:sz w:val="24"/>
          <w:szCs w:val="24"/>
          <w:highlight w:val="none"/>
          <w:lang w:val="en-US" w:eastAsia="zh-CN"/>
        </w:rPr>
        <w:t>满足</w:t>
      </w:r>
      <w:r>
        <w:rPr>
          <w:rFonts w:hint="eastAsia" w:ascii="Times New Roman" w:hAnsi="Times New Roman" w:eastAsia="宋体" w:cs="Times New Roman"/>
          <w:caps w:val="0"/>
          <w:smallCaps w:val="0"/>
          <w:color w:val="auto"/>
          <w:spacing w:val="0"/>
          <w:w w:val="100"/>
          <w:kern w:val="0"/>
          <w:sz w:val="24"/>
          <w:szCs w:val="24"/>
          <w:highlight w:val="none"/>
          <w:lang w:val="en-US" w:eastAsia="zh-CN"/>
        </w:rPr>
        <w:t>《环境空气质量标准》（GB3095-2012）二级日均值限值要求。</w:t>
      </w:r>
      <w:r>
        <w:rPr>
          <w:rFonts w:hint="default" w:ascii="Times New Roman" w:hAnsi="Times New Roman" w:eastAsia="宋体" w:cs="Times New Roman"/>
          <w:caps w:val="0"/>
          <w:smallCaps w:val="0"/>
          <w:color w:val="auto"/>
          <w:spacing w:val="0"/>
          <w:w w:val="100"/>
          <w:kern w:val="0"/>
          <w:sz w:val="24"/>
          <w:szCs w:val="24"/>
          <w:highlight w:val="none"/>
          <w:lang w:val="en-US" w:eastAsia="zh-CN"/>
        </w:rPr>
        <w:t>项目所在区域特征污染物浓度达标。</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4.2.2地表水环境质量现状调查与评价</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环境质量现状</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①古恰泄洪闸口断面</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根据2016年-2021年对古恰泄洪闸口断面监测数据表明，古恰泄洪闸口地表水体质量常年为地表水劣Ⅴ类。</w:t>
      </w:r>
    </w:p>
    <w:p>
      <w:pPr>
        <w:widowControl/>
        <w:spacing w:line="360" w:lineRule="auto"/>
        <w:jc w:val="center"/>
        <w:rPr>
          <w:rFonts w:hint="default" w:ascii="Times New Roman" w:hAnsi="Times New Roman" w:eastAsia="宋体" w:cs="Times New Roman"/>
          <w:b/>
          <w:bCs/>
          <w:smallCaps w:val="0"/>
          <w:color w:val="auto"/>
          <w:spacing w:val="0"/>
          <w:w w:val="100"/>
          <w:kern w:val="0"/>
          <w:sz w:val="24"/>
          <w:highlight w:val="none"/>
          <w:lang w:val="en-US" w:eastAsia="zh-CN" w:bidi="ar"/>
        </w:rPr>
      </w:pPr>
      <w:r>
        <w:rPr>
          <w:rFonts w:hint="eastAsia" w:ascii="Times New Roman" w:hAnsi="Times New Roman" w:eastAsia="宋体" w:cs="Times New Roman"/>
          <w:b/>
          <w:bCs/>
          <w:smallCaps w:val="0"/>
          <w:color w:val="auto"/>
          <w:spacing w:val="0"/>
          <w:w w:val="100"/>
          <w:kern w:val="0"/>
          <w:sz w:val="24"/>
          <w:highlight w:val="none"/>
          <w:lang w:val="en-US" w:eastAsia="zh-CN" w:bidi="ar"/>
        </w:rPr>
        <w:t xml:space="preserve">表4.2-4 </w:t>
      </w:r>
      <w:r>
        <w:rPr>
          <w:rFonts w:hint="default" w:ascii="Times New Roman" w:hAnsi="Times New Roman" w:eastAsia="宋体" w:cs="Times New Roman"/>
          <w:b/>
          <w:bCs/>
          <w:smallCaps w:val="0"/>
          <w:color w:val="auto"/>
          <w:spacing w:val="0"/>
          <w:w w:val="100"/>
          <w:kern w:val="0"/>
          <w:sz w:val="24"/>
          <w:highlight w:val="none"/>
          <w:lang w:val="en-US" w:eastAsia="zh-CN" w:bidi="ar"/>
        </w:rPr>
        <w:t>古恰泄洪闸口断面</w:t>
      </w:r>
      <w:r>
        <w:rPr>
          <w:rFonts w:hint="eastAsia" w:ascii="Times New Roman" w:hAnsi="Times New Roman" w:eastAsia="宋体" w:cs="Times New Roman"/>
          <w:b/>
          <w:bCs/>
          <w:smallCaps w:val="0"/>
          <w:color w:val="auto"/>
          <w:spacing w:val="0"/>
          <w:w w:val="100"/>
          <w:kern w:val="0"/>
          <w:sz w:val="24"/>
          <w:highlight w:val="none"/>
          <w:lang w:val="en-US" w:eastAsia="zh-CN" w:bidi="ar"/>
        </w:rPr>
        <w:t>2016-2021年监测数据</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26"/>
        <w:gridCol w:w="693"/>
        <w:gridCol w:w="807"/>
        <w:gridCol w:w="739"/>
        <w:gridCol w:w="1558"/>
        <w:gridCol w:w="419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2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监测断面</w:t>
            </w:r>
          </w:p>
        </w:tc>
        <w:tc>
          <w:tcPr>
            <w:tcW w:w="6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年份</w:t>
            </w:r>
          </w:p>
        </w:tc>
        <w:tc>
          <w:tcPr>
            <w:tcW w:w="8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评价</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结果</w:t>
            </w:r>
          </w:p>
        </w:tc>
        <w:tc>
          <w:tcPr>
            <w:tcW w:w="7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是否</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超标</w:t>
            </w:r>
          </w:p>
        </w:tc>
        <w:tc>
          <w:tcPr>
            <w:tcW w:w="155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超标因子/超标倍数</w:t>
            </w:r>
          </w:p>
        </w:tc>
        <w:tc>
          <w:tcPr>
            <w:tcW w:w="41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超标月数（因子/倍数）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52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古恰泄洪闸口断面</w:t>
            </w:r>
          </w:p>
        </w:tc>
        <w:tc>
          <w:tcPr>
            <w:tcW w:w="6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2016</w:t>
            </w:r>
          </w:p>
        </w:tc>
        <w:tc>
          <w:tcPr>
            <w:tcW w:w="8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劣Ⅴ</w:t>
            </w:r>
          </w:p>
        </w:tc>
        <w:tc>
          <w:tcPr>
            <w:tcW w:w="7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是</w:t>
            </w:r>
          </w:p>
        </w:tc>
        <w:tc>
          <w:tcPr>
            <w:tcW w:w="155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化学需氧量（0.66）；总磷（0.11）</w:t>
            </w:r>
          </w:p>
        </w:tc>
        <w:tc>
          <w:tcPr>
            <w:tcW w:w="41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6、7、9、10月化学需氧量（1.23、0.95、0.73、0.51）6、7月总磷（0.82、0.50）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52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6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2017</w:t>
            </w:r>
          </w:p>
        </w:tc>
        <w:tc>
          <w:tcPr>
            <w:tcW w:w="8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劣Ⅴ</w:t>
            </w:r>
          </w:p>
        </w:tc>
        <w:tc>
          <w:tcPr>
            <w:tcW w:w="7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是</w:t>
            </w:r>
          </w:p>
        </w:tc>
        <w:tc>
          <w:tcPr>
            <w:tcW w:w="155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化学需氧量（1.12）</w:t>
            </w:r>
          </w:p>
        </w:tc>
        <w:tc>
          <w:tcPr>
            <w:tcW w:w="41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5、6、7、8、9、10、11月化学需氧量（1.55、1.23、1.45、1.00、0.90、0.83、0.90）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52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6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2018</w:t>
            </w:r>
          </w:p>
        </w:tc>
        <w:tc>
          <w:tcPr>
            <w:tcW w:w="8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劣Ⅴ</w:t>
            </w:r>
          </w:p>
        </w:tc>
        <w:tc>
          <w:tcPr>
            <w:tcW w:w="7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是</w:t>
            </w:r>
          </w:p>
        </w:tc>
        <w:tc>
          <w:tcPr>
            <w:tcW w:w="155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化学需氧量（0.61）</w:t>
            </w:r>
          </w:p>
        </w:tc>
        <w:tc>
          <w:tcPr>
            <w:tcW w:w="41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5、7、8、10、11月化学需氧量（1.10、0.83、0.23、0.70、0.88）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52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6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2019</w:t>
            </w:r>
          </w:p>
        </w:tc>
        <w:tc>
          <w:tcPr>
            <w:tcW w:w="8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劣Ⅴ</w:t>
            </w:r>
          </w:p>
        </w:tc>
        <w:tc>
          <w:tcPr>
            <w:tcW w:w="7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是</w:t>
            </w:r>
          </w:p>
        </w:tc>
        <w:tc>
          <w:tcPr>
            <w:tcW w:w="155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化学需氧量（0.6</w:t>
            </w:r>
            <w:r>
              <w:rPr>
                <w:rFonts w:hint="eastAsia" w:ascii="Times New Roman" w:hAnsi="Times New Roman" w:cs="Times New Roman"/>
                <w:color w:val="auto"/>
                <w:sz w:val="21"/>
                <w:szCs w:val="21"/>
                <w:highlight w:val="none"/>
                <w:vertAlign w:val="baseline"/>
                <w:lang w:val="en-US" w:eastAsia="zh-CN"/>
              </w:rPr>
              <w:t>9</w:t>
            </w:r>
            <w:r>
              <w:rPr>
                <w:rFonts w:hint="default" w:ascii="Times New Roman" w:hAnsi="Times New Roman" w:cs="Times New Roman"/>
                <w:color w:val="auto"/>
                <w:sz w:val="21"/>
                <w:szCs w:val="21"/>
                <w:highlight w:val="none"/>
                <w:vertAlign w:val="baseline"/>
                <w:lang w:val="en-US" w:eastAsia="zh-CN"/>
              </w:rPr>
              <w:t>）</w:t>
            </w:r>
          </w:p>
        </w:tc>
        <w:tc>
          <w:tcPr>
            <w:tcW w:w="41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5、6、7、8、9、10、11月化学需氧量（1.35、1.23、0.43、0.40、0.35、0.48、0.58）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52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6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2020</w:t>
            </w:r>
          </w:p>
        </w:tc>
        <w:tc>
          <w:tcPr>
            <w:tcW w:w="8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劣Ⅴ</w:t>
            </w:r>
          </w:p>
        </w:tc>
        <w:tc>
          <w:tcPr>
            <w:tcW w:w="7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是</w:t>
            </w:r>
          </w:p>
        </w:tc>
        <w:tc>
          <w:tcPr>
            <w:tcW w:w="155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化学需氧量（0.01）；总磷（0.05）</w:t>
            </w:r>
          </w:p>
        </w:tc>
        <w:tc>
          <w:tcPr>
            <w:tcW w:w="41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5、6、7、8月化学需氧量（0.10、0.23、0.20、0.02）</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5、6、7、8月总磷（0.10、0.23、0.20、0.02）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76" w:hRule="atLeast"/>
        </w:trPr>
        <w:tc>
          <w:tcPr>
            <w:tcW w:w="52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6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2021</w:t>
            </w:r>
          </w:p>
        </w:tc>
        <w:tc>
          <w:tcPr>
            <w:tcW w:w="80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劣Ⅴ</w:t>
            </w:r>
          </w:p>
        </w:tc>
        <w:tc>
          <w:tcPr>
            <w:tcW w:w="7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是</w:t>
            </w:r>
          </w:p>
        </w:tc>
        <w:tc>
          <w:tcPr>
            <w:tcW w:w="155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化学需氧量（0.35）</w:t>
            </w:r>
          </w:p>
        </w:tc>
        <w:tc>
          <w:tcPr>
            <w:tcW w:w="419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3、4、5、6、7月化学需氧量（0.35、0.33、0.38、0.23、0.44）</w:t>
            </w:r>
          </w:p>
        </w:tc>
      </w:tr>
    </w:tbl>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8516" w:type="dxa"/>
            <w:tcBorders>
              <w:tl2br w:val="nil"/>
              <w:tr2bl w:val="nil"/>
            </w:tcBorders>
          </w:tcPr>
          <w:p>
            <w:pPr>
              <w:widowControl/>
              <w:spacing w:line="240" w:lineRule="auto"/>
              <w:jc w:val="both"/>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drawing>
                <wp:inline distT="0" distB="0" distL="114300" distR="114300">
                  <wp:extent cx="5266690" cy="2399665"/>
                  <wp:effectExtent l="0" t="0" r="10160" b="635"/>
                  <wp:docPr id="15" name="图片 15" descr="C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OD"/>
                          <pic:cNvPicPr>
                            <a:picLocks noChangeAspect="1"/>
                          </pic:cNvPicPr>
                        </pic:nvPicPr>
                        <pic:blipFill>
                          <a:blip r:embed="rId21"/>
                          <a:stretch>
                            <a:fillRect/>
                          </a:stretch>
                        </pic:blipFill>
                        <pic:spPr>
                          <a:xfrm>
                            <a:off x="0" y="0"/>
                            <a:ext cx="5266690" cy="239966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8516" w:type="dxa"/>
            <w:tcBorders>
              <w:tl2br w:val="nil"/>
              <w:tr2bl w:val="nil"/>
            </w:tcBorders>
          </w:tcPr>
          <w:p>
            <w:pPr>
              <w:widowControl/>
              <w:spacing w:line="240" w:lineRule="auto"/>
              <w:jc w:val="both"/>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drawing>
                <wp:inline distT="0" distB="0" distL="114300" distR="114300">
                  <wp:extent cx="5266690" cy="2167890"/>
                  <wp:effectExtent l="0" t="0" r="10160" b="3810"/>
                  <wp:docPr id="16" name="图片 16" descr="氨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氨氮"/>
                          <pic:cNvPicPr>
                            <a:picLocks noChangeAspect="1"/>
                          </pic:cNvPicPr>
                        </pic:nvPicPr>
                        <pic:blipFill>
                          <a:blip r:embed="rId22"/>
                          <a:stretch>
                            <a:fillRect/>
                          </a:stretch>
                        </pic:blipFill>
                        <pic:spPr>
                          <a:xfrm>
                            <a:off x="0" y="0"/>
                            <a:ext cx="5266690" cy="21678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7" w:hRule="atLeast"/>
        </w:trPr>
        <w:tc>
          <w:tcPr>
            <w:tcW w:w="8516" w:type="dxa"/>
            <w:tcBorders>
              <w:tl2br w:val="nil"/>
              <w:tr2bl w:val="nil"/>
            </w:tcBorders>
          </w:tcPr>
          <w:p>
            <w:pPr>
              <w:widowControl/>
              <w:spacing w:line="240" w:lineRule="auto"/>
              <w:jc w:val="both"/>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drawing>
                <wp:inline distT="0" distB="0" distL="114300" distR="114300">
                  <wp:extent cx="5266690" cy="2237740"/>
                  <wp:effectExtent l="0" t="0" r="10160" b="10160"/>
                  <wp:docPr id="17" name="图片 17" descr="高锰酸盐指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高锰酸盐指数"/>
                          <pic:cNvPicPr>
                            <a:picLocks noChangeAspect="1"/>
                          </pic:cNvPicPr>
                        </pic:nvPicPr>
                        <pic:blipFill>
                          <a:blip r:embed="rId23"/>
                          <a:stretch>
                            <a:fillRect/>
                          </a:stretch>
                        </pic:blipFill>
                        <pic:spPr>
                          <a:xfrm>
                            <a:off x="0" y="0"/>
                            <a:ext cx="5266690" cy="22377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widowControl/>
              <w:spacing w:line="240" w:lineRule="auto"/>
              <w:jc w:val="both"/>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drawing>
                <wp:inline distT="0" distB="0" distL="114300" distR="114300">
                  <wp:extent cx="5266690" cy="2399665"/>
                  <wp:effectExtent l="0" t="0" r="10160" b="635"/>
                  <wp:docPr id="18" name="图片 18" descr="总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总磷"/>
                          <pic:cNvPicPr>
                            <a:picLocks noChangeAspect="1"/>
                          </pic:cNvPicPr>
                        </pic:nvPicPr>
                        <pic:blipFill>
                          <a:blip r:embed="rId24"/>
                          <a:stretch>
                            <a:fillRect/>
                          </a:stretch>
                        </pic:blipFill>
                        <pic:spPr>
                          <a:xfrm>
                            <a:off x="0" y="0"/>
                            <a:ext cx="5266690" cy="239966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16" w:type="dxa"/>
            <w:tcBorders>
              <w:tl2br w:val="nil"/>
              <w:tr2bl w:val="nil"/>
            </w:tcBorders>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b/>
                <w:bCs/>
                <w:smallCaps w:val="0"/>
                <w:color w:val="auto"/>
                <w:spacing w:val="0"/>
                <w:w w:val="100"/>
                <w:kern w:val="0"/>
                <w:sz w:val="24"/>
                <w:highlight w:val="none"/>
                <w:lang w:val="en-US" w:eastAsia="zh-CN" w:bidi="ar"/>
              </w:rPr>
              <w:t>图4.2-1</w:t>
            </w:r>
            <w:r>
              <w:rPr>
                <w:rFonts w:hint="default" w:ascii="Times New Roman" w:hAnsi="Times New Roman" w:eastAsia="宋体" w:cs="Times New Roman"/>
                <w:b/>
                <w:bCs/>
                <w:smallCaps w:val="0"/>
                <w:color w:val="auto"/>
                <w:spacing w:val="0"/>
                <w:w w:val="100"/>
                <w:kern w:val="0"/>
                <w:sz w:val="24"/>
                <w:highlight w:val="none"/>
                <w:lang w:val="en-US" w:eastAsia="zh-CN" w:bidi="ar"/>
              </w:rPr>
              <w:t>古恰泄洪闸口断面主要指标因子</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由上表可知，</w:t>
      </w:r>
      <w:r>
        <w:rPr>
          <w:rFonts w:hint="default" w:ascii="Times New Roman" w:hAnsi="Times New Roman" w:eastAsia="宋体" w:cs="Times New Roman"/>
          <w:caps w:val="0"/>
          <w:smallCaps w:val="0"/>
          <w:color w:val="auto"/>
          <w:spacing w:val="0"/>
          <w:w w:val="100"/>
          <w:kern w:val="0"/>
          <w:sz w:val="24"/>
          <w:szCs w:val="24"/>
          <w:highlight w:val="none"/>
          <w:lang w:val="en-US" w:eastAsia="zh-CN"/>
        </w:rPr>
        <w:t>古恰泄洪闸口断面的COD浓度一直较高，</w:t>
      </w:r>
      <w:r>
        <w:rPr>
          <w:rFonts w:hint="eastAsia" w:ascii="Times New Roman" w:hAnsi="Times New Roman" w:eastAsia="宋体" w:cs="Times New Roman"/>
          <w:caps w:val="0"/>
          <w:smallCaps w:val="0"/>
          <w:color w:val="auto"/>
          <w:spacing w:val="0"/>
          <w:w w:val="100"/>
          <w:kern w:val="0"/>
          <w:sz w:val="24"/>
          <w:szCs w:val="24"/>
          <w:highlight w:val="none"/>
          <w:lang w:val="en-US" w:eastAsia="zh-CN"/>
        </w:rPr>
        <w:t>2020年-2021年有</w:t>
      </w:r>
      <w:r>
        <w:rPr>
          <w:rFonts w:hint="default" w:ascii="Times New Roman" w:hAnsi="Times New Roman" w:eastAsia="宋体" w:cs="Times New Roman"/>
          <w:caps w:val="0"/>
          <w:smallCaps w:val="0"/>
          <w:color w:val="auto"/>
          <w:spacing w:val="0"/>
          <w:w w:val="100"/>
          <w:kern w:val="0"/>
          <w:sz w:val="24"/>
          <w:szCs w:val="24"/>
          <w:highlight w:val="none"/>
          <w:lang w:val="en-US" w:eastAsia="zh-CN"/>
        </w:rPr>
        <w:t>浓度降低趋势，</w:t>
      </w:r>
      <w:r>
        <w:rPr>
          <w:rFonts w:hint="eastAsia" w:ascii="Times New Roman" w:hAnsi="Times New Roman" w:eastAsia="宋体" w:cs="Times New Roman"/>
          <w:caps w:val="0"/>
          <w:smallCaps w:val="0"/>
          <w:color w:val="auto"/>
          <w:spacing w:val="0"/>
          <w:w w:val="100"/>
          <w:kern w:val="0"/>
          <w:sz w:val="24"/>
          <w:szCs w:val="24"/>
          <w:highlight w:val="none"/>
          <w:lang w:val="en-US" w:eastAsia="zh-CN"/>
        </w:rPr>
        <w:t>但总体均高于《地表水环境质量标准》（GB3838-2002）</w:t>
      </w:r>
      <w:r>
        <w:rPr>
          <w:rFonts w:hint="default" w:ascii="Times New Roman" w:hAnsi="Times New Roman" w:eastAsia="宋体" w:cs="Times New Roman"/>
          <w:caps w:val="0"/>
          <w:smallCaps w:val="0"/>
          <w:color w:val="auto"/>
          <w:spacing w:val="0"/>
          <w:w w:val="100"/>
          <w:kern w:val="0"/>
          <w:sz w:val="24"/>
          <w:szCs w:val="24"/>
          <w:highlight w:val="none"/>
          <w:lang w:val="en-US" w:eastAsia="zh-CN"/>
        </w:rPr>
        <w:t>Ⅴ</w:t>
      </w:r>
      <w:r>
        <w:rPr>
          <w:rFonts w:hint="eastAsia" w:ascii="Times New Roman" w:hAnsi="Times New Roman" w:eastAsia="宋体" w:cs="Times New Roman"/>
          <w:caps w:val="0"/>
          <w:smallCaps w:val="0"/>
          <w:color w:val="auto"/>
          <w:spacing w:val="0"/>
          <w:w w:val="100"/>
          <w:kern w:val="0"/>
          <w:sz w:val="24"/>
          <w:szCs w:val="24"/>
          <w:highlight w:val="none"/>
          <w:lang w:val="en-US" w:eastAsia="zh-CN"/>
        </w:rPr>
        <w:t>标准限值要求。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高锰酸盐指数在2017年有个别月份超标的情况，但2018年至今，都没有超标；氨氮浓度的波动较小，基本在0.2-0.8mg/L，没有超标；总磷浓度波动较大，</w:t>
      </w:r>
      <w:r>
        <w:rPr>
          <w:rFonts w:hint="eastAsia" w:ascii="Times New Roman" w:hAnsi="Times New Roman" w:eastAsia="宋体" w:cs="Times New Roman"/>
          <w:caps w:val="0"/>
          <w:smallCaps w:val="0"/>
          <w:color w:val="auto"/>
          <w:spacing w:val="0"/>
          <w:w w:val="100"/>
          <w:kern w:val="0"/>
          <w:sz w:val="24"/>
          <w:szCs w:val="24"/>
          <w:highlight w:val="none"/>
          <w:lang w:val="en-US" w:eastAsia="zh-CN"/>
        </w:rPr>
        <w:t>每年均有超标情况出现。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综上</w:t>
      </w:r>
      <w:r>
        <w:rPr>
          <w:rFonts w:hint="default" w:ascii="Times New Roman" w:hAnsi="Times New Roman" w:eastAsia="宋体" w:cs="Times New Roman"/>
          <w:caps w:val="0"/>
          <w:smallCaps w:val="0"/>
          <w:color w:val="auto"/>
          <w:spacing w:val="0"/>
          <w:w w:val="100"/>
          <w:kern w:val="0"/>
          <w:sz w:val="24"/>
          <w:szCs w:val="24"/>
          <w:highlight w:val="none"/>
          <w:lang w:val="en-US" w:eastAsia="zh-CN"/>
        </w:rPr>
        <w:t>，近几年来各类污染物浓度整体都有所降低，但古恰泄洪闸口断面</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不能满足《地表水环境质量标准》（GB3838-2002）</w:t>
      </w:r>
      <w:r>
        <w:rPr>
          <w:rFonts w:hint="default" w:ascii="Times New Roman" w:hAnsi="Times New Roman" w:eastAsia="宋体" w:cs="Times New Roman"/>
          <w:caps w:val="0"/>
          <w:smallCaps w:val="0"/>
          <w:color w:val="auto"/>
          <w:spacing w:val="0"/>
          <w:w w:val="100"/>
          <w:kern w:val="0"/>
          <w:sz w:val="24"/>
          <w:szCs w:val="24"/>
          <w:highlight w:val="none"/>
          <w:lang w:val="en-US" w:eastAsia="zh-CN"/>
        </w:rPr>
        <w:t>Ⅴ</w:t>
      </w:r>
      <w:r>
        <w:rPr>
          <w:rFonts w:hint="eastAsia" w:ascii="Times New Roman" w:hAnsi="Times New Roman" w:eastAsia="宋体" w:cs="Times New Roman"/>
          <w:caps w:val="0"/>
          <w:smallCaps w:val="0"/>
          <w:color w:val="auto"/>
          <w:spacing w:val="0"/>
          <w:w w:val="100"/>
          <w:kern w:val="0"/>
          <w:sz w:val="24"/>
          <w:szCs w:val="24"/>
          <w:highlight w:val="none"/>
          <w:lang w:val="en-US" w:eastAsia="zh-CN"/>
        </w:rPr>
        <w:t>标准限值要求。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②库里泡水环境质量</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根据2021年大庆市环保局近几年对</w:t>
      </w:r>
      <w:r>
        <w:rPr>
          <w:rFonts w:hint="default" w:ascii="Times New Roman" w:hAnsi="Times New Roman" w:eastAsia="宋体" w:cs="Times New Roman"/>
          <w:caps w:val="0"/>
          <w:smallCaps w:val="0"/>
          <w:color w:val="auto"/>
          <w:spacing w:val="0"/>
          <w:w w:val="100"/>
          <w:kern w:val="0"/>
          <w:sz w:val="24"/>
          <w:szCs w:val="24"/>
          <w:highlight w:val="none"/>
          <w:lang w:val="en-US" w:eastAsia="zh-CN"/>
        </w:rPr>
        <w:t>冰封期和融雪期库里泡的水环境质量</w:t>
      </w:r>
      <w:r>
        <w:rPr>
          <w:rFonts w:hint="eastAsia" w:ascii="Times New Roman" w:hAnsi="Times New Roman" w:eastAsia="宋体" w:cs="Times New Roman"/>
          <w:caps w:val="0"/>
          <w:smallCaps w:val="0"/>
          <w:color w:val="auto"/>
          <w:spacing w:val="0"/>
          <w:w w:val="100"/>
          <w:kern w:val="0"/>
          <w:sz w:val="24"/>
          <w:szCs w:val="24"/>
          <w:highlight w:val="none"/>
          <w:lang w:val="en-US" w:eastAsia="zh-CN"/>
        </w:rPr>
        <w:t>进行监测，对</w:t>
      </w:r>
      <w:r>
        <w:rPr>
          <w:rFonts w:hint="default" w:ascii="Times New Roman" w:hAnsi="Times New Roman" w:eastAsia="宋体" w:cs="Times New Roman"/>
          <w:caps w:val="0"/>
          <w:smallCaps w:val="0"/>
          <w:color w:val="auto"/>
          <w:spacing w:val="0"/>
          <w:w w:val="100"/>
          <w:kern w:val="0"/>
          <w:sz w:val="24"/>
          <w:szCs w:val="24"/>
          <w:highlight w:val="none"/>
          <w:lang w:val="en-US" w:eastAsia="zh-CN"/>
        </w:rPr>
        <w:t>安肇新河入库里泡</w:t>
      </w:r>
      <w:r>
        <w:rPr>
          <w:rFonts w:hint="eastAsia" w:ascii="Times New Roman" w:hAnsi="Times New Roman" w:eastAsia="宋体" w:cs="Times New Roman"/>
          <w:caps w:val="0"/>
          <w:smallCaps w:val="0"/>
          <w:color w:val="auto"/>
          <w:spacing w:val="0"/>
          <w:w w:val="100"/>
          <w:kern w:val="0"/>
          <w:sz w:val="24"/>
          <w:szCs w:val="24"/>
          <w:highlight w:val="none"/>
          <w:lang w:val="en-US" w:eastAsia="zh-CN"/>
        </w:rPr>
        <w:t>排口上游、</w:t>
      </w:r>
      <w:r>
        <w:rPr>
          <w:rFonts w:hint="default" w:ascii="Times New Roman" w:hAnsi="Times New Roman" w:eastAsia="宋体" w:cs="Times New Roman"/>
          <w:caps w:val="0"/>
          <w:smallCaps w:val="0"/>
          <w:color w:val="auto"/>
          <w:spacing w:val="0"/>
          <w:w w:val="100"/>
          <w:kern w:val="0"/>
          <w:sz w:val="24"/>
          <w:szCs w:val="24"/>
          <w:highlight w:val="none"/>
          <w:lang w:val="en-US" w:eastAsia="zh-CN"/>
        </w:rPr>
        <w:t>库里泡入口、库里泡中间以及库里泡出口</w:t>
      </w:r>
      <w:r>
        <w:rPr>
          <w:rFonts w:hint="eastAsia" w:ascii="Times New Roman" w:hAnsi="Times New Roman" w:eastAsia="宋体" w:cs="Times New Roman"/>
          <w:caps w:val="0"/>
          <w:smallCaps w:val="0"/>
          <w:color w:val="auto"/>
          <w:spacing w:val="0"/>
          <w:w w:val="100"/>
          <w:kern w:val="0"/>
          <w:sz w:val="24"/>
          <w:szCs w:val="24"/>
          <w:highlight w:val="none"/>
          <w:lang w:val="en-US" w:eastAsia="zh-CN"/>
        </w:rPr>
        <w:t>4个断面水质进行监测。</w:t>
      </w:r>
    </w:p>
    <w:p>
      <w:pPr>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br w:type="page"/>
      </w:r>
    </w:p>
    <w:p>
      <w:pPr>
        <w:numPr>
          <w:ilvl w:val="0"/>
          <w:numId w:val="0"/>
        </w:numPr>
        <w:spacing w:before="2" w:line="385" w:lineRule="auto"/>
        <w:ind w:right="70" w:rightChars="0"/>
        <w:jc w:val="both"/>
        <w:rPr>
          <w:rFonts w:hint="eastAsia" w:ascii="Times New Roman" w:hAnsi="Times New Roman" w:eastAsia="宋体" w:cs="Times New Roman"/>
          <w:color w:val="auto"/>
          <w:spacing w:val="24"/>
          <w:sz w:val="24"/>
          <w:szCs w:val="24"/>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numPr>
          <w:ilvl w:val="0"/>
          <w:numId w:val="0"/>
        </w:numPr>
        <w:spacing w:before="2" w:line="385" w:lineRule="auto"/>
        <w:ind w:right="70" w:rightChars="0"/>
        <w:jc w:val="center"/>
        <w:rPr>
          <w:rFonts w:hint="default" w:ascii="Times New Roman" w:hAnsi="Times New Roman" w:eastAsia="宋体" w:cs="Times New Roman"/>
          <w:b/>
          <w:bCs/>
          <w:color w:val="auto"/>
          <w:spacing w:val="24"/>
          <w:sz w:val="24"/>
          <w:szCs w:val="24"/>
          <w:highlight w:val="none"/>
          <w:lang w:val="en-US" w:eastAsia="zh-CN"/>
        </w:rPr>
      </w:pPr>
      <w:r>
        <w:rPr>
          <w:rFonts w:hint="eastAsia" w:ascii="Times New Roman" w:hAnsi="Times New Roman" w:eastAsia="宋体" w:cs="Times New Roman"/>
          <w:b/>
          <w:bCs/>
          <w:color w:val="auto"/>
          <w:spacing w:val="24"/>
          <w:sz w:val="24"/>
          <w:szCs w:val="24"/>
          <w:highlight w:val="none"/>
          <w:lang w:val="en-US" w:eastAsia="zh-CN"/>
        </w:rPr>
        <w:t>表4.2-3 2021年安肇新河及库里泡水质水体现状</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49"/>
        <w:gridCol w:w="1475"/>
        <w:gridCol w:w="1012"/>
        <w:gridCol w:w="1012"/>
        <w:gridCol w:w="1012"/>
        <w:gridCol w:w="1012"/>
        <w:gridCol w:w="1012"/>
        <w:gridCol w:w="1012"/>
        <w:gridCol w:w="1013"/>
        <w:gridCol w:w="1013"/>
        <w:gridCol w:w="1013"/>
        <w:gridCol w:w="1013"/>
        <w:gridCol w:w="1013"/>
        <w:gridCol w:w="101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9"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序号</w:t>
            </w:r>
          </w:p>
        </w:tc>
        <w:tc>
          <w:tcPr>
            <w:tcW w:w="147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监测断面</w:t>
            </w:r>
          </w:p>
        </w:tc>
        <w:tc>
          <w:tcPr>
            <w:tcW w:w="2024"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COD</w:t>
            </w:r>
          </w:p>
        </w:tc>
        <w:tc>
          <w:tcPr>
            <w:tcW w:w="2024"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高锰酸盐指数</w:t>
            </w:r>
          </w:p>
        </w:tc>
        <w:tc>
          <w:tcPr>
            <w:tcW w:w="2024"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总磷</w:t>
            </w:r>
          </w:p>
        </w:tc>
        <w:tc>
          <w:tcPr>
            <w:tcW w:w="2026"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总氮</w:t>
            </w:r>
          </w:p>
        </w:tc>
        <w:tc>
          <w:tcPr>
            <w:tcW w:w="2026"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氨氮</w:t>
            </w:r>
          </w:p>
        </w:tc>
        <w:tc>
          <w:tcPr>
            <w:tcW w:w="2026"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水质类别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9"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47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冰封期</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融雪期</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冰封期</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融雪期</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冰封期</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融雪期</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冰封期</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融雪期</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冰封期</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融雪期</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冰封期</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融雪期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14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安肇新河入库里泡排口上游</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37</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52</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9.2</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12.5</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0.353</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2.59</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2.97</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2.05</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1.42</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劣Ⅴ</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劣Ⅴ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w:t>
            </w:r>
          </w:p>
        </w:tc>
        <w:tc>
          <w:tcPr>
            <w:tcW w:w="14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库里泡入口</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48</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31</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13.4</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6.8</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0.265</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4.74</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2.66</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3.13</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1.53</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劣Ⅴ</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劣Ⅴ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w:t>
            </w:r>
          </w:p>
        </w:tc>
        <w:tc>
          <w:tcPr>
            <w:tcW w:w="14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库里泡中间</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60</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12.8</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8.8</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0.381</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5.3</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4.54</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4.12</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2.52</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劣Ⅴ</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劣Ⅴ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4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w:t>
            </w:r>
          </w:p>
        </w:tc>
        <w:tc>
          <w:tcPr>
            <w:tcW w:w="14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库里泡出口</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77</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22</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17.4</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5.2</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101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0.262</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10.9</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4.32</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4.21</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1.64</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劣Ⅴ</w:t>
            </w:r>
          </w:p>
        </w:tc>
        <w:tc>
          <w:tcPr>
            <w:tcW w:w="101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劣Ⅴ</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2021年库里泡COD浓度整体较高，尤其是冰封期期间，库里泡入口、中间以及出口</w:t>
      </w:r>
      <w:r>
        <w:rPr>
          <w:rFonts w:hint="eastAsia" w:ascii="Times New Roman" w:hAnsi="Times New Roman" w:eastAsia="宋体" w:cs="Times New Roman"/>
          <w:caps w:val="0"/>
          <w:smallCaps w:val="0"/>
          <w:color w:val="auto"/>
          <w:spacing w:val="0"/>
          <w:w w:val="100"/>
          <w:kern w:val="0"/>
          <w:sz w:val="24"/>
          <w:szCs w:val="24"/>
          <w:highlight w:val="none"/>
          <w:lang w:val="en-US" w:eastAsia="zh-CN"/>
        </w:rPr>
        <w:t>断面</w:t>
      </w:r>
      <w:r>
        <w:rPr>
          <w:rFonts w:hint="default" w:ascii="Times New Roman" w:hAnsi="Times New Roman" w:eastAsia="宋体" w:cs="Times New Roman"/>
          <w:caps w:val="0"/>
          <w:smallCaps w:val="0"/>
          <w:color w:val="auto"/>
          <w:spacing w:val="0"/>
          <w:w w:val="100"/>
          <w:kern w:val="0"/>
          <w:sz w:val="24"/>
          <w:szCs w:val="24"/>
          <w:highlight w:val="none"/>
          <w:lang w:val="en-US" w:eastAsia="zh-CN"/>
        </w:rPr>
        <w:t>的浓度都高于</w:t>
      </w:r>
      <w:r>
        <w:rPr>
          <w:rFonts w:hint="eastAsia" w:ascii="Times New Roman" w:hAnsi="Times New Roman" w:eastAsia="宋体" w:cs="Times New Roman"/>
          <w:caps w:val="0"/>
          <w:smallCaps w:val="0"/>
          <w:color w:val="auto"/>
          <w:spacing w:val="0"/>
          <w:w w:val="100"/>
          <w:kern w:val="0"/>
          <w:sz w:val="24"/>
          <w:szCs w:val="24"/>
          <w:highlight w:val="none"/>
          <w:lang w:val="en-US" w:eastAsia="zh-CN"/>
        </w:rPr>
        <w:t>《地表水环境质量标准》（GB3838-2002）</w:t>
      </w:r>
      <w:r>
        <w:rPr>
          <w:rFonts w:hint="default" w:ascii="Times New Roman" w:hAnsi="Times New Roman" w:eastAsia="宋体" w:cs="Times New Roman"/>
          <w:caps w:val="0"/>
          <w:smallCaps w:val="0"/>
          <w:color w:val="auto"/>
          <w:spacing w:val="0"/>
          <w:w w:val="100"/>
          <w:kern w:val="0"/>
          <w:sz w:val="24"/>
          <w:szCs w:val="24"/>
          <w:highlight w:val="none"/>
          <w:lang w:val="en-US" w:eastAsia="zh-CN"/>
        </w:rPr>
        <w:t>Ⅴ</w:t>
      </w:r>
      <w:r>
        <w:rPr>
          <w:rFonts w:hint="eastAsia" w:ascii="Times New Roman" w:hAnsi="Times New Roman" w:eastAsia="宋体" w:cs="Times New Roman"/>
          <w:caps w:val="0"/>
          <w:smallCaps w:val="0"/>
          <w:color w:val="auto"/>
          <w:spacing w:val="0"/>
          <w:w w:val="100"/>
          <w:kern w:val="0"/>
          <w:sz w:val="24"/>
          <w:szCs w:val="24"/>
          <w:highlight w:val="none"/>
          <w:lang w:val="en-US" w:eastAsia="zh-CN"/>
        </w:rPr>
        <w:t>标准；</w:t>
      </w:r>
      <w:r>
        <w:rPr>
          <w:rFonts w:hint="default" w:ascii="Times New Roman" w:hAnsi="Times New Roman" w:eastAsia="宋体" w:cs="Times New Roman"/>
          <w:caps w:val="0"/>
          <w:smallCaps w:val="0"/>
          <w:color w:val="auto"/>
          <w:spacing w:val="0"/>
          <w:w w:val="100"/>
          <w:kern w:val="0"/>
          <w:sz w:val="24"/>
          <w:szCs w:val="24"/>
          <w:highlight w:val="none"/>
          <w:lang w:val="en-US" w:eastAsia="zh-CN"/>
        </w:rPr>
        <w:t>高锰酸盐指数</w:t>
      </w:r>
      <w:r>
        <w:rPr>
          <w:rFonts w:hint="eastAsia" w:ascii="Times New Roman" w:hAnsi="Times New Roman" w:eastAsia="宋体" w:cs="Times New Roman"/>
          <w:caps w:val="0"/>
          <w:smallCaps w:val="0"/>
          <w:color w:val="auto"/>
          <w:spacing w:val="0"/>
          <w:w w:val="100"/>
          <w:kern w:val="0"/>
          <w:sz w:val="24"/>
          <w:szCs w:val="24"/>
          <w:highlight w:val="none"/>
          <w:lang w:val="en-US" w:eastAsia="zh-CN"/>
        </w:rPr>
        <w:t>在冰封期高于地表水环境质量</w:t>
      </w:r>
      <w:r>
        <w:rPr>
          <w:rFonts w:hint="default" w:ascii="Times New Roman" w:hAnsi="Times New Roman" w:eastAsia="宋体" w:cs="Times New Roman"/>
          <w:caps w:val="0"/>
          <w:smallCaps w:val="0"/>
          <w:color w:val="auto"/>
          <w:spacing w:val="0"/>
          <w:w w:val="100"/>
          <w:kern w:val="0"/>
          <w:sz w:val="24"/>
          <w:szCs w:val="24"/>
          <w:highlight w:val="none"/>
          <w:lang w:val="en-US" w:eastAsia="zh-CN"/>
        </w:rPr>
        <w:t>Ⅴ</w:t>
      </w:r>
      <w:r>
        <w:rPr>
          <w:rFonts w:hint="eastAsia" w:ascii="Times New Roman" w:hAnsi="Times New Roman" w:eastAsia="宋体" w:cs="Times New Roman"/>
          <w:caps w:val="0"/>
          <w:smallCaps w:val="0"/>
          <w:color w:val="auto"/>
          <w:spacing w:val="0"/>
          <w:w w:val="100"/>
          <w:kern w:val="0"/>
          <w:sz w:val="24"/>
          <w:szCs w:val="24"/>
          <w:highlight w:val="none"/>
          <w:lang w:val="en-US" w:eastAsia="zh-CN"/>
        </w:rPr>
        <w:t>标准。</w:t>
      </w:r>
      <w:r>
        <w:rPr>
          <w:rFonts w:hint="default" w:ascii="Times New Roman" w:hAnsi="Times New Roman" w:eastAsia="宋体" w:cs="Times New Roman"/>
          <w:caps w:val="0"/>
          <w:smallCaps w:val="0"/>
          <w:color w:val="auto"/>
          <w:spacing w:val="0"/>
          <w:w w:val="100"/>
          <w:kern w:val="0"/>
          <w:sz w:val="24"/>
          <w:szCs w:val="24"/>
          <w:highlight w:val="none"/>
          <w:lang w:val="en-US" w:eastAsia="zh-CN"/>
        </w:rPr>
        <w:t>氨氮浓度的差异性较大，基本在1.42-2.41mg/L，且冰封期浓度整体高于融雪期，</w:t>
      </w:r>
      <w:r>
        <w:rPr>
          <w:rFonts w:hint="eastAsia" w:ascii="Times New Roman" w:hAnsi="Times New Roman" w:eastAsia="宋体" w:cs="Times New Roman"/>
          <w:caps w:val="0"/>
          <w:smallCaps w:val="0"/>
          <w:color w:val="auto"/>
          <w:spacing w:val="0"/>
          <w:w w:val="100"/>
          <w:kern w:val="0"/>
          <w:sz w:val="24"/>
          <w:szCs w:val="24"/>
          <w:highlight w:val="none"/>
          <w:lang w:val="en-US" w:eastAsia="zh-CN"/>
        </w:rPr>
        <w:t>均</w:t>
      </w:r>
      <w:r>
        <w:rPr>
          <w:rFonts w:hint="default" w:ascii="Times New Roman" w:hAnsi="Times New Roman" w:eastAsia="宋体" w:cs="Times New Roman"/>
          <w:caps w:val="0"/>
          <w:smallCaps w:val="0"/>
          <w:color w:val="auto"/>
          <w:spacing w:val="0"/>
          <w:w w:val="100"/>
          <w:kern w:val="0"/>
          <w:sz w:val="24"/>
          <w:szCs w:val="24"/>
          <w:highlight w:val="none"/>
          <w:lang w:val="en-US" w:eastAsia="zh-CN"/>
        </w:rPr>
        <w:t>超过了地表水Ⅴ类标准；总磷</w:t>
      </w:r>
      <w:r>
        <w:rPr>
          <w:rFonts w:hint="eastAsia" w:ascii="Times New Roman" w:hAnsi="Times New Roman" w:eastAsia="宋体" w:cs="Times New Roman"/>
          <w:caps w:val="0"/>
          <w:smallCaps w:val="0"/>
          <w:color w:val="auto"/>
          <w:spacing w:val="0"/>
          <w:w w:val="100"/>
          <w:kern w:val="0"/>
          <w:sz w:val="24"/>
          <w:szCs w:val="24"/>
          <w:highlight w:val="none"/>
          <w:lang w:val="en-US" w:eastAsia="zh-CN"/>
        </w:rPr>
        <w:t>仅在融雪期进行了监测，浓度整体</w:t>
      </w:r>
      <w:r>
        <w:rPr>
          <w:rFonts w:hint="default" w:ascii="Times New Roman" w:hAnsi="Times New Roman" w:eastAsia="宋体" w:cs="Times New Roman"/>
          <w:caps w:val="0"/>
          <w:smallCaps w:val="0"/>
          <w:color w:val="auto"/>
          <w:spacing w:val="0"/>
          <w:w w:val="100"/>
          <w:kern w:val="0"/>
          <w:sz w:val="24"/>
          <w:szCs w:val="24"/>
          <w:highlight w:val="none"/>
          <w:lang w:val="en-US" w:eastAsia="zh-CN"/>
        </w:rPr>
        <w:t>较高，</w:t>
      </w:r>
      <w:r>
        <w:rPr>
          <w:rFonts w:hint="eastAsia" w:ascii="Times New Roman" w:hAnsi="Times New Roman" w:eastAsia="宋体" w:cs="Times New Roman"/>
          <w:caps w:val="0"/>
          <w:smallCaps w:val="0"/>
          <w:color w:val="auto"/>
          <w:spacing w:val="0"/>
          <w:w w:val="100"/>
          <w:kern w:val="0"/>
          <w:sz w:val="24"/>
          <w:szCs w:val="24"/>
          <w:highlight w:val="none"/>
          <w:lang w:val="en-US" w:eastAsia="zh-CN"/>
        </w:rPr>
        <w:t>均高于地表水环境质量</w:t>
      </w:r>
      <w:r>
        <w:rPr>
          <w:rFonts w:hint="default" w:ascii="Times New Roman" w:hAnsi="Times New Roman" w:eastAsia="宋体" w:cs="Times New Roman"/>
          <w:caps w:val="0"/>
          <w:smallCaps w:val="0"/>
          <w:color w:val="auto"/>
          <w:spacing w:val="0"/>
          <w:w w:val="100"/>
          <w:kern w:val="0"/>
          <w:sz w:val="24"/>
          <w:szCs w:val="24"/>
          <w:highlight w:val="none"/>
          <w:lang w:val="en-US" w:eastAsia="zh-CN"/>
        </w:rPr>
        <w:t>Ⅴ</w:t>
      </w:r>
      <w:r>
        <w:rPr>
          <w:rFonts w:hint="eastAsia" w:ascii="Times New Roman" w:hAnsi="Times New Roman" w:eastAsia="宋体" w:cs="Times New Roman"/>
          <w:caps w:val="0"/>
          <w:smallCaps w:val="0"/>
          <w:color w:val="auto"/>
          <w:spacing w:val="0"/>
          <w:w w:val="100"/>
          <w:kern w:val="0"/>
          <w:sz w:val="24"/>
          <w:szCs w:val="24"/>
          <w:highlight w:val="none"/>
          <w:lang w:val="en-US" w:eastAsia="zh-CN"/>
        </w:rPr>
        <w:t>标准。</w:t>
      </w:r>
    </w:p>
    <w:p>
      <w:pPr>
        <w:rPr>
          <w:rFonts w:hint="default" w:ascii="Times New Roman" w:hAnsi="Times New Roman" w:eastAsia="宋体" w:cs="Times New Roman"/>
          <w:color w:val="auto"/>
          <w:spacing w:val="24"/>
          <w:sz w:val="24"/>
          <w:szCs w:val="24"/>
          <w:highlight w:val="none"/>
          <w:lang w:val="en-US" w:eastAsia="zh-CN"/>
        </w:rPr>
      </w:pPr>
    </w:p>
    <w:p>
      <w:pPr>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br w:type="page"/>
      </w:r>
    </w:p>
    <w:p>
      <w:pPr>
        <w:rPr>
          <w:rFonts w:hint="default"/>
          <w:color w:val="auto"/>
          <w:highlight w:val="none"/>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地表水环境质量现状评价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①监测布点及因子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本次共布设5个地表水监测点位，详见下表。</w:t>
      </w:r>
    </w:p>
    <w:p>
      <w:pPr>
        <w:pStyle w:val="8"/>
        <w:jc w:val="center"/>
        <w:rPr>
          <w:rFonts w:hint="default"/>
          <w:b/>
          <w:bCs/>
          <w:color w:val="auto"/>
          <w:highlight w:val="none"/>
          <w:lang w:val="en-US" w:eastAsia="zh-CN"/>
        </w:rPr>
      </w:pP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表4.2-3地表水监测点位一览表</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2313"/>
        <w:gridCol w:w="2684"/>
        <w:gridCol w:w="2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Borders>
              <w:top w:val="single" w:color="auto" w:sz="12" w:space="0"/>
              <w:left w:val="nil"/>
              <w:bottom w:val="single" w:color="auto" w:sz="6" w:space="0"/>
              <w:right w:val="single" w:color="auto" w:sz="6" w:space="0"/>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序号</w:t>
            </w:r>
          </w:p>
        </w:tc>
        <w:tc>
          <w:tcPr>
            <w:tcW w:w="2313" w:type="dxa"/>
            <w:tcBorders>
              <w:top w:val="single" w:color="auto" w:sz="12" w:space="0"/>
              <w:left w:val="single" w:color="auto" w:sz="6" w:space="0"/>
              <w:bottom w:val="single" w:color="auto" w:sz="6" w:space="0"/>
              <w:right w:val="single" w:color="auto" w:sz="6" w:space="0"/>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监测点位置</w:t>
            </w:r>
          </w:p>
        </w:tc>
        <w:tc>
          <w:tcPr>
            <w:tcW w:w="2684" w:type="dxa"/>
            <w:tcBorders>
              <w:top w:val="single" w:color="auto" w:sz="12" w:space="0"/>
              <w:left w:val="single" w:color="auto" w:sz="6" w:space="0"/>
              <w:bottom w:val="single" w:color="auto" w:sz="6" w:space="0"/>
              <w:right w:val="single" w:color="auto" w:sz="6" w:space="0"/>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坐标（°）</w:t>
            </w:r>
          </w:p>
        </w:tc>
        <w:tc>
          <w:tcPr>
            <w:tcW w:w="2670" w:type="dxa"/>
            <w:tcBorders>
              <w:top w:val="single" w:color="auto" w:sz="12" w:space="0"/>
              <w:left w:val="single" w:color="auto" w:sz="6" w:space="0"/>
              <w:bottom w:val="single" w:color="auto" w:sz="6" w:space="0"/>
              <w:right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Borders>
              <w:top w:val="single" w:color="auto" w:sz="6" w:space="0"/>
              <w:left w:val="nil"/>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231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拟建人工湿地上游</w:t>
            </w:r>
          </w:p>
        </w:tc>
        <w:tc>
          <w:tcPr>
            <w:tcW w:w="268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g124.90302801,45.94413736</w:t>
            </w:r>
          </w:p>
        </w:tc>
        <w:tc>
          <w:tcPr>
            <w:tcW w:w="2670" w:type="dxa"/>
            <w:vMerge w:val="restart"/>
            <w:tcBorders>
              <w:top w:val="single" w:color="auto" w:sz="6" w:space="0"/>
              <w:left w:val="single" w:color="auto" w:sz="6" w:space="0"/>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pH、溶解氧、高锰酸盐指数、CODCr、BOD5、氨氮、总磷(以P计)、总氮、铜、锌、氟化物、硒、砷、汞、镉、六价铬、铅、氰化物、挥发酚、石油类、阴离子表面活性剂、硫化物、粪大肠菌群、叶绿素a、透明度、水温、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849" w:type="dxa"/>
            <w:tcBorders>
              <w:top w:val="single" w:color="auto" w:sz="6" w:space="0"/>
              <w:left w:val="nil"/>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w:t>
            </w:r>
          </w:p>
        </w:tc>
        <w:tc>
          <w:tcPr>
            <w:tcW w:w="231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安肇新河入库里泡排口</w:t>
            </w:r>
          </w:p>
        </w:tc>
        <w:tc>
          <w:tcPr>
            <w:tcW w:w="268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g124.88656998,45.9217815</w:t>
            </w:r>
          </w:p>
        </w:tc>
        <w:tc>
          <w:tcPr>
            <w:tcW w:w="2670" w:type="dxa"/>
            <w:vMerge w:val="continue"/>
            <w:tcBorders>
              <w:left w:val="single" w:color="auto" w:sz="6" w:space="0"/>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Borders>
              <w:top w:val="single" w:color="auto" w:sz="6" w:space="0"/>
              <w:left w:val="nil"/>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w:t>
            </w:r>
          </w:p>
        </w:tc>
        <w:tc>
          <w:tcPr>
            <w:tcW w:w="231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库里泡排水出口</w:t>
            </w:r>
          </w:p>
        </w:tc>
        <w:tc>
          <w:tcPr>
            <w:tcW w:w="268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g124.83219624,45.77506645</w:t>
            </w:r>
          </w:p>
        </w:tc>
        <w:tc>
          <w:tcPr>
            <w:tcW w:w="2670" w:type="dxa"/>
            <w:vMerge w:val="continue"/>
            <w:tcBorders>
              <w:left w:val="single" w:color="auto" w:sz="6" w:space="0"/>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Borders>
              <w:top w:val="single" w:color="auto" w:sz="6" w:space="0"/>
              <w:left w:val="nil"/>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w:t>
            </w:r>
          </w:p>
        </w:tc>
        <w:tc>
          <w:tcPr>
            <w:tcW w:w="231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安肇新河入松花江的古恰排口</w:t>
            </w:r>
          </w:p>
        </w:tc>
        <w:tc>
          <w:tcPr>
            <w:tcW w:w="2684"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g124.90463734,45.53841421</w:t>
            </w:r>
          </w:p>
        </w:tc>
        <w:tc>
          <w:tcPr>
            <w:tcW w:w="2670" w:type="dxa"/>
            <w:vMerge w:val="continue"/>
            <w:tcBorders>
              <w:left w:val="single" w:color="auto" w:sz="6" w:space="0"/>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tcBorders>
              <w:top w:val="single" w:color="auto" w:sz="6" w:space="0"/>
              <w:left w:val="nil"/>
              <w:bottom w:val="single" w:color="auto" w:sz="12"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w:t>
            </w:r>
          </w:p>
        </w:tc>
        <w:tc>
          <w:tcPr>
            <w:tcW w:w="2313" w:type="dxa"/>
            <w:tcBorders>
              <w:top w:val="single" w:color="auto" w:sz="6" w:space="0"/>
              <w:left w:val="single" w:color="auto" w:sz="6" w:space="0"/>
              <w:bottom w:val="single" w:color="auto" w:sz="12"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肇源松花江国控断面</w:t>
            </w:r>
          </w:p>
        </w:tc>
        <w:tc>
          <w:tcPr>
            <w:tcW w:w="2684" w:type="dxa"/>
            <w:tcBorders>
              <w:top w:val="single" w:color="auto" w:sz="6" w:space="0"/>
              <w:left w:val="single" w:color="auto" w:sz="6" w:space="0"/>
              <w:bottom w:val="single" w:color="auto" w:sz="12" w:space="0"/>
              <w:right w:val="single" w:color="auto" w:sz="6" w:space="0"/>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g125.05193342,45.49587097</w:t>
            </w:r>
          </w:p>
        </w:tc>
        <w:tc>
          <w:tcPr>
            <w:tcW w:w="2670" w:type="dxa"/>
            <w:vMerge w:val="continue"/>
            <w:tcBorders>
              <w:left w:val="single" w:color="auto" w:sz="6" w:space="0"/>
              <w:bottom w:val="single" w:color="auto" w:sz="12" w:space="0"/>
              <w:right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②监测时间、频次</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2022</w:t>
      </w:r>
      <w:r>
        <w:rPr>
          <w:rFonts w:hint="default" w:ascii="Times New Roman" w:hAnsi="Times New Roman" w:eastAsia="宋体" w:cs="Times New Roman"/>
          <w:caps w:val="0"/>
          <w:smallCaps w:val="0"/>
          <w:color w:val="auto"/>
          <w:spacing w:val="0"/>
          <w:w w:val="100"/>
          <w:kern w:val="0"/>
          <w:sz w:val="24"/>
          <w:szCs w:val="24"/>
          <w:highlight w:val="none"/>
          <w:lang w:val="en-US" w:eastAsia="zh-CN"/>
        </w:rPr>
        <w:t>年</w:t>
      </w:r>
      <w:r>
        <w:rPr>
          <w:rFonts w:hint="eastAsia" w:ascii="Times New Roman" w:hAnsi="Times New Roman" w:eastAsia="宋体" w:cs="Times New Roman"/>
          <w:caps w:val="0"/>
          <w:smallCaps w:val="0"/>
          <w:color w:val="auto"/>
          <w:spacing w:val="0"/>
          <w:w w:val="100"/>
          <w:kern w:val="0"/>
          <w:sz w:val="24"/>
          <w:szCs w:val="24"/>
          <w:highlight w:val="none"/>
          <w:lang w:val="en-US" w:eastAsia="zh-CN"/>
        </w:rPr>
        <w:t>11</w:t>
      </w:r>
      <w:r>
        <w:rPr>
          <w:rFonts w:hint="default" w:ascii="Times New Roman" w:hAnsi="Times New Roman" w:eastAsia="宋体" w:cs="Times New Roman"/>
          <w:caps w:val="0"/>
          <w:smallCaps w:val="0"/>
          <w:color w:val="auto"/>
          <w:spacing w:val="0"/>
          <w:w w:val="100"/>
          <w:kern w:val="0"/>
          <w:sz w:val="24"/>
          <w:szCs w:val="24"/>
          <w:highlight w:val="none"/>
          <w:lang w:val="en-US" w:eastAsia="zh-CN"/>
        </w:rPr>
        <w:t>月</w:t>
      </w:r>
      <w:r>
        <w:rPr>
          <w:rFonts w:hint="eastAsia" w:ascii="Times New Roman" w:hAnsi="Times New Roman" w:eastAsia="宋体" w:cs="Times New Roman"/>
          <w:caps w:val="0"/>
          <w:smallCaps w:val="0"/>
          <w:color w:val="auto"/>
          <w:spacing w:val="0"/>
          <w:w w:val="100"/>
          <w:kern w:val="0"/>
          <w:sz w:val="24"/>
          <w:szCs w:val="24"/>
          <w:highlight w:val="none"/>
          <w:lang w:val="en-US" w:eastAsia="zh-CN"/>
        </w:rPr>
        <w:t>13</w:t>
      </w:r>
      <w:r>
        <w:rPr>
          <w:rFonts w:hint="default" w:ascii="Times New Roman" w:hAnsi="Times New Roman" w:eastAsia="宋体" w:cs="Times New Roman"/>
          <w:caps w:val="0"/>
          <w:smallCaps w:val="0"/>
          <w:color w:val="auto"/>
          <w:spacing w:val="0"/>
          <w:w w:val="100"/>
          <w:kern w:val="0"/>
          <w:sz w:val="24"/>
          <w:szCs w:val="24"/>
          <w:highlight w:val="none"/>
          <w:lang w:val="en-US" w:eastAsia="zh-CN"/>
        </w:rPr>
        <w:t>日至</w:t>
      </w:r>
      <w:r>
        <w:rPr>
          <w:rFonts w:hint="eastAsia" w:ascii="Times New Roman" w:hAnsi="Times New Roman" w:eastAsia="宋体" w:cs="Times New Roman"/>
          <w:caps w:val="0"/>
          <w:smallCaps w:val="0"/>
          <w:color w:val="auto"/>
          <w:spacing w:val="0"/>
          <w:w w:val="100"/>
          <w:kern w:val="0"/>
          <w:sz w:val="24"/>
          <w:szCs w:val="24"/>
          <w:highlight w:val="none"/>
          <w:lang w:val="en-US" w:eastAsia="zh-CN"/>
        </w:rPr>
        <w:t>11</w:t>
      </w:r>
      <w:r>
        <w:rPr>
          <w:rFonts w:hint="default" w:ascii="Times New Roman" w:hAnsi="Times New Roman" w:eastAsia="宋体" w:cs="Times New Roman"/>
          <w:caps w:val="0"/>
          <w:smallCaps w:val="0"/>
          <w:color w:val="auto"/>
          <w:spacing w:val="0"/>
          <w:w w:val="100"/>
          <w:kern w:val="0"/>
          <w:sz w:val="24"/>
          <w:szCs w:val="24"/>
          <w:highlight w:val="none"/>
          <w:lang w:val="en-US" w:eastAsia="zh-CN"/>
        </w:rPr>
        <w:t>月</w:t>
      </w:r>
      <w:r>
        <w:rPr>
          <w:rFonts w:hint="eastAsia" w:ascii="Times New Roman" w:hAnsi="Times New Roman" w:eastAsia="宋体" w:cs="Times New Roman"/>
          <w:caps w:val="0"/>
          <w:smallCaps w:val="0"/>
          <w:color w:val="auto"/>
          <w:spacing w:val="0"/>
          <w:w w:val="100"/>
          <w:kern w:val="0"/>
          <w:sz w:val="24"/>
          <w:szCs w:val="24"/>
          <w:highlight w:val="none"/>
          <w:lang w:val="en-US" w:eastAsia="zh-CN"/>
        </w:rPr>
        <w:t>15</w:t>
      </w:r>
      <w:r>
        <w:rPr>
          <w:rFonts w:hint="default" w:ascii="Times New Roman" w:hAnsi="Times New Roman" w:eastAsia="宋体" w:cs="Times New Roman"/>
          <w:caps w:val="0"/>
          <w:smallCaps w:val="0"/>
          <w:color w:val="auto"/>
          <w:spacing w:val="0"/>
          <w:w w:val="100"/>
          <w:kern w:val="0"/>
          <w:sz w:val="24"/>
          <w:szCs w:val="24"/>
          <w:highlight w:val="none"/>
          <w:lang w:val="en-US" w:eastAsia="zh-CN"/>
        </w:rPr>
        <w:t>日，连续监测三天，每个水质取样点每天至少取一组水样水温及流量4次/天，其他项目监测1次/天，同时统计每日平均水温。</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③地表水水质现状评价方法</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一般性</w:t>
      </w:r>
      <w:r>
        <w:rPr>
          <w:rFonts w:hint="eastAsia" w:ascii="Times New Roman" w:hAnsi="Times New Roman" w:eastAsia="宋体" w:cs="Times New Roman"/>
          <w:caps w:val="0"/>
          <w:smallCaps w:val="0"/>
          <w:color w:val="auto"/>
          <w:spacing w:val="0"/>
          <w:w w:val="100"/>
          <w:kern w:val="0"/>
          <w:sz w:val="24"/>
          <w:szCs w:val="24"/>
          <w:highlight w:val="none"/>
          <w:lang w:val="en-US" w:eastAsia="zh-CN"/>
        </w:rPr>
        <w:t>地表</w:t>
      </w:r>
      <w:r>
        <w:rPr>
          <w:rFonts w:hint="default" w:ascii="Times New Roman" w:hAnsi="Times New Roman" w:eastAsia="宋体" w:cs="Times New Roman"/>
          <w:caps w:val="0"/>
          <w:smallCaps w:val="0"/>
          <w:color w:val="auto"/>
          <w:spacing w:val="0"/>
          <w:w w:val="100"/>
          <w:kern w:val="0"/>
          <w:sz w:val="24"/>
          <w:szCs w:val="24"/>
          <w:highlight w:val="none"/>
          <w:lang w:val="en-US" w:eastAsia="zh-CN"/>
        </w:rPr>
        <w:t>水质因子的指数计算公式</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object>
          <v:shape id="_x0000_i1025" o:spt="75" type="#_x0000_t75" style="height:19pt;width:69pt;" o:ole="t" filled="f" o:preferrelative="t" stroked="f" coordsize="21600,21600">
            <v:path/>
            <v:fill on="f" focussize="0,0"/>
            <v:stroke on="f"/>
            <v:imagedata r:id="rId26" o:title=""/>
            <o:lock v:ext="edit" aspectratio="t"/>
            <w10:wrap type="none"/>
            <w10:anchorlock/>
          </v:shape>
          <o:OLEObject Type="Embed" ProgID="Equation.KSEE3" ShapeID="_x0000_i1025" DrawAspect="Content" ObjectID="_1468075725" r:id="rId25">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式中：Si,j—评价因子i的水质指数，大于1表明该水质因子超标；</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Ci,j—评价因子i在j点的实测统计代表值，mg/L；</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Csi—评价因子i的水质评价标准限值，mg/L。</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溶解氧（DO）的标准指数计算公式</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drawing>
          <wp:inline distT="0" distB="0" distL="114300" distR="114300">
            <wp:extent cx="3495675" cy="1133475"/>
            <wp:effectExtent l="0" t="0" r="9525" b="9525"/>
            <wp:docPr id="19" name="图片 19" descr="溶解氧评价公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溶解氧评价公式"/>
                    <pic:cNvPicPr>
                      <a:picLocks noChangeAspect="1"/>
                    </pic:cNvPicPr>
                  </pic:nvPicPr>
                  <pic:blipFill>
                    <a:blip r:embed="rId27"/>
                    <a:stretch>
                      <a:fillRect/>
                    </a:stretch>
                  </pic:blipFill>
                  <pic:spPr>
                    <a:xfrm>
                      <a:off x="0" y="0"/>
                      <a:ext cx="3495675" cy="1133475"/>
                    </a:xfrm>
                    <a:prstGeom prst="rect">
                      <a:avLst/>
                    </a:prstGeom>
                  </pic:spPr>
                </pic:pic>
              </a:graphicData>
            </a:graphic>
          </wp:inline>
        </w:drawing>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式中：</w:t>
      </w:r>
      <w:r>
        <w:rPr>
          <w:rFonts w:hint="default" w:ascii="Times New Roman" w:hAnsi="Times New Roman" w:eastAsia="宋体" w:cs="Times New Roman"/>
          <w:caps w:val="0"/>
          <w:smallCaps w:val="0"/>
          <w:color w:val="auto"/>
          <w:spacing w:val="0"/>
          <w:w w:val="100"/>
          <w:kern w:val="0"/>
          <w:sz w:val="24"/>
          <w:szCs w:val="24"/>
          <w:highlight w:val="none"/>
          <w:lang w:val="en-US" w:eastAsia="zh-CN"/>
        </w:rPr>
        <w:t>S</w:t>
      </w:r>
      <w:r>
        <w:rPr>
          <w:rFonts w:hint="default" w:ascii="Times New Roman" w:hAnsi="Times New Roman" w:eastAsia="宋体" w:cs="Times New Roman"/>
          <w:caps w:val="0"/>
          <w:smallCaps w:val="0"/>
          <w:color w:val="auto"/>
          <w:spacing w:val="0"/>
          <w:w w:val="100"/>
          <w:kern w:val="0"/>
          <w:sz w:val="24"/>
          <w:szCs w:val="24"/>
          <w:highlight w:val="none"/>
          <w:vertAlign w:val="subscript"/>
          <w:lang w:val="en-US" w:eastAsia="zh-CN"/>
        </w:rPr>
        <w:t>DO,j</w:t>
      </w:r>
      <w:r>
        <w:rPr>
          <w:rFonts w:hint="default" w:ascii="Times New Roman" w:hAnsi="Times New Roman" w:eastAsia="宋体" w:cs="Times New Roman"/>
          <w:caps w:val="0"/>
          <w:smallCaps w:val="0"/>
          <w:color w:val="auto"/>
          <w:spacing w:val="0"/>
          <w:w w:val="100"/>
          <w:kern w:val="0"/>
          <w:sz w:val="24"/>
          <w:szCs w:val="24"/>
          <w:highlight w:val="none"/>
          <w:lang w:val="en-US" w:eastAsia="zh-CN"/>
        </w:rPr>
        <w:t>—溶解氧的标准指数，大于</w:t>
      </w: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表明该水质因子超标；</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DOj—溶解氧在j点的实测统计代表值，mg/L；</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DOs—溶解氧的水质评价标准限值，mg/L；</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DOf—饱和溶解氧浓度，mg/L，对于河流，DOf=468/(31.6+T)；对于盐度比较高的湖泊、水库及入海河口、近岸海域，DOf=(491−2.65S)/(33.5+T)；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S——实用盐度符号，量纲一；</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T——水温，℃。</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drawing>
          <wp:inline distT="0" distB="0" distL="114300" distR="114300">
            <wp:extent cx="4181475" cy="1009650"/>
            <wp:effectExtent l="0" t="0" r="9525" b="0"/>
            <wp:docPr id="20" name="图片 20" descr="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PH1"/>
                    <pic:cNvPicPr>
                      <a:picLocks noChangeAspect="1"/>
                    </pic:cNvPicPr>
                  </pic:nvPicPr>
                  <pic:blipFill>
                    <a:blip r:embed="rId28"/>
                    <a:stretch>
                      <a:fillRect/>
                    </a:stretch>
                  </pic:blipFill>
                  <pic:spPr>
                    <a:xfrm>
                      <a:off x="0" y="0"/>
                      <a:ext cx="4181475" cy="1009650"/>
                    </a:xfrm>
                    <a:prstGeom prst="rect">
                      <a:avLst/>
                    </a:prstGeom>
                  </pic:spPr>
                </pic:pic>
              </a:graphicData>
            </a:graphic>
          </wp:inline>
        </w:drawing>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drawing>
          <wp:inline distT="0" distB="0" distL="114300" distR="114300">
            <wp:extent cx="3657600" cy="1143000"/>
            <wp:effectExtent l="0" t="0" r="0" b="0"/>
            <wp:docPr id="21" name="图片 21" descr="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ph2"/>
                    <pic:cNvPicPr>
                      <a:picLocks noChangeAspect="1"/>
                    </pic:cNvPicPr>
                  </pic:nvPicPr>
                  <pic:blipFill>
                    <a:blip r:embed="rId29"/>
                    <a:stretch>
                      <a:fillRect/>
                    </a:stretch>
                  </pic:blipFill>
                  <pic:spPr>
                    <a:xfrm>
                      <a:off x="0" y="0"/>
                      <a:ext cx="3657600" cy="11430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式中：SpH,j——pH值的指数，大于1表明该水质因子超标；</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pHj——pH值实测统计代表值；</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pHsd——评价标准中pH值的下限值；</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pHsu——评价标准中pH值的上限值</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⑤地表水环境质量现状检测结果</w:t>
      </w:r>
    </w:p>
    <w:p>
      <w:pPr>
        <w:jc w:val="center"/>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表4.2-4</w:t>
      </w:r>
      <w:r>
        <w:rPr>
          <w:rFonts w:hint="default" w:ascii="Times New Roman" w:hAnsi="Times New Roman" w:eastAsia="宋体" w:cs="Times New Roman"/>
          <w:b/>
          <w:bCs/>
          <w:color w:val="auto"/>
          <w:sz w:val="24"/>
          <w:szCs w:val="24"/>
          <w:highlight w:val="none"/>
          <w:vertAlign w:val="baseline"/>
          <w:lang w:val="en-US" w:eastAsia="zh-CN"/>
        </w:rPr>
        <w:t>拟建人工湿地上游地表水现状监测数据一览表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62"/>
        <w:gridCol w:w="1177"/>
        <w:gridCol w:w="1678"/>
        <w:gridCol w:w="1028"/>
        <w:gridCol w:w="1165"/>
        <w:gridCol w:w="1147"/>
        <w:gridCol w:w="115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监测项目</w:t>
            </w:r>
          </w:p>
        </w:tc>
        <w:tc>
          <w:tcPr>
            <w:tcW w:w="121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单位</w:t>
            </w:r>
          </w:p>
        </w:tc>
        <w:tc>
          <w:tcPr>
            <w:tcW w:w="2433"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拟建人工湿地上游</w:t>
            </w:r>
          </w:p>
        </w:tc>
        <w:tc>
          <w:tcPr>
            <w:tcW w:w="121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标准值</w:t>
            </w:r>
          </w:p>
        </w:tc>
        <w:tc>
          <w:tcPr>
            <w:tcW w:w="121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超标率(%)</w:t>
            </w:r>
          </w:p>
        </w:tc>
        <w:tc>
          <w:tcPr>
            <w:tcW w:w="121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最大超标倍数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6"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监测数值</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污染指数</w:t>
            </w:r>
          </w:p>
        </w:tc>
        <w:tc>
          <w:tcPr>
            <w:tcW w:w="1217"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7"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7"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ascii="Times New Roman" w:hAnsi="Times New Roman"/>
                <w:color w:val="auto"/>
                <w:sz w:val="21"/>
                <w:szCs w:val="21"/>
                <w:highlight w:val="none"/>
              </w:rPr>
              <w:t>pH</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无量纲</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8.0-8.3</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0.493</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kern w:val="2"/>
                <w:sz w:val="21"/>
                <w:szCs w:val="24"/>
                <w:highlight w:val="none"/>
                <w:lang w:val="en-US" w:eastAsia="zh-CN" w:bidi="ar-SA"/>
              </w:rPr>
              <w:t>6-9</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化学需氧量</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42-47</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1.175</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≤40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17.5</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1.175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ascii="Times New Roman" w:hAnsi="宋体"/>
                <w:color w:val="auto"/>
                <w:sz w:val="21"/>
                <w:szCs w:val="21"/>
                <w:highlight w:val="none"/>
              </w:rPr>
              <w:t>氨氮</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2.37-2.53</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1.265</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kern w:val="2"/>
                <w:sz w:val="21"/>
                <w:szCs w:val="24"/>
                <w:highlight w:val="none"/>
                <w:lang w:val="en-US" w:eastAsia="zh-CN" w:bidi="ar-SA"/>
              </w:rPr>
              <w:t>2.0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26.5</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1.265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总磷</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0.33-0.36</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0.9</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kern w:val="2"/>
                <w:sz w:val="21"/>
                <w:szCs w:val="24"/>
                <w:highlight w:val="none"/>
                <w:lang w:val="en-US" w:eastAsia="zh-CN" w:bidi="ar-SA"/>
              </w:rPr>
              <w:t>0.4</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总氮</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3.64-3.92</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1.96</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14" w:name="_Toc15769"/>
            <w:bookmarkStart w:id="115" w:name="_Toc14978"/>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2.0</w:t>
            </w:r>
            <w:bookmarkEnd w:id="114"/>
            <w:bookmarkEnd w:id="115"/>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96</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BOD</w:t>
            </w:r>
            <w:r>
              <w:rPr>
                <w:rFonts w:hint="eastAsia" w:ascii="Times New Roman" w:hAnsi="Times New Roman"/>
                <w:color w:val="auto"/>
                <w:sz w:val="21"/>
                <w:szCs w:val="21"/>
                <w:highlight w:val="none"/>
                <w:vertAlign w:val="subscript"/>
                <w:lang w:val="en-US" w:eastAsia="zh-CN"/>
              </w:rPr>
              <w:t>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6.1-6.3</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0.63</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16" w:name="_Toc511"/>
            <w:bookmarkStart w:id="117" w:name="_Toc259"/>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10</w:t>
            </w:r>
            <w:bookmarkEnd w:id="116"/>
            <w:bookmarkEnd w:id="117"/>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挥发酚</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18" w:name="_Toc19576"/>
            <w:bookmarkStart w:id="119" w:name="_Toc23477"/>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0.1</w:t>
            </w:r>
            <w:bookmarkEnd w:id="118"/>
            <w:bookmarkEnd w:id="119"/>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石油类</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20" w:name="_Toc16638"/>
            <w:bookmarkStart w:id="121" w:name="_Toc9712"/>
            <w:r>
              <w:rPr>
                <w:rFonts w:hint="eastAsia" w:ascii="Times New Roman" w:hAnsi="Times New Roman" w:cs="Times New Roman"/>
                <w:b w:val="0"/>
                <w:bCs w:val="0"/>
                <w:color w:val="auto"/>
                <w:kern w:val="2"/>
                <w:sz w:val="21"/>
                <w:szCs w:val="24"/>
                <w:highlight w:val="none"/>
                <w:lang w:val="en-US" w:eastAsia="zh-CN" w:bidi="ar-SA"/>
              </w:rPr>
              <w:t>≤1.0</w:t>
            </w:r>
            <w:bookmarkEnd w:id="120"/>
            <w:bookmarkEnd w:id="121"/>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六价铬</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22" w:name="_Toc22214"/>
            <w:bookmarkStart w:id="123" w:name="_Toc18807"/>
            <w:r>
              <w:rPr>
                <w:rFonts w:hint="eastAsia" w:ascii="Times New Roman" w:hAnsi="Times New Roman" w:cs="Times New Roman"/>
                <w:b w:val="0"/>
                <w:bCs w:val="0"/>
                <w:color w:val="auto"/>
                <w:kern w:val="2"/>
                <w:sz w:val="21"/>
                <w:szCs w:val="24"/>
                <w:highlight w:val="none"/>
                <w:lang w:val="en-US" w:eastAsia="zh-CN" w:bidi="ar-SA"/>
              </w:rPr>
              <w:t>≤0.1</w:t>
            </w:r>
            <w:bookmarkEnd w:id="122"/>
            <w:bookmarkEnd w:id="123"/>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溶解氧</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4.5-4.7</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0.426</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24" w:name="_Toc11729"/>
            <w:bookmarkStart w:id="125" w:name="_Toc25769"/>
            <w:r>
              <w:rPr>
                <w:rFonts w:hint="eastAsia" w:ascii="Times New Roman" w:hAnsi="Times New Roman" w:cs="Times New Roman"/>
                <w:b w:val="0"/>
                <w:bCs w:val="0"/>
                <w:color w:val="auto"/>
                <w:kern w:val="2"/>
                <w:sz w:val="21"/>
                <w:szCs w:val="24"/>
                <w:highlight w:val="none"/>
                <w:lang w:val="en-US" w:eastAsia="zh-CN" w:bidi="ar-SA"/>
              </w:rPr>
              <w:t>≥2</w:t>
            </w:r>
            <w:bookmarkEnd w:id="124"/>
            <w:bookmarkEnd w:id="125"/>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硫化物</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26" w:name="_Toc18490"/>
            <w:bookmarkStart w:id="127" w:name="_Toc7279"/>
            <w:r>
              <w:rPr>
                <w:rFonts w:hint="eastAsia" w:ascii="Times New Roman" w:hAnsi="Times New Roman" w:cs="Times New Roman"/>
                <w:b w:val="0"/>
                <w:bCs w:val="0"/>
                <w:color w:val="auto"/>
                <w:kern w:val="2"/>
                <w:sz w:val="21"/>
                <w:szCs w:val="24"/>
                <w:highlight w:val="none"/>
                <w:lang w:val="en-US" w:eastAsia="zh-CN" w:bidi="ar-SA"/>
              </w:rPr>
              <w:t>≤1.0</w:t>
            </w:r>
            <w:bookmarkEnd w:id="126"/>
            <w:bookmarkEnd w:id="127"/>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阴离子表面活性剂</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28" w:name="_Toc8276"/>
            <w:bookmarkStart w:id="129" w:name="_Toc18684"/>
            <w:r>
              <w:rPr>
                <w:rFonts w:hint="eastAsia" w:ascii="Times New Roman" w:hAnsi="Times New Roman" w:cs="Times New Roman"/>
                <w:b w:val="0"/>
                <w:bCs w:val="0"/>
                <w:color w:val="auto"/>
                <w:kern w:val="2"/>
                <w:sz w:val="21"/>
                <w:szCs w:val="24"/>
                <w:highlight w:val="none"/>
                <w:lang w:val="en-US" w:eastAsia="zh-CN" w:bidi="ar-SA"/>
              </w:rPr>
              <w:t>≤0.3</w:t>
            </w:r>
            <w:bookmarkEnd w:id="128"/>
            <w:bookmarkEnd w:id="129"/>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铜</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0.010-0.012</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0.012</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30" w:name="_Toc20533"/>
            <w:bookmarkStart w:id="131" w:name="_Toc14315"/>
            <w:r>
              <w:rPr>
                <w:rFonts w:hint="eastAsia" w:ascii="Times New Roman" w:hAnsi="Times New Roman" w:cs="Times New Roman"/>
                <w:b w:val="0"/>
                <w:bCs w:val="0"/>
                <w:color w:val="auto"/>
                <w:kern w:val="2"/>
                <w:sz w:val="21"/>
                <w:szCs w:val="24"/>
                <w:highlight w:val="none"/>
                <w:lang w:val="en-US" w:eastAsia="zh-CN" w:bidi="ar-SA"/>
              </w:rPr>
              <w:t>≤1.0</w:t>
            </w:r>
            <w:bookmarkEnd w:id="130"/>
            <w:bookmarkEnd w:id="131"/>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锌</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0.23-0.27</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0.135</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32" w:name="_Toc19829"/>
            <w:bookmarkStart w:id="133" w:name="_Toc31949"/>
            <w:r>
              <w:rPr>
                <w:rFonts w:hint="eastAsia" w:ascii="Times New Roman" w:hAnsi="Times New Roman" w:cs="Times New Roman"/>
                <w:b w:val="0"/>
                <w:bCs w:val="0"/>
                <w:color w:val="auto"/>
                <w:kern w:val="2"/>
                <w:sz w:val="21"/>
                <w:szCs w:val="24"/>
                <w:highlight w:val="none"/>
                <w:lang w:val="en-US" w:eastAsia="zh-CN" w:bidi="ar-SA"/>
              </w:rPr>
              <w:t>≤2.0</w:t>
            </w:r>
            <w:bookmarkEnd w:id="132"/>
            <w:bookmarkEnd w:id="133"/>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氰化物</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34" w:name="_Toc20155"/>
            <w:bookmarkStart w:id="135" w:name="_Toc27333"/>
            <w:r>
              <w:rPr>
                <w:rFonts w:hint="eastAsia" w:ascii="Times New Roman" w:hAnsi="Times New Roman" w:cs="Times New Roman"/>
                <w:b w:val="0"/>
                <w:bCs w:val="0"/>
                <w:color w:val="auto"/>
                <w:kern w:val="2"/>
                <w:sz w:val="21"/>
                <w:szCs w:val="24"/>
                <w:highlight w:val="none"/>
                <w:lang w:val="en-US" w:eastAsia="zh-CN" w:bidi="ar-SA"/>
              </w:rPr>
              <w:t>≤0.2</w:t>
            </w:r>
            <w:bookmarkEnd w:id="134"/>
            <w:bookmarkEnd w:id="135"/>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砷</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36" w:name="_Toc16590"/>
            <w:bookmarkStart w:id="137" w:name="_Toc22005"/>
            <w:r>
              <w:rPr>
                <w:rFonts w:hint="eastAsia" w:ascii="Times New Roman" w:hAnsi="Times New Roman" w:cs="Times New Roman"/>
                <w:b w:val="0"/>
                <w:bCs w:val="0"/>
                <w:color w:val="auto"/>
                <w:kern w:val="2"/>
                <w:sz w:val="21"/>
                <w:szCs w:val="24"/>
                <w:highlight w:val="none"/>
                <w:lang w:val="en-US" w:eastAsia="zh-CN" w:bidi="ar-SA"/>
              </w:rPr>
              <w:t>≤0.1</w:t>
            </w:r>
            <w:bookmarkEnd w:id="136"/>
            <w:bookmarkEnd w:id="137"/>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汞</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38" w:name="_Toc9749"/>
            <w:bookmarkStart w:id="139" w:name="_Toc29778"/>
            <w:r>
              <w:rPr>
                <w:rFonts w:hint="eastAsia" w:ascii="Times New Roman" w:hAnsi="Times New Roman" w:cs="Times New Roman"/>
                <w:b w:val="0"/>
                <w:bCs w:val="0"/>
                <w:color w:val="auto"/>
                <w:kern w:val="2"/>
                <w:sz w:val="21"/>
                <w:szCs w:val="24"/>
                <w:highlight w:val="none"/>
                <w:lang w:val="en-US" w:eastAsia="zh-CN" w:bidi="ar-SA"/>
              </w:rPr>
              <w:t>≤0.001</w:t>
            </w:r>
            <w:bookmarkEnd w:id="138"/>
            <w:bookmarkEnd w:id="139"/>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硒</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40" w:name="_Toc11313"/>
            <w:bookmarkStart w:id="141" w:name="_Toc15328"/>
            <w:r>
              <w:rPr>
                <w:rFonts w:hint="eastAsia" w:ascii="Times New Roman" w:hAnsi="Times New Roman" w:cs="Times New Roman"/>
                <w:b w:val="0"/>
                <w:bCs w:val="0"/>
                <w:color w:val="auto"/>
                <w:kern w:val="2"/>
                <w:sz w:val="21"/>
                <w:szCs w:val="24"/>
                <w:highlight w:val="none"/>
                <w:lang w:val="en-US" w:eastAsia="zh-CN" w:bidi="ar-SA"/>
              </w:rPr>
              <w:t>≤0.02</w:t>
            </w:r>
            <w:bookmarkEnd w:id="140"/>
            <w:bookmarkEnd w:id="141"/>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铅</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42" w:name="_Toc32438"/>
            <w:bookmarkStart w:id="143" w:name="_Toc30197"/>
            <w:r>
              <w:rPr>
                <w:rFonts w:hint="eastAsia" w:ascii="Times New Roman" w:hAnsi="Times New Roman" w:cs="Times New Roman"/>
                <w:b w:val="0"/>
                <w:bCs w:val="0"/>
                <w:color w:val="auto"/>
                <w:kern w:val="2"/>
                <w:sz w:val="21"/>
                <w:szCs w:val="24"/>
                <w:highlight w:val="none"/>
                <w:lang w:val="en-US" w:eastAsia="zh-CN" w:bidi="ar-SA"/>
              </w:rPr>
              <w:t>≤0.1</w:t>
            </w:r>
            <w:bookmarkEnd w:id="142"/>
            <w:bookmarkEnd w:id="143"/>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镉</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44" w:name="_Toc1162"/>
            <w:bookmarkStart w:id="145" w:name="_Toc27503"/>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0.01</w:t>
            </w:r>
            <w:bookmarkEnd w:id="144"/>
            <w:bookmarkEnd w:id="145"/>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高锰酸盐指数</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7.6-8.3</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0.553</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46" w:name="_Toc14106"/>
            <w:bookmarkStart w:id="147" w:name="_Toc24067"/>
            <w:r>
              <w:rPr>
                <w:rFonts w:hint="eastAsia" w:ascii="Times New Roman" w:hAnsi="Times New Roman" w:cs="Times New Roman"/>
                <w:b w:val="0"/>
                <w:bCs w:val="0"/>
                <w:color w:val="auto"/>
                <w:kern w:val="2"/>
                <w:sz w:val="21"/>
                <w:szCs w:val="24"/>
                <w:highlight w:val="none"/>
                <w:lang w:val="en-US" w:eastAsia="zh-CN" w:bidi="ar-SA"/>
              </w:rPr>
              <w:t>≤15</w:t>
            </w:r>
            <w:bookmarkEnd w:id="146"/>
            <w:bookmarkEnd w:id="147"/>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宋体" w:hAnsi="宋体" w:cs="宋体"/>
                <w:color w:val="auto"/>
                <w:kern w:val="0"/>
                <w:szCs w:val="21"/>
                <w:highlight w:val="none"/>
                <w:lang w:eastAsia="zh-CN" w:bidi="ar"/>
              </w:rPr>
              <w:t>叶绿素</w:t>
            </w:r>
            <w:r>
              <w:rPr>
                <w:rFonts w:hint="eastAsia" w:ascii="宋体" w:hAnsi="宋体" w:cs="宋体"/>
                <w:color w:val="auto"/>
                <w:kern w:val="0"/>
                <w:szCs w:val="21"/>
                <w:highlight w:val="none"/>
                <w:lang w:val="en-US" w:eastAsia="zh-CN" w:bidi="ar"/>
              </w:rPr>
              <w:t>a</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ug/L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7-8</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48" w:name="_Toc24245"/>
            <w:bookmarkStart w:id="149" w:name="_Toc4784"/>
            <w:r>
              <w:rPr>
                <w:rFonts w:hint="eastAsia" w:ascii="Times New Roman" w:hAnsi="Times New Roman" w:cs="Times New Roman"/>
                <w:color w:val="auto"/>
                <w:szCs w:val="21"/>
                <w:highlight w:val="none"/>
                <w:lang w:val="en-US" w:eastAsia="zh-CN"/>
              </w:rPr>
              <w:t>/</w:t>
            </w:r>
            <w:bookmarkEnd w:id="148"/>
            <w:bookmarkEnd w:id="149"/>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kern w:val="0"/>
                <w:szCs w:val="21"/>
                <w:highlight w:val="none"/>
                <w:lang w:val="zh-CN" w:eastAsia="zh-CN"/>
              </w:rPr>
              <w:t>透明度</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cm</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40-50</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50" w:name="_Toc18352"/>
            <w:bookmarkStart w:id="151" w:name="_Toc32545"/>
            <w:r>
              <w:rPr>
                <w:rFonts w:hint="eastAsia" w:ascii="Times New Roman" w:hAnsi="Times New Roman" w:cs="Times New Roman"/>
                <w:color w:val="auto"/>
                <w:szCs w:val="21"/>
                <w:highlight w:val="none"/>
                <w:lang w:val="en-US" w:eastAsia="zh-CN"/>
              </w:rPr>
              <w:t>/</w:t>
            </w:r>
            <w:bookmarkEnd w:id="150"/>
            <w:bookmarkEnd w:id="151"/>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kern w:val="0"/>
                <w:szCs w:val="21"/>
                <w:highlight w:val="none"/>
                <w:lang w:val="zh-CN" w:eastAsia="zh-CN"/>
              </w:rPr>
              <w:t>氟化物</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0.929-0.937</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0.62</w:t>
            </w:r>
            <w:r>
              <w:rPr>
                <w:rFonts w:hint="eastAsia" w:ascii="Times New Roman" w:hAnsi="Times New Roman" w:eastAsia="宋体" w:cs="Times New Roman"/>
                <w:i w:val="0"/>
                <w:iCs w:val="0"/>
                <w:color w:val="auto"/>
                <w:kern w:val="0"/>
                <w:sz w:val="21"/>
                <w:szCs w:val="21"/>
                <w:highlight w:val="none"/>
                <w:u w:val="none"/>
                <w:lang w:val="en-US" w:eastAsia="zh-CN" w:bidi="ar"/>
              </w:rPr>
              <w:t>5</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52" w:name="_Toc21575"/>
            <w:bookmarkStart w:id="153" w:name="_Toc19287"/>
            <w:r>
              <w:rPr>
                <w:rFonts w:hint="eastAsia" w:ascii="Times New Roman" w:hAnsi="Times New Roman" w:cs="Times New Roman"/>
                <w:b w:val="0"/>
                <w:bCs w:val="0"/>
                <w:color w:val="auto"/>
                <w:kern w:val="2"/>
                <w:sz w:val="21"/>
                <w:szCs w:val="24"/>
                <w:highlight w:val="none"/>
                <w:lang w:val="en-US" w:eastAsia="zh-CN" w:bidi="ar-SA"/>
              </w:rPr>
              <w:t>≤1.5</w:t>
            </w:r>
            <w:bookmarkEnd w:id="152"/>
            <w:bookmarkEnd w:id="153"/>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color w:val="auto"/>
                <w:szCs w:val="21"/>
                <w:highlight w:val="none"/>
              </w:rPr>
              <w:t>粪大肠菌群</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MPN/L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2.0×104-2.3×104</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54" w:name="_Toc25367"/>
            <w:bookmarkStart w:id="155" w:name="_Toc24390"/>
            <w:r>
              <w:rPr>
                <w:rFonts w:hint="eastAsia" w:ascii="Times New Roman" w:hAnsi="Times New Roman" w:cs="Times New Roman"/>
                <w:b w:val="0"/>
                <w:bCs w:val="0"/>
                <w:color w:val="auto"/>
                <w:kern w:val="2"/>
                <w:sz w:val="21"/>
                <w:szCs w:val="24"/>
                <w:highlight w:val="none"/>
                <w:lang w:val="en-US" w:eastAsia="zh-CN" w:bidi="ar-SA"/>
              </w:rPr>
              <w:t>≤40000</w:t>
            </w:r>
            <w:bookmarkEnd w:id="154"/>
            <w:bookmarkEnd w:id="155"/>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bl>
    <w:p>
      <w:pPr>
        <w:rPr>
          <w:rFonts w:hint="eastAsia"/>
          <w:color w:val="auto"/>
          <w:highlight w:val="none"/>
          <w:lang w:val="en-US" w:eastAsia="zh-CN"/>
        </w:rPr>
      </w:pPr>
    </w:p>
    <w:p>
      <w:pPr>
        <w:jc w:val="center"/>
        <w:rPr>
          <w:rFonts w:hint="eastAsia"/>
          <w:color w:val="auto"/>
          <w:highlight w:val="none"/>
          <w:lang w:val="en-US" w:eastAsia="zh-CN"/>
        </w:rPr>
      </w:pPr>
      <w:r>
        <w:rPr>
          <w:rFonts w:hint="default" w:ascii="Times New Roman" w:hAnsi="Times New Roman" w:eastAsia="宋体" w:cs="Times New Roman"/>
          <w:b/>
          <w:bCs/>
          <w:color w:val="auto"/>
          <w:sz w:val="24"/>
          <w:szCs w:val="24"/>
          <w:highlight w:val="none"/>
          <w:lang w:val="en-US" w:eastAsia="zh-CN"/>
        </w:rPr>
        <w:t>表4.2-</w:t>
      </w:r>
      <w:r>
        <w:rPr>
          <w:rFonts w:hint="eastAsia"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vertAlign w:val="baseline"/>
          <w:lang w:val="en-US" w:eastAsia="zh-CN"/>
        </w:rPr>
        <w:t>安肇新河入库里泡排口地表水现状监测数据一览表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59"/>
        <w:gridCol w:w="1175"/>
        <w:gridCol w:w="1678"/>
        <w:gridCol w:w="1027"/>
        <w:gridCol w:w="1175"/>
        <w:gridCol w:w="1145"/>
        <w:gridCol w:w="115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监测项目</w:t>
            </w:r>
          </w:p>
        </w:tc>
        <w:tc>
          <w:tcPr>
            <w:tcW w:w="121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单位</w:t>
            </w:r>
          </w:p>
        </w:tc>
        <w:tc>
          <w:tcPr>
            <w:tcW w:w="2433"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安肇新河入库里泡排口</w:t>
            </w:r>
          </w:p>
        </w:tc>
        <w:tc>
          <w:tcPr>
            <w:tcW w:w="121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标准值</w:t>
            </w:r>
          </w:p>
        </w:tc>
        <w:tc>
          <w:tcPr>
            <w:tcW w:w="121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超标率(%)</w:t>
            </w:r>
          </w:p>
        </w:tc>
        <w:tc>
          <w:tcPr>
            <w:tcW w:w="121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最大超标倍数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6"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监测数值</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污染指数</w:t>
            </w:r>
          </w:p>
        </w:tc>
        <w:tc>
          <w:tcPr>
            <w:tcW w:w="1217"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7"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7"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ascii="Times New Roman" w:hAnsi="Times New Roman"/>
                <w:color w:val="auto"/>
                <w:sz w:val="21"/>
                <w:szCs w:val="21"/>
                <w:highlight w:val="none"/>
              </w:rPr>
              <w:t>pH</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无量纲</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8.3-8.5</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0.533</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kern w:val="2"/>
                <w:sz w:val="21"/>
                <w:szCs w:val="24"/>
                <w:highlight w:val="none"/>
                <w:lang w:val="en-US" w:eastAsia="zh-CN" w:bidi="ar-SA"/>
              </w:rPr>
              <w:t>6-9</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化学需氧量</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53-55</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1.375</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≤40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37.5</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ascii="Times New Roman" w:hAnsi="宋体"/>
                <w:color w:val="auto"/>
                <w:sz w:val="21"/>
                <w:szCs w:val="21"/>
                <w:highlight w:val="none"/>
              </w:rPr>
              <w:t>氨氮</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3.11-3.28</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1.64</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kern w:val="2"/>
                <w:sz w:val="21"/>
                <w:szCs w:val="24"/>
                <w:highlight w:val="none"/>
                <w:lang w:val="en-US" w:eastAsia="zh-CN" w:bidi="ar-SA"/>
              </w:rPr>
              <w:t>2.0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64</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1.64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总磷</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0.35-0.38</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0.95</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kern w:val="2"/>
                <w:sz w:val="21"/>
                <w:szCs w:val="24"/>
                <w:highlight w:val="none"/>
                <w:lang w:val="en-US" w:eastAsia="zh-CN" w:bidi="ar-SA"/>
              </w:rPr>
              <w:t>0.4（湖、库0.2）</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总氮</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4.26-4.50</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2.25</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56" w:name="_Toc14169"/>
            <w:bookmarkStart w:id="157" w:name="_Toc29232"/>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2.0</w:t>
            </w:r>
            <w:bookmarkEnd w:id="156"/>
            <w:bookmarkEnd w:id="157"/>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125</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BOD</w:t>
            </w:r>
            <w:r>
              <w:rPr>
                <w:rFonts w:hint="eastAsia" w:ascii="Times New Roman" w:hAnsi="Times New Roman"/>
                <w:color w:val="auto"/>
                <w:sz w:val="21"/>
                <w:szCs w:val="21"/>
                <w:highlight w:val="none"/>
                <w:vertAlign w:val="subscript"/>
                <w:lang w:val="en-US" w:eastAsia="zh-CN"/>
              </w:rPr>
              <w:t>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7.5-7.8</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0.78</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58" w:name="_Toc7471"/>
            <w:bookmarkStart w:id="159" w:name="_Toc25599"/>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10</w:t>
            </w:r>
            <w:bookmarkEnd w:id="158"/>
            <w:bookmarkEnd w:id="159"/>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挥发酚</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60" w:name="_Toc21963"/>
            <w:bookmarkStart w:id="161" w:name="_Toc2776"/>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0.1</w:t>
            </w:r>
            <w:bookmarkEnd w:id="160"/>
            <w:bookmarkEnd w:id="161"/>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石油类</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62" w:name="_Toc30671"/>
            <w:bookmarkStart w:id="163" w:name="_Toc28078"/>
            <w:r>
              <w:rPr>
                <w:rFonts w:hint="eastAsia" w:ascii="Times New Roman" w:hAnsi="Times New Roman" w:cs="Times New Roman"/>
                <w:b w:val="0"/>
                <w:bCs w:val="0"/>
                <w:color w:val="auto"/>
                <w:kern w:val="2"/>
                <w:sz w:val="21"/>
                <w:szCs w:val="24"/>
                <w:highlight w:val="none"/>
                <w:lang w:val="en-US" w:eastAsia="zh-CN" w:bidi="ar-SA"/>
              </w:rPr>
              <w:t>≤1.0</w:t>
            </w:r>
            <w:bookmarkEnd w:id="162"/>
            <w:bookmarkEnd w:id="163"/>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六价铬</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64" w:name="_Toc20391"/>
            <w:bookmarkStart w:id="165" w:name="_Toc6780"/>
            <w:r>
              <w:rPr>
                <w:rFonts w:hint="eastAsia" w:ascii="Times New Roman" w:hAnsi="Times New Roman" w:cs="Times New Roman"/>
                <w:b w:val="0"/>
                <w:bCs w:val="0"/>
                <w:color w:val="auto"/>
                <w:kern w:val="2"/>
                <w:sz w:val="21"/>
                <w:szCs w:val="24"/>
                <w:highlight w:val="none"/>
                <w:lang w:val="en-US" w:eastAsia="zh-CN" w:bidi="ar-SA"/>
              </w:rPr>
              <w:t>≤0.1</w:t>
            </w:r>
            <w:bookmarkEnd w:id="164"/>
            <w:bookmarkEnd w:id="165"/>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溶解氧</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4.0-4.1</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0.488</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66" w:name="_Toc27175"/>
            <w:bookmarkStart w:id="167" w:name="_Toc16851"/>
            <w:r>
              <w:rPr>
                <w:rFonts w:hint="eastAsia" w:ascii="Times New Roman" w:hAnsi="Times New Roman" w:cs="Times New Roman"/>
                <w:b w:val="0"/>
                <w:bCs w:val="0"/>
                <w:color w:val="auto"/>
                <w:kern w:val="2"/>
                <w:sz w:val="21"/>
                <w:szCs w:val="24"/>
                <w:highlight w:val="none"/>
                <w:lang w:val="en-US" w:eastAsia="zh-CN" w:bidi="ar-SA"/>
              </w:rPr>
              <w:t>≥2</w:t>
            </w:r>
            <w:bookmarkEnd w:id="166"/>
            <w:bookmarkEnd w:id="167"/>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硫化物</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68" w:name="_Toc24963"/>
            <w:bookmarkStart w:id="169" w:name="_Toc31100"/>
            <w:r>
              <w:rPr>
                <w:rFonts w:hint="eastAsia" w:ascii="Times New Roman" w:hAnsi="Times New Roman" w:cs="Times New Roman"/>
                <w:b w:val="0"/>
                <w:bCs w:val="0"/>
                <w:color w:val="auto"/>
                <w:kern w:val="2"/>
                <w:sz w:val="21"/>
                <w:szCs w:val="24"/>
                <w:highlight w:val="none"/>
                <w:lang w:val="en-US" w:eastAsia="zh-CN" w:bidi="ar-SA"/>
              </w:rPr>
              <w:t>≤1.0</w:t>
            </w:r>
            <w:bookmarkEnd w:id="168"/>
            <w:bookmarkEnd w:id="169"/>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阴离子表面活性剂</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70" w:name="_Toc24585"/>
            <w:bookmarkStart w:id="171" w:name="_Toc23320"/>
            <w:r>
              <w:rPr>
                <w:rFonts w:hint="eastAsia" w:ascii="Times New Roman" w:hAnsi="Times New Roman" w:cs="Times New Roman"/>
                <w:b w:val="0"/>
                <w:bCs w:val="0"/>
                <w:color w:val="auto"/>
                <w:kern w:val="2"/>
                <w:sz w:val="21"/>
                <w:szCs w:val="24"/>
                <w:highlight w:val="none"/>
                <w:lang w:val="en-US" w:eastAsia="zh-CN" w:bidi="ar-SA"/>
              </w:rPr>
              <w:t>≤0.3</w:t>
            </w:r>
            <w:bookmarkEnd w:id="170"/>
            <w:bookmarkEnd w:id="171"/>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铜</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0.015-0.017</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0.017</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72" w:name="_Toc19225"/>
            <w:bookmarkStart w:id="173" w:name="_Toc17562"/>
            <w:r>
              <w:rPr>
                <w:rFonts w:hint="eastAsia" w:ascii="Times New Roman" w:hAnsi="Times New Roman" w:cs="Times New Roman"/>
                <w:b w:val="0"/>
                <w:bCs w:val="0"/>
                <w:color w:val="auto"/>
                <w:kern w:val="2"/>
                <w:sz w:val="21"/>
                <w:szCs w:val="24"/>
                <w:highlight w:val="none"/>
                <w:lang w:val="en-US" w:eastAsia="zh-CN" w:bidi="ar-SA"/>
              </w:rPr>
              <w:t>≤1.0</w:t>
            </w:r>
            <w:bookmarkEnd w:id="172"/>
            <w:bookmarkEnd w:id="173"/>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锌</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0.40-0.44</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0.22</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74" w:name="_Toc22709"/>
            <w:bookmarkStart w:id="175" w:name="_Toc916"/>
            <w:r>
              <w:rPr>
                <w:rFonts w:hint="eastAsia" w:ascii="Times New Roman" w:hAnsi="Times New Roman" w:cs="Times New Roman"/>
                <w:b w:val="0"/>
                <w:bCs w:val="0"/>
                <w:color w:val="auto"/>
                <w:kern w:val="2"/>
                <w:sz w:val="21"/>
                <w:szCs w:val="24"/>
                <w:highlight w:val="none"/>
                <w:lang w:val="en-US" w:eastAsia="zh-CN" w:bidi="ar-SA"/>
              </w:rPr>
              <w:t>≤2.0</w:t>
            </w:r>
            <w:bookmarkEnd w:id="174"/>
            <w:bookmarkEnd w:id="175"/>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氰化物</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76" w:name="_Toc31594"/>
            <w:bookmarkStart w:id="177" w:name="_Toc28245"/>
            <w:r>
              <w:rPr>
                <w:rFonts w:hint="eastAsia" w:ascii="Times New Roman" w:hAnsi="Times New Roman" w:cs="Times New Roman"/>
                <w:b w:val="0"/>
                <w:bCs w:val="0"/>
                <w:color w:val="auto"/>
                <w:kern w:val="2"/>
                <w:sz w:val="21"/>
                <w:szCs w:val="24"/>
                <w:highlight w:val="none"/>
                <w:lang w:val="en-US" w:eastAsia="zh-CN" w:bidi="ar-SA"/>
              </w:rPr>
              <w:t>≤0.2</w:t>
            </w:r>
            <w:bookmarkEnd w:id="176"/>
            <w:bookmarkEnd w:id="177"/>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砷</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78" w:name="_Toc18658"/>
            <w:bookmarkStart w:id="179" w:name="_Toc10360"/>
            <w:r>
              <w:rPr>
                <w:rFonts w:hint="eastAsia" w:ascii="Times New Roman" w:hAnsi="Times New Roman" w:cs="Times New Roman"/>
                <w:b w:val="0"/>
                <w:bCs w:val="0"/>
                <w:color w:val="auto"/>
                <w:kern w:val="2"/>
                <w:sz w:val="21"/>
                <w:szCs w:val="24"/>
                <w:highlight w:val="none"/>
                <w:lang w:val="en-US" w:eastAsia="zh-CN" w:bidi="ar-SA"/>
              </w:rPr>
              <w:t>≤0.1</w:t>
            </w:r>
            <w:bookmarkEnd w:id="178"/>
            <w:bookmarkEnd w:id="179"/>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汞</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80" w:name="_Toc14115"/>
            <w:bookmarkStart w:id="181" w:name="_Toc30344"/>
            <w:r>
              <w:rPr>
                <w:rFonts w:hint="eastAsia" w:ascii="Times New Roman" w:hAnsi="Times New Roman" w:cs="Times New Roman"/>
                <w:b w:val="0"/>
                <w:bCs w:val="0"/>
                <w:color w:val="auto"/>
                <w:kern w:val="2"/>
                <w:sz w:val="21"/>
                <w:szCs w:val="24"/>
                <w:highlight w:val="none"/>
                <w:lang w:val="en-US" w:eastAsia="zh-CN" w:bidi="ar-SA"/>
              </w:rPr>
              <w:t>≤0.001</w:t>
            </w:r>
            <w:bookmarkEnd w:id="180"/>
            <w:bookmarkEnd w:id="181"/>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硒</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82" w:name="_Toc16911"/>
            <w:bookmarkStart w:id="183" w:name="_Toc5081"/>
            <w:r>
              <w:rPr>
                <w:rFonts w:hint="eastAsia" w:ascii="Times New Roman" w:hAnsi="Times New Roman" w:cs="Times New Roman"/>
                <w:b w:val="0"/>
                <w:bCs w:val="0"/>
                <w:color w:val="auto"/>
                <w:kern w:val="2"/>
                <w:sz w:val="21"/>
                <w:szCs w:val="24"/>
                <w:highlight w:val="none"/>
                <w:lang w:val="en-US" w:eastAsia="zh-CN" w:bidi="ar-SA"/>
              </w:rPr>
              <w:t>≤0.02</w:t>
            </w:r>
            <w:bookmarkEnd w:id="182"/>
            <w:bookmarkEnd w:id="183"/>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铅</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84" w:name="_Toc21291"/>
            <w:bookmarkStart w:id="185" w:name="_Toc28309"/>
            <w:r>
              <w:rPr>
                <w:rFonts w:hint="eastAsia" w:ascii="Times New Roman" w:hAnsi="Times New Roman" w:cs="Times New Roman"/>
                <w:b w:val="0"/>
                <w:bCs w:val="0"/>
                <w:color w:val="auto"/>
                <w:kern w:val="2"/>
                <w:sz w:val="21"/>
                <w:szCs w:val="24"/>
                <w:highlight w:val="none"/>
                <w:lang w:val="en-US" w:eastAsia="zh-CN" w:bidi="ar-SA"/>
              </w:rPr>
              <w:t>≤0.1</w:t>
            </w:r>
            <w:bookmarkEnd w:id="184"/>
            <w:bookmarkEnd w:id="185"/>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镉</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86" w:name="_Toc12647"/>
            <w:bookmarkStart w:id="187" w:name="_Toc10950"/>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0.01</w:t>
            </w:r>
            <w:bookmarkEnd w:id="186"/>
            <w:bookmarkEnd w:id="187"/>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高锰酸盐指数</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9.7-10.1</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0.673</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88" w:name="_Toc11380"/>
            <w:bookmarkStart w:id="189" w:name="_Toc9141"/>
            <w:r>
              <w:rPr>
                <w:rFonts w:hint="eastAsia" w:ascii="Times New Roman" w:hAnsi="Times New Roman" w:cs="Times New Roman"/>
                <w:b w:val="0"/>
                <w:bCs w:val="0"/>
                <w:color w:val="auto"/>
                <w:kern w:val="2"/>
                <w:sz w:val="21"/>
                <w:szCs w:val="24"/>
                <w:highlight w:val="none"/>
                <w:lang w:val="en-US" w:eastAsia="zh-CN" w:bidi="ar-SA"/>
              </w:rPr>
              <w:t>≤15</w:t>
            </w:r>
            <w:bookmarkEnd w:id="188"/>
            <w:bookmarkEnd w:id="189"/>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宋体" w:hAnsi="宋体" w:cs="宋体"/>
                <w:color w:val="auto"/>
                <w:kern w:val="0"/>
                <w:szCs w:val="21"/>
                <w:highlight w:val="none"/>
                <w:lang w:eastAsia="zh-CN" w:bidi="ar"/>
              </w:rPr>
              <w:t>叶绿素</w:t>
            </w:r>
            <w:r>
              <w:rPr>
                <w:rFonts w:hint="eastAsia" w:ascii="宋体" w:hAnsi="宋体" w:cs="宋体"/>
                <w:color w:val="auto"/>
                <w:kern w:val="0"/>
                <w:szCs w:val="21"/>
                <w:highlight w:val="none"/>
                <w:lang w:val="en-US" w:eastAsia="zh-CN" w:bidi="ar"/>
              </w:rPr>
              <w:t>a</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ug/L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6-7</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90" w:name="_Toc23228"/>
            <w:bookmarkStart w:id="191" w:name="_Toc14419"/>
            <w:r>
              <w:rPr>
                <w:rFonts w:hint="eastAsia" w:ascii="Times New Roman" w:hAnsi="Times New Roman" w:cs="Times New Roman"/>
                <w:color w:val="auto"/>
                <w:szCs w:val="21"/>
                <w:highlight w:val="none"/>
                <w:lang w:val="en-US" w:eastAsia="zh-CN"/>
              </w:rPr>
              <w:t>/</w:t>
            </w:r>
            <w:bookmarkEnd w:id="190"/>
            <w:bookmarkEnd w:id="191"/>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kern w:val="0"/>
                <w:szCs w:val="21"/>
                <w:highlight w:val="none"/>
                <w:lang w:val="zh-CN" w:eastAsia="zh-CN"/>
              </w:rPr>
              <w:t>透明度</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cm</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40-50</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92" w:name="_Toc3978"/>
            <w:bookmarkStart w:id="193" w:name="_Toc9317"/>
            <w:r>
              <w:rPr>
                <w:rFonts w:hint="eastAsia" w:ascii="Times New Roman" w:hAnsi="Times New Roman" w:cs="Times New Roman"/>
                <w:color w:val="auto"/>
                <w:szCs w:val="21"/>
                <w:highlight w:val="none"/>
                <w:lang w:val="en-US" w:eastAsia="zh-CN"/>
              </w:rPr>
              <w:t>/</w:t>
            </w:r>
            <w:bookmarkEnd w:id="192"/>
            <w:bookmarkEnd w:id="193"/>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kern w:val="0"/>
                <w:szCs w:val="21"/>
                <w:highlight w:val="none"/>
                <w:lang w:val="zh-CN" w:eastAsia="zh-CN"/>
              </w:rPr>
              <w:t>氟化物</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1.05-1.13</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0.753</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94" w:name="_Toc6243"/>
            <w:bookmarkStart w:id="195" w:name="_Toc10719"/>
            <w:r>
              <w:rPr>
                <w:rFonts w:hint="eastAsia" w:ascii="Times New Roman" w:hAnsi="Times New Roman" w:cs="Times New Roman"/>
                <w:b w:val="0"/>
                <w:bCs w:val="0"/>
                <w:color w:val="auto"/>
                <w:kern w:val="2"/>
                <w:sz w:val="21"/>
                <w:szCs w:val="24"/>
                <w:highlight w:val="none"/>
                <w:lang w:val="en-US" w:eastAsia="zh-CN" w:bidi="ar-SA"/>
              </w:rPr>
              <w:t>≤1.5</w:t>
            </w:r>
            <w:bookmarkEnd w:id="194"/>
            <w:bookmarkEnd w:id="195"/>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color w:val="auto"/>
                <w:szCs w:val="21"/>
                <w:highlight w:val="none"/>
              </w:rPr>
              <w:t>粪大肠菌群</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MPN/L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2.8</w:t>
            </w:r>
            <w:r>
              <w:rPr>
                <w:rFonts w:hint="default" w:ascii="Times New Roman" w:hAnsi="Times New Roman" w:cs="Times New Roman"/>
                <w:color w:val="auto"/>
                <w:sz w:val="21"/>
                <w:szCs w:val="21"/>
                <w:highlight w:val="none"/>
                <w:vertAlign w:val="baseline"/>
                <w:lang w:val="en-US" w:eastAsia="zh-CN"/>
              </w:rPr>
              <w:t>×104</w:t>
            </w:r>
            <w:r>
              <w:rPr>
                <w:rFonts w:hint="eastAsia" w:ascii="Times New Roman" w:hAnsi="Times New Roman" w:cs="Times New Roman"/>
                <w:color w:val="auto"/>
                <w:sz w:val="21"/>
                <w:szCs w:val="21"/>
                <w:highlight w:val="none"/>
                <w:vertAlign w:val="baseline"/>
                <w:lang w:val="en-US" w:eastAsia="zh-CN"/>
              </w:rPr>
              <w:t>-3.2</w:t>
            </w:r>
            <w:r>
              <w:rPr>
                <w:rFonts w:hint="default" w:ascii="Times New Roman" w:hAnsi="Times New Roman" w:cs="Times New Roman"/>
                <w:color w:val="auto"/>
                <w:sz w:val="21"/>
                <w:szCs w:val="21"/>
                <w:highlight w:val="none"/>
                <w:vertAlign w:val="baseline"/>
                <w:lang w:val="en-US" w:eastAsia="zh-CN"/>
              </w:rPr>
              <w:t>×104</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96" w:name="_Toc5498"/>
            <w:bookmarkStart w:id="197" w:name="_Toc9748"/>
            <w:r>
              <w:rPr>
                <w:rFonts w:hint="eastAsia" w:ascii="Times New Roman" w:hAnsi="Times New Roman" w:cs="Times New Roman"/>
                <w:b w:val="0"/>
                <w:bCs w:val="0"/>
                <w:color w:val="auto"/>
                <w:kern w:val="2"/>
                <w:sz w:val="21"/>
                <w:szCs w:val="24"/>
                <w:highlight w:val="none"/>
                <w:lang w:val="en-US" w:eastAsia="zh-CN" w:bidi="ar-SA"/>
              </w:rPr>
              <w:t>≤40000</w:t>
            </w:r>
            <w:bookmarkEnd w:id="196"/>
            <w:bookmarkEnd w:id="197"/>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bl>
    <w:p>
      <w:pPr>
        <w:rPr>
          <w:rFonts w:hint="eastAsia"/>
          <w:color w:val="auto"/>
          <w:highlight w:val="none"/>
          <w:lang w:val="en-US" w:eastAsia="zh-CN"/>
        </w:rPr>
      </w:pPr>
      <w:r>
        <w:rPr>
          <w:rFonts w:hint="default" w:ascii="Times New Roman" w:hAnsi="Times New Roman" w:eastAsia="宋体" w:cs="Times New Roman"/>
          <w:b/>
          <w:bCs/>
          <w:color w:val="auto"/>
          <w:sz w:val="24"/>
          <w:szCs w:val="24"/>
          <w:highlight w:val="none"/>
          <w:lang w:val="en-US" w:eastAsia="zh-CN"/>
        </w:rPr>
        <w:t>表4.2-</w:t>
      </w:r>
      <w:r>
        <w:rPr>
          <w:rFonts w:hint="eastAsia"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vertAlign w:val="baseline"/>
          <w:lang w:val="en-US" w:eastAsia="zh-CN"/>
        </w:rPr>
        <w:t>库里泡排水出口地表水现状监测数据一览表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59"/>
        <w:gridCol w:w="1175"/>
        <w:gridCol w:w="1678"/>
        <w:gridCol w:w="1027"/>
        <w:gridCol w:w="1175"/>
        <w:gridCol w:w="1145"/>
        <w:gridCol w:w="115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监测项目</w:t>
            </w:r>
          </w:p>
        </w:tc>
        <w:tc>
          <w:tcPr>
            <w:tcW w:w="121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单位</w:t>
            </w:r>
          </w:p>
        </w:tc>
        <w:tc>
          <w:tcPr>
            <w:tcW w:w="2433"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库里泡排水出口</w:t>
            </w:r>
          </w:p>
        </w:tc>
        <w:tc>
          <w:tcPr>
            <w:tcW w:w="121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标准值</w:t>
            </w:r>
          </w:p>
        </w:tc>
        <w:tc>
          <w:tcPr>
            <w:tcW w:w="121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超标率(%)</w:t>
            </w:r>
          </w:p>
        </w:tc>
        <w:tc>
          <w:tcPr>
            <w:tcW w:w="121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最大超标倍数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6"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监测数值</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污染指数</w:t>
            </w:r>
          </w:p>
        </w:tc>
        <w:tc>
          <w:tcPr>
            <w:tcW w:w="1217"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7"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7"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ascii="Times New Roman" w:hAnsi="Times New Roman"/>
                <w:color w:val="auto"/>
                <w:sz w:val="21"/>
                <w:szCs w:val="21"/>
                <w:highlight w:val="none"/>
              </w:rPr>
              <w:t>pH</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无量纲</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7.8-8.0</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0.513</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kern w:val="2"/>
                <w:sz w:val="21"/>
                <w:szCs w:val="24"/>
                <w:highlight w:val="none"/>
                <w:lang w:val="en-US" w:eastAsia="zh-CN" w:bidi="ar-SA"/>
              </w:rPr>
              <w:t>6-9</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化学需氧量</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43-45</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1.125</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≤40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12.5</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1.125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ascii="Times New Roman" w:hAnsi="宋体"/>
                <w:color w:val="auto"/>
                <w:sz w:val="21"/>
                <w:szCs w:val="21"/>
                <w:highlight w:val="none"/>
              </w:rPr>
              <w:t>氨氮</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2.67-3.08</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1.54</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kern w:val="2"/>
                <w:sz w:val="21"/>
                <w:szCs w:val="24"/>
                <w:highlight w:val="none"/>
                <w:lang w:val="en-US" w:eastAsia="zh-CN" w:bidi="ar-SA"/>
              </w:rPr>
              <w:t>2.0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54</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总磷</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0.34-0.36</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0.9</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kern w:val="2"/>
                <w:sz w:val="21"/>
                <w:szCs w:val="24"/>
                <w:highlight w:val="none"/>
                <w:lang w:val="en-US" w:eastAsia="zh-CN" w:bidi="ar-SA"/>
              </w:rPr>
              <w:t>0.4（湖、库0.2）</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总氮</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3.67-3.88</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1.94</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198" w:name="_Toc28416"/>
            <w:bookmarkStart w:id="199" w:name="_Toc3706"/>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2.0</w:t>
            </w:r>
            <w:bookmarkEnd w:id="198"/>
            <w:bookmarkEnd w:id="199"/>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94</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1.94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BOD</w:t>
            </w:r>
            <w:r>
              <w:rPr>
                <w:rFonts w:hint="eastAsia" w:ascii="Times New Roman" w:hAnsi="Times New Roman"/>
                <w:color w:val="auto"/>
                <w:sz w:val="21"/>
                <w:szCs w:val="21"/>
                <w:highlight w:val="none"/>
                <w:vertAlign w:val="subscript"/>
                <w:lang w:val="en-US" w:eastAsia="zh-CN"/>
              </w:rPr>
              <w:t>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7.5-7.9</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0.79</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00" w:name="_Toc26880"/>
            <w:bookmarkStart w:id="201" w:name="_Toc30058"/>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10</w:t>
            </w:r>
            <w:bookmarkEnd w:id="200"/>
            <w:bookmarkEnd w:id="201"/>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挥发酚</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02" w:name="_Toc15478"/>
            <w:bookmarkStart w:id="203" w:name="_Toc31391"/>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0.1</w:t>
            </w:r>
            <w:bookmarkEnd w:id="202"/>
            <w:bookmarkEnd w:id="203"/>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石油类</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04" w:name="_Toc15908"/>
            <w:bookmarkStart w:id="205" w:name="_Toc11684"/>
            <w:r>
              <w:rPr>
                <w:rFonts w:hint="eastAsia" w:ascii="Times New Roman" w:hAnsi="Times New Roman" w:cs="Times New Roman"/>
                <w:b w:val="0"/>
                <w:bCs w:val="0"/>
                <w:color w:val="auto"/>
                <w:kern w:val="2"/>
                <w:sz w:val="21"/>
                <w:szCs w:val="24"/>
                <w:highlight w:val="none"/>
                <w:lang w:val="en-US" w:eastAsia="zh-CN" w:bidi="ar-SA"/>
              </w:rPr>
              <w:t>≤1.0</w:t>
            </w:r>
            <w:bookmarkEnd w:id="204"/>
            <w:bookmarkEnd w:id="205"/>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六价铬</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06" w:name="_Toc17307"/>
            <w:bookmarkStart w:id="207" w:name="_Toc15004"/>
            <w:r>
              <w:rPr>
                <w:rFonts w:hint="eastAsia" w:ascii="Times New Roman" w:hAnsi="Times New Roman" w:cs="Times New Roman"/>
                <w:b w:val="0"/>
                <w:bCs w:val="0"/>
                <w:color w:val="auto"/>
                <w:kern w:val="2"/>
                <w:sz w:val="21"/>
                <w:szCs w:val="24"/>
                <w:highlight w:val="none"/>
                <w:lang w:val="en-US" w:eastAsia="zh-CN" w:bidi="ar-SA"/>
              </w:rPr>
              <w:t>≤0.1</w:t>
            </w:r>
            <w:bookmarkEnd w:id="206"/>
            <w:bookmarkEnd w:id="207"/>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溶解氧</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4.0-4.3</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0.465</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08" w:name="_Toc22437"/>
            <w:bookmarkStart w:id="209" w:name="_Toc6093"/>
            <w:r>
              <w:rPr>
                <w:rFonts w:hint="eastAsia" w:ascii="Times New Roman" w:hAnsi="Times New Roman" w:cs="Times New Roman"/>
                <w:b w:val="0"/>
                <w:bCs w:val="0"/>
                <w:color w:val="auto"/>
                <w:kern w:val="2"/>
                <w:sz w:val="21"/>
                <w:szCs w:val="24"/>
                <w:highlight w:val="none"/>
                <w:lang w:val="en-US" w:eastAsia="zh-CN" w:bidi="ar-SA"/>
              </w:rPr>
              <w:t>≥2</w:t>
            </w:r>
            <w:bookmarkEnd w:id="208"/>
            <w:bookmarkEnd w:id="209"/>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硫化物</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10" w:name="_Toc8807"/>
            <w:bookmarkStart w:id="211" w:name="_Toc20830"/>
            <w:r>
              <w:rPr>
                <w:rFonts w:hint="eastAsia" w:ascii="Times New Roman" w:hAnsi="Times New Roman" w:cs="Times New Roman"/>
                <w:b w:val="0"/>
                <w:bCs w:val="0"/>
                <w:color w:val="auto"/>
                <w:kern w:val="2"/>
                <w:sz w:val="21"/>
                <w:szCs w:val="24"/>
                <w:highlight w:val="none"/>
                <w:lang w:val="en-US" w:eastAsia="zh-CN" w:bidi="ar-SA"/>
              </w:rPr>
              <w:t>≤1.0</w:t>
            </w:r>
            <w:bookmarkEnd w:id="210"/>
            <w:bookmarkEnd w:id="211"/>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阴离子表面活性剂</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12" w:name="_Toc4331"/>
            <w:bookmarkStart w:id="213" w:name="_Toc22762"/>
            <w:r>
              <w:rPr>
                <w:rFonts w:hint="eastAsia" w:ascii="Times New Roman" w:hAnsi="Times New Roman" w:cs="Times New Roman"/>
                <w:b w:val="0"/>
                <w:bCs w:val="0"/>
                <w:color w:val="auto"/>
                <w:kern w:val="2"/>
                <w:sz w:val="21"/>
                <w:szCs w:val="24"/>
                <w:highlight w:val="none"/>
                <w:lang w:val="en-US" w:eastAsia="zh-CN" w:bidi="ar-SA"/>
              </w:rPr>
              <w:t>≤0.3</w:t>
            </w:r>
            <w:bookmarkEnd w:id="212"/>
            <w:bookmarkEnd w:id="213"/>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铜</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0.020-0.022</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0.022</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14" w:name="_Toc28339"/>
            <w:bookmarkStart w:id="215" w:name="_Toc28286"/>
            <w:r>
              <w:rPr>
                <w:rFonts w:hint="eastAsia" w:ascii="Times New Roman" w:hAnsi="Times New Roman" w:cs="Times New Roman"/>
                <w:b w:val="0"/>
                <w:bCs w:val="0"/>
                <w:color w:val="auto"/>
                <w:kern w:val="2"/>
                <w:sz w:val="21"/>
                <w:szCs w:val="24"/>
                <w:highlight w:val="none"/>
                <w:lang w:val="en-US" w:eastAsia="zh-CN" w:bidi="ar-SA"/>
              </w:rPr>
              <w:t>≤1.0</w:t>
            </w:r>
            <w:bookmarkEnd w:id="214"/>
            <w:bookmarkEnd w:id="215"/>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锌</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0.1-0.15</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0.075</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16" w:name="_Toc22612"/>
            <w:bookmarkStart w:id="217" w:name="_Toc3658"/>
            <w:r>
              <w:rPr>
                <w:rFonts w:hint="eastAsia" w:ascii="Times New Roman" w:hAnsi="Times New Roman" w:cs="Times New Roman"/>
                <w:b w:val="0"/>
                <w:bCs w:val="0"/>
                <w:color w:val="auto"/>
                <w:kern w:val="2"/>
                <w:sz w:val="21"/>
                <w:szCs w:val="24"/>
                <w:highlight w:val="none"/>
                <w:lang w:val="en-US" w:eastAsia="zh-CN" w:bidi="ar-SA"/>
              </w:rPr>
              <w:t>≤2.0</w:t>
            </w:r>
            <w:bookmarkEnd w:id="216"/>
            <w:bookmarkEnd w:id="217"/>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氰化物</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18" w:name="_Toc21947"/>
            <w:bookmarkStart w:id="219" w:name="_Toc7610"/>
            <w:r>
              <w:rPr>
                <w:rFonts w:hint="eastAsia" w:ascii="Times New Roman" w:hAnsi="Times New Roman" w:cs="Times New Roman"/>
                <w:b w:val="0"/>
                <w:bCs w:val="0"/>
                <w:color w:val="auto"/>
                <w:kern w:val="2"/>
                <w:sz w:val="21"/>
                <w:szCs w:val="24"/>
                <w:highlight w:val="none"/>
                <w:lang w:val="en-US" w:eastAsia="zh-CN" w:bidi="ar-SA"/>
              </w:rPr>
              <w:t>≤0.2</w:t>
            </w:r>
            <w:bookmarkEnd w:id="218"/>
            <w:bookmarkEnd w:id="219"/>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砷</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20" w:name="_Toc9491"/>
            <w:bookmarkStart w:id="221" w:name="_Toc12702"/>
            <w:r>
              <w:rPr>
                <w:rFonts w:hint="eastAsia" w:ascii="Times New Roman" w:hAnsi="Times New Roman" w:cs="Times New Roman"/>
                <w:b w:val="0"/>
                <w:bCs w:val="0"/>
                <w:color w:val="auto"/>
                <w:kern w:val="2"/>
                <w:sz w:val="21"/>
                <w:szCs w:val="24"/>
                <w:highlight w:val="none"/>
                <w:lang w:val="en-US" w:eastAsia="zh-CN" w:bidi="ar-SA"/>
              </w:rPr>
              <w:t>≤0.1</w:t>
            </w:r>
            <w:bookmarkEnd w:id="220"/>
            <w:bookmarkEnd w:id="221"/>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汞</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22" w:name="_Toc15630"/>
            <w:bookmarkStart w:id="223" w:name="_Toc17222"/>
            <w:r>
              <w:rPr>
                <w:rFonts w:hint="eastAsia" w:ascii="Times New Roman" w:hAnsi="Times New Roman" w:cs="Times New Roman"/>
                <w:b w:val="0"/>
                <w:bCs w:val="0"/>
                <w:color w:val="auto"/>
                <w:kern w:val="2"/>
                <w:sz w:val="21"/>
                <w:szCs w:val="24"/>
                <w:highlight w:val="none"/>
                <w:lang w:val="en-US" w:eastAsia="zh-CN" w:bidi="ar-SA"/>
              </w:rPr>
              <w:t>≤0.001</w:t>
            </w:r>
            <w:bookmarkEnd w:id="222"/>
            <w:bookmarkEnd w:id="223"/>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硒</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24" w:name="_Toc3337"/>
            <w:bookmarkStart w:id="225" w:name="_Toc10884"/>
            <w:r>
              <w:rPr>
                <w:rFonts w:hint="eastAsia" w:ascii="Times New Roman" w:hAnsi="Times New Roman" w:cs="Times New Roman"/>
                <w:b w:val="0"/>
                <w:bCs w:val="0"/>
                <w:color w:val="auto"/>
                <w:kern w:val="2"/>
                <w:sz w:val="21"/>
                <w:szCs w:val="24"/>
                <w:highlight w:val="none"/>
                <w:lang w:val="en-US" w:eastAsia="zh-CN" w:bidi="ar-SA"/>
              </w:rPr>
              <w:t>≤0.02</w:t>
            </w:r>
            <w:bookmarkEnd w:id="224"/>
            <w:bookmarkEnd w:id="225"/>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铅</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26" w:name="_Toc6023"/>
            <w:bookmarkStart w:id="227" w:name="_Toc21399"/>
            <w:r>
              <w:rPr>
                <w:rFonts w:hint="eastAsia" w:ascii="Times New Roman" w:hAnsi="Times New Roman" w:cs="Times New Roman"/>
                <w:b w:val="0"/>
                <w:bCs w:val="0"/>
                <w:color w:val="auto"/>
                <w:kern w:val="2"/>
                <w:sz w:val="21"/>
                <w:szCs w:val="24"/>
                <w:highlight w:val="none"/>
                <w:lang w:val="en-US" w:eastAsia="zh-CN" w:bidi="ar-SA"/>
              </w:rPr>
              <w:t>≤0.1</w:t>
            </w:r>
            <w:bookmarkEnd w:id="226"/>
            <w:bookmarkEnd w:id="227"/>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镉</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28" w:name="_Toc558"/>
            <w:bookmarkStart w:id="229" w:name="_Toc24997"/>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0.01</w:t>
            </w:r>
            <w:bookmarkEnd w:id="228"/>
            <w:bookmarkEnd w:id="229"/>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高锰酸盐指数</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8.5-8.8</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0.587</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30" w:name="_Toc30596"/>
            <w:bookmarkStart w:id="231" w:name="_Toc27288"/>
            <w:r>
              <w:rPr>
                <w:rFonts w:hint="eastAsia" w:ascii="Times New Roman" w:hAnsi="Times New Roman" w:cs="Times New Roman"/>
                <w:b w:val="0"/>
                <w:bCs w:val="0"/>
                <w:color w:val="auto"/>
                <w:kern w:val="2"/>
                <w:sz w:val="21"/>
                <w:szCs w:val="24"/>
                <w:highlight w:val="none"/>
                <w:lang w:val="en-US" w:eastAsia="zh-CN" w:bidi="ar-SA"/>
              </w:rPr>
              <w:t>≤15</w:t>
            </w:r>
            <w:bookmarkEnd w:id="230"/>
            <w:bookmarkEnd w:id="231"/>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宋体" w:hAnsi="宋体" w:cs="宋体"/>
                <w:color w:val="auto"/>
                <w:kern w:val="0"/>
                <w:szCs w:val="21"/>
                <w:highlight w:val="none"/>
                <w:lang w:eastAsia="zh-CN" w:bidi="ar"/>
              </w:rPr>
              <w:t>叶绿素</w:t>
            </w:r>
            <w:r>
              <w:rPr>
                <w:rFonts w:hint="eastAsia" w:ascii="宋体" w:hAnsi="宋体" w:cs="宋体"/>
                <w:color w:val="auto"/>
                <w:kern w:val="0"/>
                <w:szCs w:val="21"/>
                <w:highlight w:val="none"/>
                <w:lang w:val="en-US" w:eastAsia="zh-CN" w:bidi="ar"/>
              </w:rPr>
              <w:t>a</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ug/L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6-8</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32" w:name="_Toc15501"/>
            <w:bookmarkStart w:id="233" w:name="_Toc2460"/>
            <w:r>
              <w:rPr>
                <w:rFonts w:hint="eastAsia" w:ascii="Times New Roman" w:hAnsi="Times New Roman" w:cs="Times New Roman"/>
                <w:color w:val="auto"/>
                <w:szCs w:val="21"/>
                <w:highlight w:val="none"/>
                <w:lang w:val="en-US" w:eastAsia="zh-CN"/>
              </w:rPr>
              <w:t>/</w:t>
            </w:r>
            <w:bookmarkEnd w:id="232"/>
            <w:bookmarkEnd w:id="233"/>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kern w:val="0"/>
                <w:szCs w:val="21"/>
                <w:highlight w:val="none"/>
                <w:lang w:val="zh-CN" w:eastAsia="zh-CN"/>
              </w:rPr>
              <w:t>透明度</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cm</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40-50</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34" w:name="_Toc28546"/>
            <w:bookmarkStart w:id="235" w:name="_Toc17765"/>
            <w:r>
              <w:rPr>
                <w:rFonts w:hint="eastAsia" w:ascii="Times New Roman" w:hAnsi="Times New Roman" w:cs="Times New Roman"/>
                <w:color w:val="auto"/>
                <w:szCs w:val="21"/>
                <w:highlight w:val="none"/>
                <w:lang w:val="en-US" w:eastAsia="zh-CN"/>
              </w:rPr>
              <w:t>/</w:t>
            </w:r>
            <w:bookmarkEnd w:id="234"/>
            <w:bookmarkEnd w:id="235"/>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kern w:val="0"/>
                <w:szCs w:val="21"/>
                <w:highlight w:val="none"/>
                <w:lang w:val="zh-CN" w:eastAsia="zh-CN"/>
              </w:rPr>
              <w:t>氟化物</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1.09-1.17</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0.78</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36" w:name="_Toc15587"/>
            <w:bookmarkStart w:id="237" w:name="_Toc13375"/>
            <w:r>
              <w:rPr>
                <w:rFonts w:hint="eastAsia" w:ascii="Times New Roman" w:hAnsi="Times New Roman" w:cs="Times New Roman"/>
                <w:b w:val="0"/>
                <w:bCs w:val="0"/>
                <w:color w:val="auto"/>
                <w:kern w:val="2"/>
                <w:sz w:val="21"/>
                <w:szCs w:val="24"/>
                <w:highlight w:val="none"/>
                <w:lang w:val="en-US" w:eastAsia="zh-CN" w:bidi="ar-SA"/>
              </w:rPr>
              <w:t>≤1.5</w:t>
            </w:r>
            <w:bookmarkEnd w:id="236"/>
            <w:bookmarkEnd w:id="237"/>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color w:val="auto"/>
                <w:szCs w:val="21"/>
                <w:highlight w:val="none"/>
              </w:rPr>
              <w:t>粪大肠菌群</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MPN/L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2.9</w:t>
            </w:r>
            <w:r>
              <w:rPr>
                <w:rFonts w:hint="default" w:ascii="Times New Roman" w:hAnsi="Times New Roman" w:cs="Times New Roman"/>
                <w:color w:val="auto"/>
                <w:sz w:val="21"/>
                <w:szCs w:val="21"/>
                <w:highlight w:val="none"/>
                <w:vertAlign w:val="baseline"/>
                <w:lang w:val="en-US" w:eastAsia="zh-CN"/>
              </w:rPr>
              <w:t>×104</w:t>
            </w:r>
            <w:r>
              <w:rPr>
                <w:rFonts w:hint="eastAsia" w:ascii="Times New Roman" w:hAnsi="Times New Roman" w:cs="Times New Roman"/>
                <w:color w:val="auto"/>
                <w:sz w:val="21"/>
                <w:szCs w:val="21"/>
                <w:highlight w:val="none"/>
                <w:vertAlign w:val="baseline"/>
                <w:lang w:val="en-US" w:eastAsia="zh-CN"/>
              </w:rPr>
              <w:t>-3.2</w:t>
            </w:r>
            <w:r>
              <w:rPr>
                <w:rFonts w:hint="default" w:ascii="Times New Roman" w:hAnsi="Times New Roman" w:cs="Times New Roman"/>
                <w:color w:val="auto"/>
                <w:sz w:val="21"/>
                <w:szCs w:val="21"/>
                <w:highlight w:val="none"/>
                <w:vertAlign w:val="baseline"/>
                <w:lang w:val="en-US" w:eastAsia="zh-CN"/>
              </w:rPr>
              <w:t>×104</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38" w:name="_Toc7348"/>
            <w:bookmarkStart w:id="239" w:name="_Toc31488"/>
            <w:r>
              <w:rPr>
                <w:rFonts w:hint="eastAsia" w:ascii="Times New Roman" w:hAnsi="Times New Roman" w:cs="Times New Roman"/>
                <w:b w:val="0"/>
                <w:bCs w:val="0"/>
                <w:color w:val="auto"/>
                <w:kern w:val="2"/>
                <w:sz w:val="21"/>
                <w:szCs w:val="24"/>
                <w:highlight w:val="none"/>
                <w:lang w:val="en-US" w:eastAsia="zh-CN" w:bidi="ar-SA"/>
              </w:rPr>
              <w:t>≤40000</w:t>
            </w:r>
            <w:bookmarkEnd w:id="238"/>
            <w:bookmarkEnd w:id="239"/>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bl>
    <w:p>
      <w:pPr>
        <w:rPr>
          <w:rFonts w:hint="eastAsia"/>
          <w:color w:val="auto"/>
          <w:highlight w:val="none"/>
          <w:lang w:val="en-US" w:eastAsia="zh-CN"/>
        </w:rPr>
      </w:pPr>
      <w:r>
        <w:rPr>
          <w:rFonts w:hint="default" w:ascii="Times New Roman" w:hAnsi="Times New Roman" w:eastAsia="宋体" w:cs="Times New Roman"/>
          <w:b/>
          <w:bCs/>
          <w:color w:val="auto"/>
          <w:sz w:val="24"/>
          <w:szCs w:val="24"/>
          <w:highlight w:val="none"/>
          <w:lang w:val="en-US" w:eastAsia="zh-CN"/>
        </w:rPr>
        <w:t>表4.2</w:t>
      </w:r>
      <w:r>
        <w:rPr>
          <w:rFonts w:hint="eastAsia" w:ascii="Times New Roman" w:hAnsi="Times New Roman" w:eastAsia="宋体" w:cs="Times New Roman"/>
          <w:b/>
          <w:bCs/>
          <w:color w:val="auto"/>
          <w:sz w:val="24"/>
          <w:szCs w:val="24"/>
          <w:highlight w:val="none"/>
          <w:lang w:val="en-US" w:eastAsia="zh-CN"/>
        </w:rPr>
        <w:t>-7</w:t>
      </w:r>
      <w:r>
        <w:rPr>
          <w:rFonts w:hint="default" w:ascii="Times New Roman" w:hAnsi="Times New Roman" w:eastAsia="宋体" w:cs="Times New Roman"/>
          <w:b/>
          <w:bCs/>
          <w:color w:val="auto"/>
          <w:sz w:val="24"/>
          <w:szCs w:val="24"/>
          <w:highlight w:val="none"/>
          <w:vertAlign w:val="baseline"/>
          <w:lang w:val="en-US" w:eastAsia="zh-CN"/>
        </w:rPr>
        <w:t>安肇新河入松花江的古恰排口地表水现状监测数据一览表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58"/>
        <w:gridCol w:w="1174"/>
        <w:gridCol w:w="1678"/>
        <w:gridCol w:w="1025"/>
        <w:gridCol w:w="1173"/>
        <w:gridCol w:w="1154"/>
        <w:gridCol w:w="115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监测项目</w:t>
            </w:r>
          </w:p>
        </w:tc>
        <w:tc>
          <w:tcPr>
            <w:tcW w:w="121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单位</w:t>
            </w:r>
          </w:p>
        </w:tc>
        <w:tc>
          <w:tcPr>
            <w:tcW w:w="2433"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安肇新河入松花江的古恰排口</w:t>
            </w:r>
          </w:p>
        </w:tc>
        <w:tc>
          <w:tcPr>
            <w:tcW w:w="121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标准值</w:t>
            </w:r>
          </w:p>
        </w:tc>
        <w:tc>
          <w:tcPr>
            <w:tcW w:w="121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超标率(%)</w:t>
            </w:r>
          </w:p>
        </w:tc>
        <w:tc>
          <w:tcPr>
            <w:tcW w:w="121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最大超标倍数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6"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监测数值</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污染指数</w:t>
            </w:r>
          </w:p>
        </w:tc>
        <w:tc>
          <w:tcPr>
            <w:tcW w:w="1217"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7"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7"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ascii="Times New Roman" w:hAnsi="Times New Roman"/>
                <w:color w:val="auto"/>
                <w:sz w:val="21"/>
                <w:szCs w:val="21"/>
                <w:highlight w:val="none"/>
              </w:rPr>
              <w:t>pH</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无量纲</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7.9-8.3</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0.54</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kern w:val="2"/>
                <w:sz w:val="21"/>
                <w:szCs w:val="24"/>
                <w:highlight w:val="none"/>
                <w:lang w:val="en-US" w:eastAsia="zh-CN" w:bidi="ar-SA"/>
              </w:rPr>
              <w:t>6-9</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化学需氧量</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42-48</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1.2</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≤40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ascii="Times New Roman" w:hAnsi="宋体"/>
                <w:color w:val="auto"/>
                <w:sz w:val="21"/>
                <w:szCs w:val="21"/>
                <w:highlight w:val="none"/>
              </w:rPr>
              <w:t>氨氮</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3.26-3.45</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1.725</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kern w:val="2"/>
                <w:sz w:val="21"/>
                <w:szCs w:val="24"/>
                <w:highlight w:val="none"/>
                <w:lang w:val="en-US" w:eastAsia="zh-CN" w:bidi="ar-SA"/>
              </w:rPr>
              <w:t>2.0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72.5</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1.725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总磷</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0.32-0.7</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1.75</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kern w:val="2"/>
                <w:sz w:val="21"/>
                <w:szCs w:val="24"/>
                <w:highlight w:val="none"/>
                <w:lang w:val="en-US" w:eastAsia="zh-CN" w:bidi="ar-SA"/>
              </w:rPr>
              <w:t>0.4（湖、库0.2）</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75</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3" w:hRule="atLeast"/>
        </w:trPr>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总氮</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4.18-4.51</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2.255</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40" w:name="_Toc30038"/>
            <w:bookmarkStart w:id="241" w:name="_Toc16129"/>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2.0</w:t>
            </w:r>
            <w:bookmarkEnd w:id="240"/>
            <w:bookmarkEnd w:id="241"/>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125.5</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2.255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BOD</w:t>
            </w:r>
            <w:r>
              <w:rPr>
                <w:rFonts w:hint="eastAsia" w:ascii="Times New Roman" w:hAnsi="Times New Roman"/>
                <w:color w:val="auto"/>
                <w:sz w:val="21"/>
                <w:szCs w:val="21"/>
                <w:highlight w:val="none"/>
                <w:vertAlign w:val="subscript"/>
                <w:lang w:val="en-US" w:eastAsia="zh-CN"/>
              </w:rPr>
              <w:t>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5.4-5.8</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0.58</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42" w:name="_Toc21342"/>
            <w:bookmarkStart w:id="243" w:name="_Toc29602"/>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10</w:t>
            </w:r>
            <w:bookmarkEnd w:id="242"/>
            <w:bookmarkEnd w:id="243"/>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挥发酚</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44" w:name="_Toc20717"/>
            <w:bookmarkStart w:id="245" w:name="_Toc14210"/>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0.1</w:t>
            </w:r>
            <w:bookmarkEnd w:id="244"/>
            <w:bookmarkEnd w:id="245"/>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石油类</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46" w:name="_Toc25335"/>
            <w:bookmarkStart w:id="247" w:name="_Toc23440"/>
            <w:r>
              <w:rPr>
                <w:rFonts w:hint="eastAsia" w:ascii="Times New Roman" w:hAnsi="Times New Roman" w:cs="Times New Roman"/>
                <w:b w:val="0"/>
                <w:bCs w:val="0"/>
                <w:color w:val="auto"/>
                <w:kern w:val="2"/>
                <w:sz w:val="21"/>
                <w:szCs w:val="24"/>
                <w:highlight w:val="none"/>
                <w:lang w:val="en-US" w:eastAsia="zh-CN" w:bidi="ar-SA"/>
              </w:rPr>
              <w:t>≤1.0</w:t>
            </w:r>
            <w:bookmarkEnd w:id="246"/>
            <w:bookmarkEnd w:id="247"/>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六价铬</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48" w:name="_Toc22440"/>
            <w:bookmarkStart w:id="249" w:name="_Toc8586"/>
            <w:r>
              <w:rPr>
                <w:rFonts w:hint="eastAsia" w:ascii="Times New Roman" w:hAnsi="Times New Roman" w:cs="Times New Roman"/>
                <w:b w:val="0"/>
                <w:bCs w:val="0"/>
                <w:color w:val="auto"/>
                <w:kern w:val="2"/>
                <w:sz w:val="21"/>
                <w:szCs w:val="24"/>
                <w:highlight w:val="none"/>
                <w:lang w:val="en-US" w:eastAsia="zh-CN" w:bidi="ar-SA"/>
              </w:rPr>
              <w:t>≤0.1</w:t>
            </w:r>
            <w:bookmarkEnd w:id="248"/>
            <w:bookmarkEnd w:id="249"/>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溶解氧</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4.5-5.0</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50" w:name="_Toc22617"/>
            <w:bookmarkStart w:id="251" w:name="_Toc30111"/>
            <w:r>
              <w:rPr>
                <w:rFonts w:hint="eastAsia" w:ascii="Times New Roman" w:hAnsi="Times New Roman" w:cs="Times New Roman"/>
                <w:b w:val="0"/>
                <w:bCs w:val="0"/>
                <w:color w:val="auto"/>
                <w:kern w:val="2"/>
                <w:sz w:val="21"/>
                <w:szCs w:val="24"/>
                <w:highlight w:val="none"/>
                <w:lang w:val="en-US" w:eastAsia="zh-CN" w:bidi="ar-SA"/>
              </w:rPr>
              <w:t>≥2</w:t>
            </w:r>
            <w:bookmarkEnd w:id="250"/>
            <w:bookmarkEnd w:id="251"/>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硫化物</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52" w:name="_Toc23654"/>
            <w:bookmarkStart w:id="253" w:name="_Toc4615"/>
            <w:r>
              <w:rPr>
                <w:rFonts w:hint="eastAsia" w:ascii="Times New Roman" w:hAnsi="Times New Roman" w:cs="Times New Roman"/>
                <w:b w:val="0"/>
                <w:bCs w:val="0"/>
                <w:color w:val="auto"/>
                <w:kern w:val="2"/>
                <w:sz w:val="21"/>
                <w:szCs w:val="24"/>
                <w:highlight w:val="none"/>
                <w:lang w:val="en-US" w:eastAsia="zh-CN" w:bidi="ar-SA"/>
              </w:rPr>
              <w:t>≤1.0</w:t>
            </w:r>
            <w:bookmarkEnd w:id="252"/>
            <w:bookmarkEnd w:id="253"/>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阴离子表面活性剂</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54" w:name="_Toc5778"/>
            <w:bookmarkStart w:id="255" w:name="_Toc4810"/>
            <w:r>
              <w:rPr>
                <w:rFonts w:hint="eastAsia" w:ascii="Times New Roman" w:hAnsi="Times New Roman" w:cs="Times New Roman"/>
                <w:b w:val="0"/>
                <w:bCs w:val="0"/>
                <w:color w:val="auto"/>
                <w:kern w:val="2"/>
                <w:sz w:val="21"/>
                <w:szCs w:val="24"/>
                <w:highlight w:val="none"/>
                <w:lang w:val="en-US" w:eastAsia="zh-CN" w:bidi="ar-SA"/>
              </w:rPr>
              <w:t>≤0.3</w:t>
            </w:r>
            <w:bookmarkEnd w:id="254"/>
            <w:bookmarkEnd w:id="255"/>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铜</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0.011-0.014</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0.014</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56" w:name="_Toc19201"/>
            <w:bookmarkStart w:id="257" w:name="_Toc28354"/>
            <w:r>
              <w:rPr>
                <w:rFonts w:hint="eastAsia" w:ascii="Times New Roman" w:hAnsi="Times New Roman" w:cs="Times New Roman"/>
                <w:b w:val="0"/>
                <w:bCs w:val="0"/>
                <w:color w:val="auto"/>
                <w:kern w:val="2"/>
                <w:sz w:val="21"/>
                <w:szCs w:val="24"/>
                <w:highlight w:val="none"/>
                <w:lang w:val="en-US" w:eastAsia="zh-CN" w:bidi="ar-SA"/>
              </w:rPr>
              <w:t>≤1.0</w:t>
            </w:r>
            <w:bookmarkEnd w:id="256"/>
            <w:bookmarkEnd w:id="257"/>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锌</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0.19-0.22</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0.11</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58" w:name="_Toc8975"/>
            <w:bookmarkStart w:id="259" w:name="_Toc24454"/>
            <w:r>
              <w:rPr>
                <w:rFonts w:hint="eastAsia" w:ascii="Times New Roman" w:hAnsi="Times New Roman" w:cs="Times New Roman"/>
                <w:b w:val="0"/>
                <w:bCs w:val="0"/>
                <w:color w:val="auto"/>
                <w:kern w:val="2"/>
                <w:sz w:val="21"/>
                <w:szCs w:val="24"/>
                <w:highlight w:val="none"/>
                <w:lang w:val="en-US" w:eastAsia="zh-CN" w:bidi="ar-SA"/>
              </w:rPr>
              <w:t>≤2.0</w:t>
            </w:r>
            <w:bookmarkEnd w:id="258"/>
            <w:bookmarkEnd w:id="259"/>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氰化物</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60" w:name="_Toc8262"/>
            <w:bookmarkStart w:id="261" w:name="_Toc24803"/>
            <w:r>
              <w:rPr>
                <w:rFonts w:hint="eastAsia" w:ascii="Times New Roman" w:hAnsi="Times New Roman" w:cs="Times New Roman"/>
                <w:b w:val="0"/>
                <w:bCs w:val="0"/>
                <w:color w:val="auto"/>
                <w:kern w:val="2"/>
                <w:sz w:val="21"/>
                <w:szCs w:val="24"/>
                <w:highlight w:val="none"/>
                <w:lang w:val="en-US" w:eastAsia="zh-CN" w:bidi="ar-SA"/>
              </w:rPr>
              <w:t>≤0.2</w:t>
            </w:r>
            <w:bookmarkEnd w:id="260"/>
            <w:bookmarkEnd w:id="261"/>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砷</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62" w:name="_Toc10288"/>
            <w:bookmarkStart w:id="263" w:name="_Toc31936"/>
            <w:r>
              <w:rPr>
                <w:rFonts w:hint="eastAsia" w:ascii="Times New Roman" w:hAnsi="Times New Roman" w:cs="Times New Roman"/>
                <w:b w:val="0"/>
                <w:bCs w:val="0"/>
                <w:color w:val="auto"/>
                <w:kern w:val="2"/>
                <w:sz w:val="21"/>
                <w:szCs w:val="24"/>
                <w:highlight w:val="none"/>
                <w:lang w:val="en-US" w:eastAsia="zh-CN" w:bidi="ar-SA"/>
              </w:rPr>
              <w:t>≤0.1</w:t>
            </w:r>
            <w:bookmarkEnd w:id="262"/>
            <w:bookmarkEnd w:id="263"/>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汞</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64" w:name="_Toc8884"/>
            <w:bookmarkStart w:id="265" w:name="_Toc14467"/>
            <w:r>
              <w:rPr>
                <w:rFonts w:hint="eastAsia" w:ascii="Times New Roman" w:hAnsi="Times New Roman" w:cs="Times New Roman"/>
                <w:b w:val="0"/>
                <w:bCs w:val="0"/>
                <w:color w:val="auto"/>
                <w:kern w:val="2"/>
                <w:sz w:val="21"/>
                <w:szCs w:val="24"/>
                <w:highlight w:val="none"/>
                <w:lang w:val="en-US" w:eastAsia="zh-CN" w:bidi="ar-SA"/>
              </w:rPr>
              <w:t>≤0.001</w:t>
            </w:r>
            <w:bookmarkEnd w:id="264"/>
            <w:bookmarkEnd w:id="265"/>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硒</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66" w:name="_Toc2450"/>
            <w:bookmarkStart w:id="267" w:name="_Toc18844"/>
            <w:r>
              <w:rPr>
                <w:rFonts w:hint="eastAsia" w:ascii="Times New Roman" w:hAnsi="Times New Roman" w:cs="Times New Roman"/>
                <w:b w:val="0"/>
                <w:bCs w:val="0"/>
                <w:color w:val="auto"/>
                <w:kern w:val="2"/>
                <w:sz w:val="21"/>
                <w:szCs w:val="24"/>
                <w:highlight w:val="none"/>
                <w:lang w:val="en-US" w:eastAsia="zh-CN" w:bidi="ar-SA"/>
              </w:rPr>
              <w:t>≤0.02</w:t>
            </w:r>
            <w:bookmarkEnd w:id="266"/>
            <w:bookmarkEnd w:id="267"/>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铅</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68" w:name="_Toc32655"/>
            <w:bookmarkStart w:id="269" w:name="_Toc12760"/>
            <w:r>
              <w:rPr>
                <w:rFonts w:hint="eastAsia" w:ascii="Times New Roman" w:hAnsi="Times New Roman" w:cs="Times New Roman"/>
                <w:b w:val="0"/>
                <w:bCs w:val="0"/>
                <w:color w:val="auto"/>
                <w:kern w:val="2"/>
                <w:sz w:val="21"/>
                <w:szCs w:val="24"/>
                <w:highlight w:val="none"/>
                <w:lang w:val="en-US" w:eastAsia="zh-CN" w:bidi="ar-SA"/>
              </w:rPr>
              <w:t>≤0.1</w:t>
            </w:r>
            <w:bookmarkEnd w:id="268"/>
            <w:bookmarkEnd w:id="269"/>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镉</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70" w:name="_Toc30164"/>
            <w:bookmarkStart w:id="271" w:name="_Toc11385"/>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0.01</w:t>
            </w:r>
            <w:bookmarkEnd w:id="270"/>
            <w:bookmarkEnd w:id="271"/>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高锰酸盐指数</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11.4-11.7</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0.78</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72" w:name="_Toc7100"/>
            <w:bookmarkStart w:id="273" w:name="_Toc20678"/>
            <w:r>
              <w:rPr>
                <w:rFonts w:hint="eastAsia" w:ascii="Times New Roman" w:hAnsi="Times New Roman" w:cs="Times New Roman"/>
                <w:b w:val="0"/>
                <w:bCs w:val="0"/>
                <w:color w:val="auto"/>
                <w:kern w:val="2"/>
                <w:sz w:val="21"/>
                <w:szCs w:val="24"/>
                <w:highlight w:val="none"/>
                <w:lang w:val="en-US" w:eastAsia="zh-CN" w:bidi="ar-SA"/>
              </w:rPr>
              <w:t>≤15</w:t>
            </w:r>
            <w:bookmarkEnd w:id="272"/>
            <w:bookmarkEnd w:id="273"/>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宋体" w:hAnsi="宋体" w:cs="宋体"/>
                <w:color w:val="auto"/>
                <w:kern w:val="0"/>
                <w:szCs w:val="21"/>
                <w:highlight w:val="none"/>
                <w:lang w:eastAsia="zh-CN" w:bidi="ar"/>
              </w:rPr>
              <w:t>叶绿素</w:t>
            </w:r>
            <w:r>
              <w:rPr>
                <w:rFonts w:hint="eastAsia" w:ascii="宋体" w:hAnsi="宋体" w:cs="宋体"/>
                <w:color w:val="auto"/>
                <w:kern w:val="0"/>
                <w:szCs w:val="21"/>
                <w:highlight w:val="none"/>
                <w:lang w:val="en-US" w:eastAsia="zh-CN" w:bidi="ar"/>
              </w:rPr>
              <w:t>a</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ug/L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7-8</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74" w:name="_Toc19275"/>
            <w:bookmarkStart w:id="275" w:name="_Toc23748"/>
            <w:r>
              <w:rPr>
                <w:rFonts w:hint="eastAsia" w:ascii="Times New Roman" w:hAnsi="Times New Roman" w:cs="Times New Roman"/>
                <w:color w:val="auto"/>
                <w:szCs w:val="21"/>
                <w:highlight w:val="none"/>
                <w:lang w:val="en-US" w:eastAsia="zh-CN"/>
              </w:rPr>
              <w:t>/</w:t>
            </w:r>
            <w:bookmarkEnd w:id="274"/>
            <w:bookmarkEnd w:id="275"/>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kern w:val="0"/>
                <w:szCs w:val="21"/>
                <w:highlight w:val="none"/>
                <w:lang w:val="zh-CN" w:eastAsia="zh-CN"/>
              </w:rPr>
              <w:t>透明度</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cm</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40-50</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76" w:name="_Toc26233"/>
            <w:bookmarkStart w:id="277" w:name="_Toc28109"/>
            <w:r>
              <w:rPr>
                <w:rFonts w:hint="eastAsia" w:ascii="Times New Roman" w:hAnsi="Times New Roman" w:cs="Times New Roman"/>
                <w:color w:val="auto"/>
                <w:szCs w:val="21"/>
                <w:highlight w:val="none"/>
                <w:lang w:val="en-US" w:eastAsia="zh-CN"/>
              </w:rPr>
              <w:t>/</w:t>
            </w:r>
            <w:bookmarkEnd w:id="276"/>
            <w:bookmarkEnd w:id="277"/>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kern w:val="0"/>
                <w:szCs w:val="21"/>
                <w:highlight w:val="none"/>
                <w:lang w:val="zh-CN" w:eastAsia="zh-CN"/>
              </w:rPr>
              <w:t>氟化物</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0.872-0.891</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0.594</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78" w:name="_Toc11859"/>
            <w:bookmarkStart w:id="279" w:name="_Toc31895"/>
            <w:r>
              <w:rPr>
                <w:rFonts w:hint="eastAsia" w:ascii="Times New Roman" w:hAnsi="Times New Roman" w:cs="Times New Roman"/>
                <w:b w:val="0"/>
                <w:bCs w:val="0"/>
                <w:color w:val="auto"/>
                <w:kern w:val="2"/>
                <w:sz w:val="21"/>
                <w:szCs w:val="24"/>
                <w:highlight w:val="none"/>
                <w:lang w:val="en-US" w:eastAsia="zh-CN" w:bidi="ar-SA"/>
              </w:rPr>
              <w:t>≤1.5</w:t>
            </w:r>
            <w:bookmarkEnd w:id="278"/>
            <w:bookmarkEnd w:id="279"/>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color w:val="auto"/>
                <w:szCs w:val="21"/>
                <w:highlight w:val="none"/>
              </w:rPr>
              <w:t>粪大肠菌群</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MPN/L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2.1</w:t>
            </w:r>
            <w:r>
              <w:rPr>
                <w:rFonts w:hint="default" w:ascii="Times New Roman" w:hAnsi="Times New Roman" w:cs="Times New Roman"/>
                <w:color w:val="auto"/>
                <w:sz w:val="21"/>
                <w:szCs w:val="21"/>
                <w:highlight w:val="none"/>
                <w:vertAlign w:val="baseline"/>
                <w:lang w:val="en-US" w:eastAsia="zh-CN"/>
              </w:rPr>
              <w:t>×104</w:t>
            </w:r>
            <w:r>
              <w:rPr>
                <w:rFonts w:hint="eastAsia" w:ascii="Times New Roman" w:hAnsi="Times New Roman" w:cs="Times New Roman"/>
                <w:color w:val="auto"/>
                <w:sz w:val="21"/>
                <w:szCs w:val="21"/>
                <w:highlight w:val="none"/>
                <w:vertAlign w:val="baseline"/>
                <w:lang w:val="en-US" w:eastAsia="zh-CN"/>
              </w:rPr>
              <w:t>-2.4</w:t>
            </w:r>
            <w:r>
              <w:rPr>
                <w:rFonts w:hint="default" w:ascii="Times New Roman" w:hAnsi="Times New Roman" w:cs="Times New Roman"/>
                <w:color w:val="auto"/>
                <w:sz w:val="21"/>
                <w:szCs w:val="21"/>
                <w:highlight w:val="none"/>
                <w:vertAlign w:val="baseline"/>
                <w:lang w:val="en-US" w:eastAsia="zh-CN"/>
              </w:rPr>
              <w:t>×104</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80" w:name="_Toc1476"/>
            <w:bookmarkStart w:id="281" w:name="_Toc10169"/>
            <w:r>
              <w:rPr>
                <w:rFonts w:hint="eastAsia" w:ascii="Times New Roman" w:hAnsi="Times New Roman" w:cs="Times New Roman"/>
                <w:b w:val="0"/>
                <w:bCs w:val="0"/>
                <w:color w:val="auto"/>
                <w:kern w:val="2"/>
                <w:sz w:val="21"/>
                <w:szCs w:val="24"/>
                <w:highlight w:val="none"/>
                <w:lang w:val="en-US" w:eastAsia="zh-CN" w:bidi="ar-SA"/>
              </w:rPr>
              <w:t>≤40000</w:t>
            </w:r>
            <w:bookmarkEnd w:id="280"/>
            <w:bookmarkEnd w:id="281"/>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bl>
    <w:p>
      <w:pPr>
        <w:pStyle w:val="8"/>
        <w:ind w:left="0" w:leftChars="0" w:firstLine="0" w:firstLineChars="0"/>
        <w:jc w:val="center"/>
        <w:rPr>
          <w:rFonts w:hint="eastAsia"/>
          <w:color w:val="auto"/>
          <w:highlight w:val="none"/>
          <w:lang w:val="en-US" w:eastAsia="zh-CN"/>
        </w:rPr>
      </w:pPr>
      <w:r>
        <w:rPr>
          <w:rFonts w:hint="default" w:ascii="Times New Roman" w:hAnsi="Times New Roman" w:eastAsia="宋体" w:cs="Times New Roman"/>
          <w:b/>
          <w:bCs/>
          <w:color w:val="auto"/>
          <w:sz w:val="24"/>
          <w:szCs w:val="24"/>
          <w:highlight w:val="none"/>
          <w:lang w:val="en-US" w:eastAsia="zh-CN"/>
        </w:rPr>
        <w:t>表4.2</w:t>
      </w:r>
      <w:r>
        <w:rPr>
          <w:rFonts w:hint="eastAsia" w:ascii="Times New Roman" w:hAnsi="Times New Roman" w:eastAsia="宋体" w:cs="Times New Roman"/>
          <w:b/>
          <w:bCs/>
          <w:color w:val="auto"/>
          <w:sz w:val="24"/>
          <w:szCs w:val="24"/>
          <w:highlight w:val="none"/>
          <w:lang w:val="en-US" w:eastAsia="zh-CN"/>
        </w:rPr>
        <w:t>-8</w:t>
      </w:r>
      <w:r>
        <w:rPr>
          <w:rFonts w:hint="default" w:ascii="Times New Roman" w:hAnsi="Times New Roman" w:eastAsia="宋体" w:cs="Times New Roman"/>
          <w:b/>
          <w:bCs/>
          <w:color w:val="auto"/>
          <w:sz w:val="24"/>
          <w:szCs w:val="24"/>
          <w:highlight w:val="none"/>
          <w:vertAlign w:val="baseline"/>
          <w:lang w:val="en-US" w:eastAsia="zh-CN"/>
        </w:rPr>
        <w:t>肇源松花江国控断面地表水现状监测数据一览表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78"/>
        <w:gridCol w:w="1188"/>
        <w:gridCol w:w="1604"/>
        <w:gridCol w:w="1040"/>
        <w:gridCol w:w="1188"/>
        <w:gridCol w:w="1163"/>
        <w:gridCol w:w="115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监测项目</w:t>
            </w:r>
          </w:p>
        </w:tc>
        <w:tc>
          <w:tcPr>
            <w:tcW w:w="121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单位</w:t>
            </w:r>
          </w:p>
        </w:tc>
        <w:tc>
          <w:tcPr>
            <w:tcW w:w="2433"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肇源松花江国控断面</w:t>
            </w:r>
          </w:p>
        </w:tc>
        <w:tc>
          <w:tcPr>
            <w:tcW w:w="121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标准值</w:t>
            </w:r>
          </w:p>
        </w:tc>
        <w:tc>
          <w:tcPr>
            <w:tcW w:w="121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超标率(%)</w:t>
            </w:r>
          </w:p>
        </w:tc>
        <w:tc>
          <w:tcPr>
            <w:tcW w:w="1217"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最大超标倍数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6"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监测数值</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污染指数</w:t>
            </w:r>
          </w:p>
        </w:tc>
        <w:tc>
          <w:tcPr>
            <w:tcW w:w="1217"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7"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217"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ascii="Times New Roman" w:hAnsi="Times New Roman"/>
                <w:color w:val="auto"/>
                <w:sz w:val="21"/>
                <w:szCs w:val="21"/>
                <w:highlight w:val="none"/>
              </w:rPr>
              <w:t>pH</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无量纲</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7.5-7.7</w:t>
            </w:r>
          </w:p>
        </w:tc>
        <w:tc>
          <w:tcPr>
            <w:tcW w:w="107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0.467</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kern w:val="2"/>
                <w:sz w:val="21"/>
                <w:szCs w:val="24"/>
                <w:highlight w:val="none"/>
                <w:lang w:val="en-US" w:eastAsia="zh-CN" w:bidi="ar-SA"/>
              </w:rPr>
              <w:t>6-9</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化学需氧量</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18-17</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0.425</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≤40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ascii="Times New Roman" w:hAnsi="宋体"/>
                <w:color w:val="auto"/>
                <w:sz w:val="21"/>
                <w:szCs w:val="21"/>
                <w:highlight w:val="none"/>
              </w:rPr>
              <w:t>氨氮</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0.413-0.441</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0.22</w:t>
            </w: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kern w:val="2"/>
                <w:sz w:val="21"/>
                <w:szCs w:val="24"/>
                <w:highlight w:val="none"/>
                <w:lang w:val="en-US" w:eastAsia="zh-CN" w:bidi="ar-SA"/>
              </w:rPr>
              <w:t>2.0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总磷</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0.16-0.18</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0.45</w:t>
            </w:r>
          </w:p>
        </w:tc>
        <w:tc>
          <w:tcPr>
            <w:tcW w:w="1217"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kern w:val="2"/>
                <w:sz w:val="21"/>
                <w:szCs w:val="24"/>
                <w:highlight w:val="none"/>
                <w:lang w:val="en-US" w:eastAsia="zh-CN" w:bidi="ar-SA"/>
              </w:rPr>
              <w:t>0.4（湖、库0.2）</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eastAsia="zh-CN"/>
              </w:rPr>
              <w:t>总氮</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0.904-0.923</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0.46</w:t>
            </w:r>
            <w:r>
              <w:rPr>
                <w:rFonts w:hint="eastAsia" w:ascii="Times New Roman" w:hAnsi="Times New Roman" w:eastAsia="宋体" w:cs="Times New Roman"/>
                <w:i w:val="0"/>
                <w:iCs w:val="0"/>
                <w:color w:val="auto"/>
                <w:kern w:val="0"/>
                <w:sz w:val="21"/>
                <w:szCs w:val="21"/>
                <w:highlight w:val="none"/>
                <w:u w:val="none"/>
                <w:lang w:val="en-US" w:eastAsia="zh-CN" w:bidi="ar"/>
              </w:rPr>
              <w:t>2</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82" w:name="_Toc16607"/>
            <w:bookmarkStart w:id="283" w:name="_Toc2117"/>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2.0</w:t>
            </w:r>
            <w:bookmarkEnd w:id="282"/>
            <w:bookmarkEnd w:id="283"/>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BOD</w:t>
            </w:r>
            <w:r>
              <w:rPr>
                <w:rFonts w:hint="eastAsia" w:ascii="Times New Roman" w:hAnsi="Times New Roman"/>
                <w:color w:val="auto"/>
                <w:sz w:val="21"/>
                <w:szCs w:val="21"/>
                <w:highlight w:val="none"/>
                <w:vertAlign w:val="subscript"/>
                <w:lang w:val="en-US" w:eastAsia="zh-CN"/>
              </w:rPr>
              <w:t>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3.3-3.5</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0.35</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84" w:name="_Toc8182"/>
            <w:bookmarkStart w:id="285" w:name="_Toc18300"/>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10</w:t>
            </w:r>
            <w:bookmarkEnd w:id="284"/>
            <w:bookmarkEnd w:id="285"/>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挥发酚</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86" w:name="_Toc4971"/>
            <w:bookmarkStart w:id="287" w:name="_Toc4919"/>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0.1</w:t>
            </w:r>
            <w:bookmarkEnd w:id="286"/>
            <w:bookmarkEnd w:id="287"/>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石油类</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88" w:name="_Toc272"/>
            <w:bookmarkStart w:id="289" w:name="_Toc20498"/>
            <w:r>
              <w:rPr>
                <w:rFonts w:hint="eastAsia" w:ascii="Times New Roman" w:hAnsi="Times New Roman" w:cs="Times New Roman"/>
                <w:b w:val="0"/>
                <w:bCs w:val="0"/>
                <w:color w:val="auto"/>
                <w:kern w:val="2"/>
                <w:sz w:val="21"/>
                <w:szCs w:val="24"/>
                <w:highlight w:val="none"/>
                <w:lang w:val="en-US" w:eastAsia="zh-CN" w:bidi="ar-SA"/>
              </w:rPr>
              <w:t>≤1.0</w:t>
            </w:r>
            <w:bookmarkEnd w:id="288"/>
            <w:bookmarkEnd w:id="289"/>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六价铬</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90" w:name="_Toc12673"/>
            <w:bookmarkStart w:id="291" w:name="_Toc17612"/>
            <w:r>
              <w:rPr>
                <w:rFonts w:hint="eastAsia" w:ascii="Times New Roman" w:hAnsi="Times New Roman" w:cs="Times New Roman"/>
                <w:b w:val="0"/>
                <w:bCs w:val="0"/>
                <w:color w:val="auto"/>
                <w:kern w:val="2"/>
                <w:sz w:val="21"/>
                <w:szCs w:val="24"/>
                <w:highlight w:val="none"/>
                <w:lang w:val="en-US" w:eastAsia="zh-CN" w:bidi="ar-SA"/>
              </w:rPr>
              <w:t>≤0.1</w:t>
            </w:r>
            <w:bookmarkEnd w:id="290"/>
            <w:bookmarkEnd w:id="291"/>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溶解氧</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5.4-5.7</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0.351</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92" w:name="_Toc32704"/>
            <w:bookmarkStart w:id="293" w:name="_Toc619"/>
            <w:r>
              <w:rPr>
                <w:rFonts w:hint="eastAsia" w:ascii="Times New Roman" w:hAnsi="Times New Roman" w:cs="Times New Roman"/>
                <w:b w:val="0"/>
                <w:bCs w:val="0"/>
                <w:color w:val="auto"/>
                <w:kern w:val="2"/>
                <w:sz w:val="21"/>
                <w:szCs w:val="24"/>
                <w:highlight w:val="none"/>
                <w:lang w:val="en-US" w:eastAsia="zh-CN" w:bidi="ar-SA"/>
              </w:rPr>
              <w:t>≥2</w:t>
            </w:r>
            <w:bookmarkEnd w:id="292"/>
            <w:bookmarkEnd w:id="293"/>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硫化物</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94" w:name="_Toc21309"/>
            <w:bookmarkStart w:id="295" w:name="_Toc23833"/>
            <w:r>
              <w:rPr>
                <w:rFonts w:hint="eastAsia" w:ascii="Times New Roman" w:hAnsi="Times New Roman" w:cs="Times New Roman"/>
                <w:b w:val="0"/>
                <w:bCs w:val="0"/>
                <w:color w:val="auto"/>
                <w:kern w:val="2"/>
                <w:sz w:val="21"/>
                <w:szCs w:val="24"/>
                <w:highlight w:val="none"/>
                <w:lang w:val="en-US" w:eastAsia="zh-CN" w:bidi="ar-SA"/>
              </w:rPr>
              <w:t>≤1.0</w:t>
            </w:r>
            <w:bookmarkEnd w:id="294"/>
            <w:bookmarkEnd w:id="295"/>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阴离子表面活性剂</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96" w:name="_Toc18250"/>
            <w:bookmarkStart w:id="297" w:name="_Toc7587"/>
            <w:r>
              <w:rPr>
                <w:rFonts w:hint="eastAsia" w:ascii="Times New Roman" w:hAnsi="Times New Roman" w:cs="Times New Roman"/>
                <w:b w:val="0"/>
                <w:bCs w:val="0"/>
                <w:color w:val="auto"/>
                <w:kern w:val="2"/>
                <w:sz w:val="21"/>
                <w:szCs w:val="24"/>
                <w:highlight w:val="none"/>
                <w:lang w:val="en-US" w:eastAsia="zh-CN" w:bidi="ar-SA"/>
              </w:rPr>
              <w:t>≤0.3</w:t>
            </w:r>
            <w:bookmarkEnd w:id="296"/>
            <w:bookmarkEnd w:id="297"/>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铜</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298" w:name="_Toc25601"/>
            <w:bookmarkStart w:id="299" w:name="_Toc2229"/>
            <w:r>
              <w:rPr>
                <w:rFonts w:hint="eastAsia" w:ascii="Times New Roman" w:hAnsi="Times New Roman" w:cs="Times New Roman"/>
                <w:b w:val="0"/>
                <w:bCs w:val="0"/>
                <w:color w:val="auto"/>
                <w:kern w:val="2"/>
                <w:sz w:val="21"/>
                <w:szCs w:val="24"/>
                <w:highlight w:val="none"/>
                <w:lang w:val="en-US" w:eastAsia="zh-CN" w:bidi="ar-SA"/>
              </w:rPr>
              <w:t>≤1.0</w:t>
            </w:r>
            <w:bookmarkEnd w:id="298"/>
            <w:bookmarkEnd w:id="299"/>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锌</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300" w:name="_Toc5623"/>
            <w:bookmarkStart w:id="301" w:name="_Toc9757"/>
            <w:r>
              <w:rPr>
                <w:rFonts w:hint="eastAsia" w:ascii="Times New Roman" w:hAnsi="Times New Roman" w:cs="Times New Roman"/>
                <w:b w:val="0"/>
                <w:bCs w:val="0"/>
                <w:color w:val="auto"/>
                <w:kern w:val="2"/>
                <w:sz w:val="21"/>
                <w:szCs w:val="24"/>
                <w:highlight w:val="none"/>
                <w:lang w:val="en-US" w:eastAsia="zh-CN" w:bidi="ar-SA"/>
              </w:rPr>
              <w:t>≤2.0</w:t>
            </w:r>
            <w:bookmarkEnd w:id="300"/>
            <w:bookmarkEnd w:id="301"/>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氰化物</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302" w:name="_Toc20409"/>
            <w:bookmarkStart w:id="303" w:name="_Toc17409"/>
            <w:r>
              <w:rPr>
                <w:rFonts w:hint="eastAsia" w:ascii="Times New Roman" w:hAnsi="Times New Roman" w:cs="Times New Roman"/>
                <w:b w:val="0"/>
                <w:bCs w:val="0"/>
                <w:color w:val="auto"/>
                <w:kern w:val="2"/>
                <w:sz w:val="21"/>
                <w:szCs w:val="24"/>
                <w:highlight w:val="none"/>
                <w:lang w:val="en-US" w:eastAsia="zh-CN" w:bidi="ar-SA"/>
              </w:rPr>
              <w:t>≤0.2</w:t>
            </w:r>
            <w:bookmarkEnd w:id="302"/>
            <w:bookmarkEnd w:id="303"/>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砷</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304" w:name="_Toc15286"/>
            <w:bookmarkStart w:id="305" w:name="_Toc4655"/>
            <w:r>
              <w:rPr>
                <w:rFonts w:hint="eastAsia" w:ascii="Times New Roman" w:hAnsi="Times New Roman" w:cs="Times New Roman"/>
                <w:b w:val="0"/>
                <w:bCs w:val="0"/>
                <w:color w:val="auto"/>
                <w:kern w:val="2"/>
                <w:sz w:val="21"/>
                <w:szCs w:val="24"/>
                <w:highlight w:val="none"/>
                <w:lang w:val="en-US" w:eastAsia="zh-CN" w:bidi="ar-SA"/>
              </w:rPr>
              <w:t>≤0.1</w:t>
            </w:r>
            <w:bookmarkEnd w:id="304"/>
            <w:bookmarkEnd w:id="305"/>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汞</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306" w:name="_Toc21348"/>
            <w:bookmarkStart w:id="307" w:name="_Toc20870"/>
            <w:r>
              <w:rPr>
                <w:rFonts w:hint="eastAsia" w:ascii="Times New Roman" w:hAnsi="Times New Roman" w:cs="Times New Roman"/>
                <w:b w:val="0"/>
                <w:bCs w:val="0"/>
                <w:color w:val="auto"/>
                <w:kern w:val="2"/>
                <w:sz w:val="21"/>
                <w:szCs w:val="24"/>
                <w:highlight w:val="none"/>
                <w:lang w:val="en-US" w:eastAsia="zh-CN" w:bidi="ar-SA"/>
              </w:rPr>
              <w:t>≤0.001</w:t>
            </w:r>
            <w:bookmarkEnd w:id="306"/>
            <w:bookmarkEnd w:id="307"/>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硒</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308" w:name="_Toc17174"/>
            <w:bookmarkStart w:id="309" w:name="_Toc29065"/>
            <w:r>
              <w:rPr>
                <w:rFonts w:hint="eastAsia" w:ascii="Times New Roman" w:hAnsi="Times New Roman" w:cs="Times New Roman"/>
                <w:b w:val="0"/>
                <w:bCs w:val="0"/>
                <w:color w:val="auto"/>
                <w:kern w:val="2"/>
                <w:sz w:val="21"/>
                <w:szCs w:val="24"/>
                <w:highlight w:val="none"/>
                <w:lang w:val="en-US" w:eastAsia="zh-CN" w:bidi="ar-SA"/>
              </w:rPr>
              <w:t>≤0.02</w:t>
            </w:r>
            <w:bookmarkEnd w:id="308"/>
            <w:bookmarkEnd w:id="309"/>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铅</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310" w:name="_Toc12989"/>
            <w:bookmarkStart w:id="311" w:name="_Toc9308"/>
            <w:r>
              <w:rPr>
                <w:rFonts w:hint="eastAsia" w:ascii="Times New Roman" w:hAnsi="Times New Roman" w:cs="Times New Roman"/>
                <w:b w:val="0"/>
                <w:bCs w:val="0"/>
                <w:color w:val="auto"/>
                <w:kern w:val="2"/>
                <w:sz w:val="21"/>
                <w:szCs w:val="24"/>
                <w:highlight w:val="none"/>
                <w:lang w:val="en-US" w:eastAsia="zh-CN" w:bidi="ar-SA"/>
              </w:rPr>
              <w:t>≤0.1</w:t>
            </w:r>
            <w:bookmarkEnd w:id="310"/>
            <w:bookmarkEnd w:id="311"/>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镉</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ND</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312" w:name="_Toc16067"/>
            <w:bookmarkStart w:id="313" w:name="_Toc3197"/>
            <w:r>
              <w:rPr>
                <w:rFonts w:hint="eastAsia" w:ascii="Times New Roman" w:hAnsi="Times New Roman" w:cs="Times New Roman"/>
                <w:b w:val="0"/>
                <w:bCs w:val="0"/>
                <w:color w:val="auto"/>
                <w:kern w:val="2"/>
                <w:sz w:val="21"/>
                <w:szCs w:val="24"/>
                <w:highlight w:val="none"/>
                <w:lang w:val="en-US" w:eastAsia="zh-CN" w:bidi="ar-SA"/>
              </w:rPr>
              <w:t>≤</w:t>
            </w:r>
            <w:r>
              <w:rPr>
                <w:rFonts w:hint="eastAsia" w:ascii="Times New Roman" w:hAnsi="Times New Roman" w:cs="Times New Roman"/>
                <w:color w:val="auto"/>
                <w:szCs w:val="21"/>
                <w:highlight w:val="none"/>
                <w:lang w:val="en-US" w:eastAsia="zh-CN"/>
              </w:rPr>
              <w:t>0.01</w:t>
            </w:r>
            <w:bookmarkEnd w:id="312"/>
            <w:bookmarkEnd w:id="313"/>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rPr>
              <w:t>高锰酸盐指数</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5.1-5.6</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0.373</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314" w:name="_Toc1071"/>
            <w:bookmarkStart w:id="315" w:name="_Toc26300"/>
            <w:r>
              <w:rPr>
                <w:rFonts w:hint="eastAsia" w:ascii="Times New Roman" w:hAnsi="Times New Roman" w:cs="Times New Roman"/>
                <w:b w:val="0"/>
                <w:bCs w:val="0"/>
                <w:color w:val="auto"/>
                <w:kern w:val="2"/>
                <w:sz w:val="21"/>
                <w:szCs w:val="24"/>
                <w:highlight w:val="none"/>
                <w:lang w:val="en-US" w:eastAsia="zh-CN" w:bidi="ar-SA"/>
              </w:rPr>
              <w:t>≤15</w:t>
            </w:r>
            <w:bookmarkEnd w:id="314"/>
            <w:bookmarkEnd w:id="315"/>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宋体" w:hAnsi="宋体" w:cs="宋体"/>
                <w:color w:val="auto"/>
                <w:kern w:val="0"/>
                <w:szCs w:val="21"/>
                <w:highlight w:val="none"/>
                <w:lang w:eastAsia="zh-CN" w:bidi="ar"/>
              </w:rPr>
              <w:t>叶绿素</w:t>
            </w:r>
            <w:r>
              <w:rPr>
                <w:rFonts w:hint="eastAsia" w:ascii="宋体" w:hAnsi="宋体" w:cs="宋体"/>
                <w:color w:val="auto"/>
                <w:kern w:val="0"/>
                <w:szCs w:val="21"/>
                <w:highlight w:val="none"/>
                <w:lang w:val="en-US" w:eastAsia="zh-CN" w:bidi="ar"/>
              </w:rPr>
              <w:t>a</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ug/L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6-7</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316" w:name="_Toc18470"/>
            <w:bookmarkStart w:id="317" w:name="_Toc8907"/>
            <w:r>
              <w:rPr>
                <w:rFonts w:hint="eastAsia" w:ascii="Times New Roman" w:hAnsi="Times New Roman" w:cs="Times New Roman"/>
                <w:color w:val="auto"/>
                <w:szCs w:val="21"/>
                <w:highlight w:val="none"/>
                <w:lang w:val="en-US" w:eastAsia="zh-CN"/>
              </w:rPr>
              <w:t>/</w:t>
            </w:r>
            <w:bookmarkEnd w:id="316"/>
            <w:bookmarkEnd w:id="317"/>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kern w:val="0"/>
                <w:szCs w:val="21"/>
                <w:highlight w:val="none"/>
                <w:lang w:val="zh-CN" w:eastAsia="zh-CN"/>
              </w:rPr>
              <w:t>透明度</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cm</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40-50</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318" w:name="_Toc3457"/>
            <w:bookmarkStart w:id="319" w:name="_Toc17959"/>
            <w:r>
              <w:rPr>
                <w:rFonts w:hint="eastAsia" w:ascii="Times New Roman" w:hAnsi="Times New Roman" w:cs="Times New Roman"/>
                <w:color w:val="auto"/>
                <w:szCs w:val="21"/>
                <w:highlight w:val="none"/>
                <w:lang w:val="en-US" w:eastAsia="zh-CN"/>
              </w:rPr>
              <w:t>/</w:t>
            </w:r>
            <w:bookmarkEnd w:id="318"/>
            <w:bookmarkEnd w:id="319"/>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spacing w:line="240" w:lineRule="auto"/>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kern w:val="0"/>
                <w:szCs w:val="21"/>
                <w:highlight w:val="none"/>
                <w:lang w:val="zh-CN" w:eastAsia="zh-CN"/>
              </w:rPr>
              <w:t>氟化物</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mg/L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0.531-0.546</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0.364</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320" w:name="_Toc24544"/>
            <w:bookmarkStart w:id="321" w:name="_Toc28074"/>
            <w:r>
              <w:rPr>
                <w:rFonts w:hint="eastAsia" w:ascii="Times New Roman" w:hAnsi="Times New Roman" w:cs="Times New Roman"/>
                <w:b w:val="0"/>
                <w:bCs w:val="0"/>
                <w:color w:val="auto"/>
                <w:kern w:val="2"/>
                <w:sz w:val="21"/>
                <w:szCs w:val="24"/>
                <w:highlight w:val="none"/>
                <w:lang w:val="en-US" w:eastAsia="zh-CN" w:bidi="ar-SA"/>
              </w:rPr>
              <w:t>≤1.5</w:t>
            </w:r>
            <w:bookmarkEnd w:id="320"/>
            <w:bookmarkEnd w:id="321"/>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jc w:val="center"/>
              <w:rPr>
                <w:rFonts w:hint="default" w:ascii="Times New Roman" w:hAnsi="Times New Roman" w:cs="Times New Roman"/>
                <w:color w:val="auto"/>
                <w:sz w:val="21"/>
                <w:szCs w:val="21"/>
                <w:highlight w:val="none"/>
                <w:vertAlign w:val="baseline"/>
                <w:lang w:val="en-US" w:eastAsia="zh-CN"/>
              </w:rPr>
            </w:pPr>
            <w:r>
              <w:rPr>
                <w:color w:val="auto"/>
                <w:szCs w:val="21"/>
                <w:highlight w:val="none"/>
              </w:rPr>
              <w:t>粪大肠菌群</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olor w:val="auto"/>
                <w:sz w:val="21"/>
                <w:szCs w:val="21"/>
                <w:highlight w:val="none"/>
                <w:lang w:val="en-US" w:eastAsia="zh-CN"/>
              </w:rPr>
              <w:t>MPN/L</w:t>
            </w:r>
          </w:p>
        </w:tc>
        <w:tc>
          <w:tcPr>
            <w:tcW w:w="136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2.7</w:t>
            </w:r>
            <w:r>
              <w:rPr>
                <w:rFonts w:hint="default" w:ascii="Times New Roman" w:hAnsi="Times New Roman" w:cs="Times New Roman"/>
                <w:color w:val="auto"/>
                <w:sz w:val="21"/>
                <w:szCs w:val="21"/>
                <w:highlight w:val="none"/>
                <w:vertAlign w:val="baseline"/>
                <w:lang w:val="en-US" w:eastAsia="zh-CN"/>
              </w:rPr>
              <w:t>×10</w:t>
            </w:r>
            <w:r>
              <w:rPr>
                <w:rFonts w:hint="default" w:ascii="Times New Roman" w:hAnsi="Times New Roman" w:cs="Times New Roman"/>
                <w:color w:val="auto"/>
                <w:sz w:val="21"/>
                <w:szCs w:val="21"/>
                <w:highlight w:val="none"/>
                <w:vertAlign w:val="superscript"/>
                <w:lang w:val="en-US" w:eastAsia="zh-CN"/>
              </w:rPr>
              <w:t>4</w:t>
            </w:r>
            <w:r>
              <w:rPr>
                <w:rFonts w:hint="eastAsia" w:ascii="Times New Roman" w:hAnsi="Times New Roman" w:cs="Times New Roman"/>
                <w:color w:val="auto"/>
                <w:sz w:val="21"/>
                <w:szCs w:val="21"/>
                <w:highlight w:val="none"/>
                <w:vertAlign w:val="baseline"/>
                <w:lang w:val="en-US" w:eastAsia="zh-CN"/>
              </w:rPr>
              <w:t>-2.9</w:t>
            </w:r>
            <w:r>
              <w:rPr>
                <w:rFonts w:hint="default" w:ascii="Times New Roman" w:hAnsi="Times New Roman" w:cs="Times New Roman"/>
                <w:color w:val="auto"/>
                <w:sz w:val="21"/>
                <w:szCs w:val="21"/>
                <w:highlight w:val="none"/>
                <w:vertAlign w:val="baseline"/>
                <w:lang w:val="en-US" w:eastAsia="zh-CN"/>
              </w:rPr>
              <w:t>×10</w:t>
            </w:r>
            <w:r>
              <w:rPr>
                <w:rFonts w:hint="default" w:ascii="Times New Roman" w:hAnsi="Times New Roman" w:cs="Times New Roman"/>
                <w:color w:val="auto"/>
                <w:sz w:val="21"/>
                <w:szCs w:val="21"/>
                <w:highlight w:val="none"/>
                <w:vertAlign w:val="superscript"/>
                <w:lang w:val="en-US" w:eastAsia="zh-CN"/>
              </w:rPr>
              <w:t>4</w:t>
            </w:r>
          </w:p>
        </w:tc>
        <w:tc>
          <w:tcPr>
            <w:tcW w:w="10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217" w:type="dxa"/>
            <w:tcBorders>
              <w:tl2br w:val="nil"/>
              <w:tr2bl w:val="nil"/>
            </w:tcBorders>
            <w:vAlign w:val="center"/>
          </w:tcPr>
          <w:p>
            <w:pPr>
              <w:jc w:val="center"/>
              <w:outlineLvl w:val="0"/>
              <w:rPr>
                <w:rFonts w:hint="default" w:ascii="Times New Roman" w:hAnsi="Times New Roman" w:cs="Times New Roman"/>
                <w:color w:val="auto"/>
                <w:sz w:val="21"/>
                <w:szCs w:val="21"/>
                <w:highlight w:val="none"/>
                <w:vertAlign w:val="baseline"/>
                <w:lang w:val="en-US" w:eastAsia="zh-CN"/>
              </w:rPr>
            </w:pPr>
            <w:bookmarkStart w:id="322" w:name="_Toc16098"/>
            <w:bookmarkStart w:id="323" w:name="_Toc14795"/>
            <w:r>
              <w:rPr>
                <w:rFonts w:hint="eastAsia" w:ascii="Times New Roman" w:hAnsi="Times New Roman" w:cs="Times New Roman"/>
                <w:b w:val="0"/>
                <w:bCs w:val="0"/>
                <w:color w:val="auto"/>
                <w:kern w:val="2"/>
                <w:sz w:val="21"/>
                <w:szCs w:val="24"/>
                <w:highlight w:val="none"/>
                <w:lang w:val="en-US" w:eastAsia="zh-CN" w:bidi="ar-SA"/>
              </w:rPr>
              <w:t>≤40000</w:t>
            </w:r>
            <w:bookmarkEnd w:id="322"/>
            <w:bookmarkEnd w:id="323"/>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121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bl>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color w:val="auto"/>
          <w:highlight w:val="none"/>
          <w:lang w:val="en-US" w:eastAsia="zh-CN"/>
        </w:rPr>
      </w:pPr>
      <w:r>
        <w:rPr>
          <w:rFonts w:hint="default" w:ascii="Times New Roman" w:hAnsi="Times New Roman" w:eastAsia="宋体" w:cs="Times New Roman"/>
          <w:b/>
          <w:bCs/>
          <w:color w:val="auto"/>
          <w:sz w:val="24"/>
          <w:szCs w:val="24"/>
          <w:highlight w:val="none"/>
          <w:lang w:val="en-US" w:eastAsia="zh-CN"/>
        </w:rPr>
        <w:t>表4.2</w:t>
      </w:r>
      <w:r>
        <w:rPr>
          <w:rFonts w:hint="eastAsia" w:ascii="Times New Roman" w:hAnsi="Times New Roman" w:eastAsia="宋体" w:cs="Times New Roman"/>
          <w:b/>
          <w:bCs/>
          <w:color w:val="auto"/>
          <w:sz w:val="24"/>
          <w:szCs w:val="24"/>
          <w:highlight w:val="none"/>
          <w:lang w:val="en-US" w:eastAsia="zh-CN"/>
        </w:rPr>
        <w:t>-9流量及水温监测数据一览表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23"/>
        <w:gridCol w:w="1581"/>
        <w:gridCol w:w="1142"/>
        <w:gridCol w:w="1142"/>
        <w:gridCol w:w="1142"/>
        <w:gridCol w:w="1142"/>
        <w:gridCol w:w="114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223" w:type="dxa"/>
            <w:vMerge w:val="restart"/>
            <w:tcBorders>
              <w:tl2br w:val="nil"/>
              <w:tr2bl w:val="nil"/>
            </w:tcBorders>
            <w:vAlign w:val="center"/>
          </w:tcPr>
          <w:p>
            <w:pPr>
              <w:spacing w:line="240" w:lineRule="auto"/>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监测时间</w:t>
            </w:r>
          </w:p>
        </w:tc>
        <w:tc>
          <w:tcPr>
            <w:tcW w:w="1581" w:type="dxa"/>
            <w:vMerge w:val="restart"/>
            <w:tcBorders>
              <w:tl2br w:val="nil"/>
              <w:tr2bl w:val="nil"/>
            </w:tcBorders>
            <w:vAlign w:val="center"/>
          </w:tcPr>
          <w:p>
            <w:pPr>
              <w:spacing w:line="240" w:lineRule="auto"/>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监测项目</w:t>
            </w:r>
          </w:p>
        </w:tc>
        <w:tc>
          <w:tcPr>
            <w:tcW w:w="5712" w:type="dxa"/>
            <w:gridSpan w:val="5"/>
            <w:tcBorders>
              <w:tl2br w:val="nil"/>
              <w:tr2bl w:val="nil"/>
            </w:tcBorders>
            <w:vAlign w:val="center"/>
          </w:tcPr>
          <w:p>
            <w:pPr>
              <w:spacing w:line="240" w:lineRule="auto"/>
              <w:jc w:val="center"/>
              <w:rPr>
                <w:rFonts w:hint="default" w:ascii="Times New Roman" w:hAnsi="Times New Roman"/>
                <w:color w:val="auto"/>
                <w:kern w:val="0"/>
                <w:szCs w:val="21"/>
                <w:highlight w:val="none"/>
                <w:lang w:val="en-US" w:eastAsia="zh-CN"/>
              </w:rPr>
            </w:pPr>
            <w:r>
              <w:rPr>
                <w:rFonts w:hint="eastAsia" w:ascii="Times New Roman" w:hAnsi="Times New Roman"/>
                <w:color w:val="auto"/>
                <w:kern w:val="0"/>
                <w:szCs w:val="21"/>
                <w:highlight w:val="none"/>
                <w:lang w:val="en-US" w:eastAsia="zh-CN"/>
              </w:rPr>
              <w:t>监测点位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23" w:type="dxa"/>
            <w:vMerge w:val="continue"/>
            <w:tcBorders>
              <w:tl2br w:val="nil"/>
              <w:tr2bl w:val="nil"/>
            </w:tcBorders>
            <w:vAlign w:val="center"/>
          </w:tcPr>
          <w:p>
            <w:pPr>
              <w:spacing w:line="240" w:lineRule="auto"/>
              <w:jc w:val="center"/>
              <w:rPr>
                <w:rFonts w:hint="default" w:ascii="Times New Roman" w:hAnsi="Times New Roman"/>
                <w:color w:val="auto"/>
                <w:kern w:val="0"/>
                <w:szCs w:val="21"/>
                <w:highlight w:val="none"/>
                <w:lang w:val="en-US" w:eastAsia="zh-CN"/>
              </w:rPr>
            </w:pPr>
          </w:p>
        </w:tc>
        <w:tc>
          <w:tcPr>
            <w:tcW w:w="1581" w:type="dxa"/>
            <w:vMerge w:val="continue"/>
            <w:tcBorders>
              <w:tl2br w:val="nil"/>
              <w:tr2bl w:val="nil"/>
            </w:tcBorders>
            <w:vAlign w:val="center"/>
          </w:tcPr>
          <w:p>
            <w:pPr>
              <w:spacing w:line="240" w:lineRule="auto"/>
              <w:jc w:val="center"/>
              <w:rPr>
                <w:rFonts w:hint="default" w:ascii="Times New Roman" w:hAnsi="Times New Roman"/>
                <w:color w:val="auto"/>
                <w:kern w:val="0"/>
                <w:szCs w:val="21"/>
                <w:highlight w:val="none"/>
                <w:lang w:val="en-US" w:eastAsia="zh-CN"/>
              </w:rPr>
            </w:pPr>
          </w:p>
        </w:tc>
        <w:tc>
          <w:tcPr>
            <w:tcW w:w="11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olor w:val="auto"/>
                <w:kern w:val="0"/>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拟建人工湿地上游</w:t>
            </w:r>
          </w:p>
        </w:tc>
        <w:tc>
          <w:tcPr>
            <w:tcW w:w="11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olor w:val="auto"/>
                <w:kern w:val="0"/>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安肇新河入库里泡排口</w:t>
            </w:r>
          </w:p>
        </w:tc>
        <w:tc>
          <w:tcPr>
            <w:tcW w:w="11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olor w:val="auto"/>
                <w:kern w:val="0"/>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库里泡排水出口</w:t>
            </w:r>
          </w:p>
        </w:tc>
        <w:tc>
          <w:tcPr>
            <w:tcW w:w="114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olor w:val="auto"/>
                <w:kern w:val="0"/>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安肇新河入松花江的古恰排口</w:t>
            </w:r>
          </w:p>
        </w:tc>
        <w:tc>
          <w:tcPr>
            <w:tcW w:w="114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olor w:val="auto"/>
                <w:kern w:val="0"/>
                <w:szCs w:val="21"/>
                <w:highlight w:val="none"/>
                <w:lang w:val="en-US" w:eastAsia="zh-CN"/>
              </w:rPr>
            </w:pPr>
            <w:r>
              <w:rPr>
                <w:rFonts w:hint="eastAsia" w:ascii="宋体" w:hAnsi="宋体" w:eastAsia="宋体" w:cs="宋体"/>
                <w:i w:val="0"/>
                <w:iCs w:val="0"/>
                <w:color w:val="auto"/>
                <w:kern w:val="0"/>
                <w:sz w:val="21"/>
                <w:szCs w:val="21"/>
                <w:highlight w:val="none"/>
                <w:u w:val="none"/>
                <w:lang w:val="en-US" w:eastAsia="zh-CN" w:bidi="ar"/>
              </w:rPr>
              <w:t>肇源松花江国控断面</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23" w:type="dxa"/>
            <w:vMerge w:val="restar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2022.11.13-2022.11.15</w:t>
            </w:r>
          </w:p>
        </w:tc>
        <w:tc>
          <w:tcPr>
            <w:tcW w:w="1581"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流量(×10</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lang w:val="en-US" w:eastAsia="zh-CN"/>
              </w:rPr>
              <w:t>m3/h)</w:t>
            </w:r>
          </w:p>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每6h平均值</w:t>
            </w:r>
          </w:p>
        </w:tc>
        <w:tc>
          <w:tcPr>
            <w:tcW w:w="1142"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7.04-7.21</w:t>
            </w:r>
          </w:p>
        </w:tc>
        <w:tc>
          <w:tcPr>
            <w:tcW w:w="1142"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9.42-9.53</w:t>
            </w:r>
          </w:p>
        </w:tc>
        <w:tc>
          <w:tcPr>
            <w:tcW w:w="1142"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10.7-12.0</w:t>
            </w:r>
          </w:p>
        </w:tc>
        <w:tc>
          <w:tcPr>
            <w:tcW w:w="1142"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26.4-27.2</w:t>
            </w:r>
          </w:p>
        </w:tc>
        <w:tc>
          <w:tcPr>
            <w:tcW w:w="1144"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167-175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23" w:type="dxa"/>
            <w:vMerge w:val="continue"/>
            <w:tcBorders>
              <w:tl2br w:val="nil"/>
              <w:tr2bl w:val="nil"/>
            </w:tcBorders>
            <w:vAlign w:val="center"/>
          </w:tcPr>
          <w:p>
            <w:pPr>
              <w:jc w:val="center"/>
              <w:rPr>
                <w:rFonts w:hint="default" w:ascii="Times New Roman" w:hAnsi="Times New Roman" w:cs="Times New Roman"/>
                <w:color w:val="auto"/>
                <w:szCs w:val="21"/>
                <w:highlight w:val="none"/>
                <w:lang w:val="en-US" w:eastAsia="zh-CN"/>
              </w:rPr>
            </w:pPr>
          </w:p>
        </w:tc>
        <w:tc>
          <w:tcPr>
            <w:tcW w:w="1581" w:type="dxa"/>
            <w:tcBorders>
              <w:tl2br w:val="nil"/>
              <w:tr2bl w:val="nil"/>
            </w:tcBorders>
            <w:vAlign w:val="center"/>
          </w:tcPr>
          <w:p>
            <w:pPr>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水温（℃）</w:t>
            </w:r>
          </w:p>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每6h平均值</w:t>
            </w:r>
          </w:p>
        </w:tc>
        <w:tc>
          <w:tcPr>
            <w:tcW w:w="1142"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3.0-3.1</w:t>
            </w:r>
          </w:p>
        </w:tc>
        <w:tc>
          <w:tcPr>
            <w:tcW w:w="1142"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3.0-3.1</w:t>
            </w:r>
          </w:p>
        </w:tc>
        <w:tc>
          <w:tcPr>
            <w:tcW w:w="1142"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3.0-3.1</w:t>
            </w:r>
          </w:p>
        </w:tc>
        <w:tc>
          <w:tcPr>
            <w:tcW w:w="1142"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3.0-3.1</w:t>
            </w:r>
          </w:p>
        </w:tc>
        <w:tc>
          <w:tcPr>
            <w:tcW w:w="1144"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3.0-3.1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23" w:type="dxa"/>
            <w:vMerge w:val="continue"/>
            <w:tcBorders>
              <w:tl2br w:val="nil"/>
              <w:tr2bl w:val="nil"/>
            </w:tcBorders>
            <w:vAlign w:val="center"/>
          </w:tcPr>
          <w:p>
            <w:pPr>
              <w:jc w:val="center"/>
              <w:rPr>
                <w:rFonts w:hint="default" w:ascii="Times New Roman" w:hAnsi="Times New Roman" w:cs="Times New Roman"/>
                <w:color w:val="auto"/>
                <w:szCs w:val="21"/>
                <w:highlight w:val="none"/>
                <w:lang w:val="en-US" w:eastAsia="zh-CN"/>
              </w:rPr>
            </w:pPr>
          </w:p>
        </w:tc>
        <w:tc>
          <w:tcPr>
            <w:tcW w:w="1581" w:type="dxa"/>
            <w:tcBorders>
              <w:tl2br w:val="nil"/>
              <w:tr2bl w:val="nil"/>
            </w:tcBorders>
            <w:vAlign w:val="center"/>
          </w:tcPr>
          <w:p>
            <w:pPr>
              <w:jc w:val="center"/>
              <w:rPr>
                <w:rFonts w:hint="default" w:ascii="Times New Roman" w:hAnsi="Times New Roman" w:cs="Times New Roman"/>
                <w:color w:val="auto"/>
                <w:szCs w:val="21"/>
                <w:highlight w:val="none"/>
                <w:lang w:eastAsia="zh-CN"/>
              </w:rPr>
            </w:pPr>
            <w:r>
              <w:rPr>
                <w:rFonts w:hint="default" w:ascii="Times New Roman" w:hAnsi="Times New Roman" w:cs="Times New Roman"/>
                <w:color w:val="auto"/>
                <w:szCs w:val="21"/>
                <w:highlight w:val="none"/>
                <w:lang w:eastAsia="zh-CN"/>
              </w:rPr>
              <w:t>水温（℃）</w:t>
            </w:r>
          </w:p>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日均值</w:t>
            </w:r>
          </w:p>
        </w:tc>
        <w:tc>
          <w:tcPr>
            <w:tcW w:w="1142"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3.0-3.1</w:t>
            </w:r>
          </w:p>
        </w:tc>
        <w:tc>
          <w:tcPr>
            <w:tcW w:w="1142"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3.0-3.1</w:t>
            </w:r>
          </w:p>
        </w:tc>
        <w:tc>
          <w:tcPr>
            <w:tcW w:w="1142"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3.1</w:t>
            </w:r>
          </w:p>
        </w:tc>
        <w:tc>
          <w:tcPr>
            <w:tcW w:w="1142"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3.0-3.1</w:t>
            </w:r>
          </w:p>
        </w:tc>
        <w:tc>
          <w:tcPr>
            <w:tcW w:w="1144" w:type="dxa"/>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3.0-3.1</w:t>
            </w:r>
          </w:p>
        </w:tc>
      </w:tr>
    </w:tbl>
    <w:p>
      <w:pPr>
        <w:jc w:val="center"/>
        <w:rPr>
          <w:rFonts w:hint="default"/>
          <w:color w:val="auto"/>
          <w:highlight w:val="none"/>
          <w:lang w:val="en-US" w:eastAsia="zh-CN"/>
        </w:rPr>
      </w:pPr>
      <w:r>
        <w:rPr>
          <w:rFonts w:hint="default" w:ascii="Times New Roman" w:hAnsi="Times New Roman" w:eastAsia="宋体" w:cs="Times New Roman"/>
          <w:b/>
          <w:bCs/>
          <w:color w:val="auto"/>
          <w:sz w:val="24"/>
          <w:szCs w:val="24"/>
          <w:highlight w:val="none"/>
          <w:lang w:val="en-US" w:eastAsia="zh-CN"/>
        </w:rPr>
        <w:t>表4.2</w:t>
      </w:r>
      <w:r>
        <w:rPr>
          <w:rFonts w:hint="eastAsia" w:ascii="Times New Roman" w:hAnsi="Times New Roman" w:eastAsia="宋体" w:cs="Times New Roman"/>
          <w:b/>
          <w:bCs/>
          <w:color w:val="auto"/>
          <w:sz w:val="24"/>
          <w:szCs w:val="24"/>
          <w:highlight w:val="none"/>
          <w:lang w:val="en-US" w:eastAsia="zh-CN"/>
        </w:rPr>
        <w:t>-10水位及水面宽度监测数据一览表</w:t>
      </w:r>
    </w:p>
    <w:tbl>
      <w:tblPr>
        <w:tblStyle w:val="13"/>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53"/>
        <w:gridCol w:w="3102"/>
        <w:gridCol w:w="2127"/>
        <w:gridCol w:w="213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7"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ascii="Times New Roman" w:hAnsi="Times New Roman"/>
                <w:b w:val="0"/>
                <w:bCs w:val="0"/>
                <w:color w:val="auto"/>
                <w:szCs w:val="21"/>
                <w:highlight w:val="none"/>
              </w:rPr>
              <w:t>序号</w:t>
            </w:r>
          </w:p>
        </w:tc>
        <w:tc>
          <w:tcPr>
            <w:tcW w:w="1821"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ascii="Times New Roman" w:hAnsi="Times New Roman"/>
                <w:b w:val="0"/>
                <w:bCs w:val="0"/>
                <w:color w:val="auto"/>
                <w:szCs w:val="21"/>
                <w:highlight w:val="none"/>
              </w:rPr>
              <w:t>监测点</w:t>
            </w:r>
            <w:r>
              <w:rPr>
                <w:rFonts w:hint="eastAsia" w:ascii="Times New Roman" w:hAnsi="Times New Roman"/>
                <w:b w:val="0"/>
                <w:bCs w:val="0"/>
                <w:color w:val="auto"/>
                <w:szCs w:val="21"/>
                <w:highlight w:val="none"/>
                <w:lang w:val="en-US" w:eastAsia="zh-CN"/>
              </w:rPr>
              <w:t>位</w:t>
            </w:r>
          </w:p>
        </w:tc>
        <w:tc>
          <w:tcPr>
            <w:tcW w:w="1249" w:type="pct"/>
            <w:tcBorders>
              <w:tl2br w:val="nil"/>
              <w:tr2bl w:val="nil"/>
            </w:tcBorders>
            <w:vAlign w:val="center"/>
          </w:tcPr>
          <w:p>
            <w:pPr>
              <w:spacing w:line="240" w:lineRule="atLeast"/>
              <w:jc w:val="center"/>
              <w:rPr>
                <w:rFonts w:hint="default" w:ascii="Times New Roman" w:hAnsi="Times New Roman" w:cs="Times New Roman"/>
                <w:color w:val="auto"/>
                <w:szCs w:val="21"/>
                <w:highlight w:val="none"/>
                <w:lang w:val="en-US" w:eastAsia="zh-CN"/>
              </w:rPr>
            </w:pPr>
            <w:r>
              <w:rPr>
                <w:rFonts w:hint="eastAsia" w:ascii="宋体" w:hAnsi="宋体" w:eastAsia="宋体" w:cs="宋体"/>
                <w:b w:val="0"/>
                <w:bCs w:val="0"/>
                <w:i w:val="0"/>
                <w:caps w:val="0"/>
                <w:color w:val="auto"/>
                <w:spacing w:val="0"/>
                <w:kern w:val="2"/>
                <w:sz w:val="21"/>
                <w:szCs w:val="21"/>
                <w:highlight w:val="none"/>
                <w:shd w:val="clear" w:color="auto" w:fill="FFFFFF"/>
                <w:vertAlign w:val="baseline"/>
                <w:lang w:val="en-US" w:eastAsia="zh-CN" w:bidi="ar-SA"/>
              </w:rPr>
              <w:t>水位</w:t>
            </w:r>
            <w:r>
              <w:rPr>
                <w:rFonts w:ascii="Times New Roman" w:hAnsi="Times New Roman"/>
                <w:b w:val="0"/>
                <w:bCs w:val="0"/>
                <w:color w:val="auto"/>
                <w:kern w:val="24"/>
                <w:sz w:val="21"/>
                <w:szCs w:val="21"/>
                <w:highlight w:val="none"/>
              </w:rPr>
              <w:t>（m）</w:t>
            </w:r>
          </w:p>
        </w:tc>
        <w:tc>
          <w:tcPr>
            <w:tcW w:w="1251" w:type="pct"/>
            <w:tcBorders>
              <w:tl2br w:val="nil"/>
              <w:tr2bl w:val="nil"/>
            </w:tcBorders>
            <w:vAlign w:val="center"/>
          </w:tcPr>
          <w:p>
            <w:pPr>
              <w:spacing w:line="240" w:lineRule="atLeast"/>
              <w:jc w:val="center"/>
              <w:rPr>
                <w:rFonts w:hint="default" w:ascii="Times New Roman" w:hAnsi="Times New Roman" w:cs="Times New Roman"/>
                <w:color w:val="auto"/>
                <w:szCs w:val="21"/>
                <w:highlight w:val="none"/>
                <w:lang w:val="en-US" w:eastAsia="zh-CN"/>
              </w:rPr>
            </w:pPr>
            <w:r>
              <w:rPr>
                <w:rFonts w:hint="eastAsia" w:ascii="宋体" w:hAnsi="宋体" w:eastAsia="宋体" w:cs="宋体"/>
                <w:b w:val="0"/>
                <w:bCs w:val="0"/>
                <w:i w:val="0"/>
                <w:caps w:val="0"/>
                <w:color w:val="auto"/>
                <w:spacing w:val="0"/>
                <w:kern w:val="2"/>
                <w:sz w:val="21"/>
                <w:szCs w:val="21"/>
                <w:highlight w:val="none"/>
                <w:shd w:val="clear" w:color="auto" w:fill="FFFFFF"/>
                <w:vertAlign w:val="baseline"/>
                <w:lang w:val="en-US" w:eastAsia="zh-CN" w:bidi="ar-SA"/>
              </w:rPr>
              <w:t>水面宽</w:t>
            </w:r>
            <w:r>
              <w:rPr>
                <w:rFonts w:ascii="Times New Roman" w:hAnsi="Times New Roman"/>
                <w:b w:val="0"/>
                <w:bCs w:val="0"/>
                <w:color w:val="auto"/>
                <w:kern w:val="24"/>
                <w:sz w:val="21"/>
                <w:szCs w:val="21"/>
                <w:highlight w:val="none"/>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7"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w:t>
            </w:r>
          </w:p>
        </w:tc>
        <w:tc>
          <w:tcPr>
            <w:tcW w:w="1821"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拟建人工湿地上游入口</w:t>
            </w:r>
          </w:p>
        </w:tc>
        <w:tc>
          <w:tcPr>
            <w:tcW w:w="1249"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0.8</w:t>
            </w:r>
          </w:p>
        </w:tc>
        <w:tc>
          <w:tcPr>
            <w:tcW w:w="1251"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7"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c>
          <w:tcPr>
            <w:tcW w:w="1821"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安肇新河入库里泡排口</w:t>
            </w:r>
          </w:p>
        </w:tc>
        <w:tc>
          <w:tcPr>
            <w:tcW w:w="1249"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0.9</w:t>
            </w:r>
          </w:p>
        </w:tc>
        <w:tc>
          <w:tcPr>
            <w:tcW w:w="1251"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7"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3</w:t>
            </w:r>
          </w:p>
        </w:tc>
        <w:tc>
          <w:tcPr>
            <w:tcW w:w="1821"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库里泡排水出口</w:t>
            </w:r>
          </w:p>
        </w:tc>
        <w:tc>
          <w:tcPr>
            <w:tcW w:w="1249"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1.2</w:t>
            </w:r>
          </w:p>
        </w:tc>
        <w:tc>
          <w:tcPr>
            <w:tcW w:w="1251"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7"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w:t>
            </w:r>
          </w:p>
        </w:tc>
        <w:tc>
          <w:tcPr>
            <w:tcW w:w="1821"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安肇新河入松花江的古恰排口</w:t>
            </w:r>
          </w:p>
        </w:tc>
        <w:tc>
          <w:tcPr>
            <w:tcW w:w="1249"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w:t>
            </w:r>
          </w:p>
        </w:tc>
        <w:tc>
          <w:tcPr>
            <w:tcW w:w="1251"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7"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w:t>
            </w:r>
          </w:p>
        </w:tc>
        <w:tc>
          <w:tcPr>
            <w:tcW w:w="1821"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肇源松花江国控断面</w:t>
            </w:r>
          </w:p>
        </w:tc>
        <w:tc>
          <w:tcPr>
            <w:tcW w:w="1249"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2.4</w:t>
            </w:r>
          </w:p>
        </w:tc>
        <w:tc>
          <w:tcPr>
            <w:tcW w:w="1251" w:type="pct"/>
            <w:tcBorders>
              <w:tl2br w:val="nil"/>
              <w:tr2bl w:val="nil"/>
            </w:tcBorders>
            <w:vAlign w:val="center"/>
          </w:tcPr>
          <w:p>
            <w:pPr>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932</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由上表检测结果和评价结果看出，检测期间拟建人工湿地上游</w:t>
      </w:r>
      <w:r>
        <w:rPr>
          <w:rFonts w:hint="eastAsia" w:ascii="Times New Roman" w:hAnsi="Times New Roman" w:eastAsia="宋体" w:cs="Times New Roman"/>
          <w:caps w:val="0"/>
          <w:smallCaps w:val="0"/>
          <w:color w:val="auto"/>
          <w:spacing w:val="0"/>
          <w:w w:val="100"/>
          <w:kern w:val="0"/>
          <w:sz w:val="24"/>
          <w:szCs w:val="24"/>
          <w:highlight w:val="none"/>
          <w:lang w:val="en-US" w:eastAsia="zh-CN"/>
        </w:rPr>
        <w:t>、安肇新河入库里泡排口及库里泡排放口断面处的COD、氨氮及总氮均高于</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《地表水环境质量标准》</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GB3838-200</w:t>
      </w: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中的Ⅴ类标准</w:t>
      </w:r>
      <w:r>
        <w:rPr>
          <w:rFonts w:hint="eastAsia" w:ascii="Times New Roman" w:hAnsi="Times New Roman" w:eastAsia="宋体" w:cs="Times New Roman"/>
          <w:caps w:val="0"/>
          <w:smallCaps w:val="0"/>
          <w:color w:val="auto"/>
          <w:spacing w:val="0"/>
          <w:w w:val="100"/>
          <w:kern w:val="0"/>
          <w:sz w:val="24"/>
          <w:szCs w:val="24"/>
          <w:highlight w:val="none"/>
          <w:lang w:val="en-US" w:eastAsia="zh-CN"/>
        </w:rPr>
        <w:t>限值，总磷未超标；安肇新河入松花江的古恰排口断面处COD、氨氮、总氮及总磷均高于</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《地表水环境质量标准》</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GB3838-200</w:t>
      </w: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中的Ⅴ类标准</w:t>
      </w:r>
      <w:r>
        <w:rPr>
          <w:rFonts w:hint="eastAsia" w:ascii="Times New Roman" w:hAnsi="Times New Roman" w:eastAsia="宋体" w:cs="Times New Roman"/>
          <w:caps w:val="0"/>
          <w:smallCaps w:val="0"/>
          <w:color w:val="auto"/>
          <w:spacing w:val="0"/>
          <w:w w:val="100"/>
          <w:kern w:val="0"/>
          <w:sz w:val="24"/>
          <w:szCs w:val="24"/>
          <w:highlight w:val="none"/>
          <w:lang w:val="en-US" w:eastAsia="zh-CN"/>
        </w:rPr>
        <w:t>限值，区域地表水体现状不满足</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《地表水环境质量标准》</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GB3838-200</w:t>
      </w: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中的Ⅴ类</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超标原因可能</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为安肇新河上游接受污染物含量高于水体自净能力，同时由于监测阶段为冰封期，不是农业种植时间，化肥用药使用较少，农业面源污染不突出。</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4.2.3地下水环境质量现状调查与评价</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（1）现状监测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①监测布点原则</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本项目地下水评价等级为三级</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根据《环境影响评价导则 地下水环境》（HJ610-2016），本项目共布设8个地下水监测点位，水质监测点位4个，潜水3个，承压水1个；水位监测点位8个。具体监测点位详见下表。</w:t>
      </w:r>
    </w:p>
    <w:p>
      <w:pPr>
        <w:widowControl/>
        <w:spacing w:line="360" w:lineRule="auto"/>
        <w:jc w:val="center"/>
        <w:rPr>
          <w:rFonts w:hint="default" w:ascii="Times New Roman" w:hAnsi="Times New Roman" w:eastAsia="宋体" w:cs="Times New Roman"/>
          <w:b/>
          <w:bCs/>
          <w:smallCaps w:val="0"/>
          <w:color w:val="auto"/>
          <w:spacing w:val="0"/>
          <w:w w:val="100"/>
          <w:kern w:val="0"/>
          <w:sz w:val="24"/>
          <w:highlight w:val="none"/>
          <w:lang w:val="en-US" w:eastAsia="zh-CN" w:bidi="ar"/>
        </w:rPr>
      </w:pPr>
      <w:r>
        <w:rPr>
          <w:rFonts w:hint="default" w:ascii="Times New Roman" w:hAnsi="Times New Roman" w:eastAsia="宋体" w:cs="Times New Roman"/>
          <w:b/>
          <w:bCs/>
          <w:smallCaps w:val="0"/>
          <w:color w:val="auto"/>
          <w:spacing w:val="0"/>
          <w:w w:val="100"/>
          <w:kern w:val="0"/>
          <w:sz w:val="24"/>
          <w:highlight w:val="none"/>
          <w:lang w:val="en-US" w:eastAsia="zh-CN" w:bidi="ar"/>
        </w:rPr>
        <w:t>表</w:t>
      </w:r>
      <w:r>
        <w:rPr>
          <w:rFonts w:hint="eastAsia" w:ascii="Times New Roman" w:hAnsi="Times New Roman" w:eastAsia="宋体" w:cs="Times New Roman"/>
          <w:b/>
          <w:bCs/>
          <w:smallCaps w:val="0"/>
          <w:color w:val="auto"/>
          <w:spacing w:val="0"/>
          <w:w w:val="100"/>
          <w:kern w:val="0"/>
          <w:sz w:val="24"/>
          <w:highlight w:val="none"/>
          <w:lang w:val="en-US" w:eastAsia="zh-CN" w:bidi="ar"/>
        </w:rPr>
        <w:t>4</w:t>
      </w:r>
      <w:r>
        <w:rPr>
          <w:rFonts w:hint="default" w:ascii="Times New Roman" w:hAnsi="Times New Roman" w:eastAsia="宋体" w:cs="Times New Roman"/>
          <w:b/>
          <w:bCs/>
          <w:smallCaps w:val="0"/>
          <w:color w:val="auto"/>
          <w:spacing w:val="0"/>
          <w:w w:val="100"/>
          <w:kern w:val="0"/>
          <w:sz w:val="24"/>
          <w:highlight w:val="none"/>
          <w:lang w:val="en-US" w:eastAsia="zh-CN" w:bidi="ar"/>
        </w:rPr>
        <w:t>.2-</w:t>
      </w:r>
      <w:r>
        <w:rPr>
          <w:rFonts w:hint="eastAsia" w:ascii="Times New Roman" w:hAnsi="Times New Roman" w:eastAsia="宋体" w:cs="Times New Roman"/>
          <w:b/>
          <w:bCs/>
          <w:smallCaps w:val="0"/>
          <w:color w:val="auto"/>
          <w:spacing w:val="0"/>
          <w:w w:val="100"/>
          <w:kern w:val="0"/>
          <w:sz w:val="24"/>
          <w:highlight w:val="none"/>
          <w:lang w:val="en-US" w:eastAsia="zh-CN" w:bidi="ar"/>
        </w:rPr>
        <w:t>11</w:t>
      </w:r>
      <w:r>
        <w:rPr>
          <w:rFonts w:hint="default" w:ascii="Times New Roman" w:hAnsi="Times New Roman" w:eastAsia="宋体" w:cs="Times New Roman"/>
          <w:b/>
          <w:bCs/>
          <w:smallCaps w:val="0"/>
          <w:color w:val="auto"/>
          <w:spacing w:val="0"/>
          <w:w w:val="100"/>
          <w:kern w:val="0"/>
          <w:sz w:val="24"/>
          <w:highlight w:val="none"/>
          <w:lang w:val="en-US" w:eastAsia="zh-CN" w:bidi="ar"/>
        </w:rPr>
        <w:t>地下水</w:t>
      </w:r>
      <w:r>
        <w:rPr>
          <w:rFonts w:hint="eastAsia" w:ascii="Times New Roman" w:hAnsi="Times New Roman" w:eastAsia="宋体" w:cs="Times New Roman"/>
          <w:b/>
          <w:bCs/>
          <w:smallCaps w:val="0"/>
          <w:color w:val="auto"/>
          <w:spacing w:val="0"/>
          <w:w w:val="100"/>
          <w:kern w:val="0"/>
          <w:sz w:val="24"/>
          <w:highlight w:val="none"/>
          <w:lang w:val="en-US" w:eastAsia="zh-CN" w:bidi="ar"/>
        </w:rPr>
        <w:t>水质</w:t>
      </w:r>
      <w:r>
        <w:rPr>
          <w:rFonts w:hint="default" w:ascii="Times New Roman" w:hAnsi="Times New Roman" w:eastAsia="宋体" w:cs="Times New Roman"/>
          <w:b/>
          <w:bCs/>
          <w:smallCaps w:val="0"/>
          <w:color w:val="auto"/>
          <w:spacing w:val="0"/>
          <w:w w:val="100"/>
          <w:kern w:val="0"/>
          <w:sz w:val="24"/>
          <w:highlight w:val="none"/>
          <w:lang w:val="en-US" w:eastAsia="zh-CN" w:bidi="ar"/>
        </w:rPr>
        <w:t>监测点位明细表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34"/>
        <w:gridCol w:w="1339"/>
        <w:gridCol w:w="1481"/>
        <w:gridCol w:w="2332"/>
        <w:gridCol w:w="840"/>
        <w:gridCol w:w="840"/>
        <w:gridCol w:w="95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序号</w:t>
            </w:r>
          </w:p>
        </w:tc>
        <w:tc>
          <w:tcPr>
            <w:tcW w:w="1339"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监测点位</w:t>
            </w:r>
          </w:p>
        </w:tc>
        <w:tc>
          <w:tcPr>
            <w:tcW w:w="1481"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相对位置</w:t>
            </w:r>
          </w:p>
        </w:tc>
        <w:tc>
          <w:tcPr>
            <w:tcW w:w="2332"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坐标（°）</w:t>
            </w:r>
          </w:p>
        </w:tc>
        <w:tc>
          <w:tcPr>
            <w:tcW w:w="84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功能</w:t>
            </w:r>
          </w:p>
        </w:tc>
        <w:tc>
          <w:tcPr>
            <w:tcW w:w="84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井深（m）</w:t>
            </w:r>
          </w:p>
        </w:tc>
        <w:tc>
          <w:tcPr>
            <w:tcW w:w="95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0" w:hRule="atLeast"/>
        </w:trPr>
        <w:tc>
          <w:tcPr>
            <w:tcW w:w="734"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w:t>
            </w:r>
          </w:p>
        </w:tc>
        <w:tc>
          <w:tcPr>
            <w:tcW w:w="1339"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梁家店水井</w:t>
            </w:r>
          </w:p>
        </w:tc>
        <w:tc>
          <w:tcPr>
            <w:tcW w:w="1481"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东北侧</w:t>
            </w:r>
          </w:p>
        </w:tc>
        <w:tc>
          <w:tcPr>
            <w:tcW w:w="2332" w:type="dxa"/>
            <w:tcBorders>
              <w:tl2br w:val="nil"/>
              <w:tr2bl w:val="nil"/>
            </w:tcBorders>
            <w:vAlign w:val="top"/>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124.920814770,45.951785775</w:t>
            </w:r>
          </w:p>
        </w:tc>
        <w:tc>
          <w:tcPr>
            <w:tcW w:w="84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灌溉</w:t>
            </w:r>
          </w:p>
        </w:tc>
        <w:tc>
          <w:tcPr>
            <w:tcW w:w="84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30</w:t>
            </w:r>
          </w:p>
        </w:tc>
        <w:tc>
          <w:tcPr>
            <w:tcW w:w="95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潜水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w:t>
            </w:r>
          </w:p>
        </w:tc>
        <w:tc>
          <w:tcPr>
            <w:tcW w:w="1339"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娄家岗子水井</w:t>
            </w:r>
          </w:p>
        </w:tc>
        <w:tc>
          <w:tcPr>
            <w:tcW w:w="1481"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东南侧</w:t>
            </w:r>
          </w:p>
        </w:tc>
        <w:tc>
          <w:tcPr>
            <w:tcW w:w="2332" w:type="dxa"/>
            <w:tcBorders>
              <w:tl2br w:val="nil"/>
              <w:tr2bl w:val="nil"/>
            </w:tcBorders>
            <w:vAlign w:val="top"/>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124.907323214,45.875044461</w:t>
            </w:r>
          </w:p>
        </w:tc>
        <w:tc>
          <w:tcPr>
            <w:tcW w:w="84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灌溉</w:t>
            </w:r>
          </w:p>
        </w:tc>
        <w:tc>
          <w:tcPr>
            <w:tcW w:w="84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30</w:t>
            </w:r>
          </w:p>
        </w:tc>
        <w:tc>
          <w:tcPr>
            <w:tcW w:w="95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潜水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w:t>
            </w:r>
          </w:p>
        </w:tc>
        <w:tc>
          <w:tcPr>
            <w:tcW w:w="1339"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三不管屯水井</w:t>
            </w:r>
          </w:p>
        </w:tc>
        <w:tc>
          <w:tcPr>
            <w:tcW w:w="1481"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西侧</w:t>
            </w:r>
          </w:p>
        </w:tc>
        <w:tc>
          <w:tcPr>
            <w:tcW w:w="2332"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124.884693595,45.939064351</w:t>
            </w:r>
          </w:p>
        </w:tc>
        <w:tc>
          <w:tcPr>
            <w:tcW w:w="84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灌溉</w:t>
            </w:r>
          </w:p>
        </w:tc>
        <w:tc>
          <w:tcPr>
            <w:tcW w:w="84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30</w:t>
            </w:r>
          </w:p>
        </w:tc>
        <w:tc>
          <w:tcPr>
            <w:tcW w:w="95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潜水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34"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w:t>
            </w:r>
          </w:p>
        </w:tc>
        <w:tc>
          <w:tcPr>
            <w:tcW w:w="1339"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平等村水井</w:t>
            </w:r>
          </w:p>
        </w:tc>
        <w:tc>
          <w:tcPr>
            <w:tcW w:w="1481"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东南侧</w:t>
            </w:r>
          </w:p>
        </w:tc>
        <w:tc>
          <w:tcPr>
            <w:tcW w:w="2332"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124.946515652,45.897478457</w:t>
            </w:r>
          </w:p>
        </w:tc>
        <w:tc>
          <w:tcPr>
            <w:tcW w:w="84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灌溉</w:t>
            </w:r>
          </w:p>
        </w:tc>
        <w:tc>
          <w:tcPr>
            <w:tcW w:w="84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60</w:t>
            </w:r>
          </w:p>
        </w:tc>
        <w:tc>
          <w:tcPr>
            <w:tcW w:w="95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承压水</w:t>
            </w:r>
          </w:p>
        </w:tc>
      </w:tr>
    </w:tbl>
    <w:p>
      <w:pPr>
        <w:widowControl/>
        <w:spacing w:line="360" w:lineRule="auto"/>
        <w:jc w:val="center"/>
        <w:rPr>
          <w:rFonts w:hint="default" w:ascii="Times New Roman" w:hAnsi="Times New Roman" w:eastAsia="宋体" w:cs="Times New Roman"/>
          <w:b/>
          <w:bCs/>
          <w:smallCaps w:val="0"/>
          <w:color w:val="auto"/>
          <w:spacing w:val="0"/>
          <w:w w:val="100"/>
          <w:kern w:val="0"/>
          <w:sz w:val="24"/>
          <w:highlight w:val="none"/>
          <w:lang w:val="en-US" w:eastAsia="zh-CN" w:bidi="ar"/>
        </w:rPr>
      </w:pPr>
      <w:r>
        <w:rPr>
          <w:rFonts w:hint="default" w:ascii="Times New Roman" w:hAnsi="Times New Roman" w:eastAsia="宋体" w:cs="Times New Roman"/>
          <w:b/>
          <w:bCs/>
          <w:smallCaps w:val="0"/>
          <w:color w:val="auto"/>
          <w:spacing w:val="0"/>
          <w:w w:val="100"/>
          <w:kern w:val="0"/>
          <w:sz w:val="24"/>
          <w:highlight w:val="none"/>
          <w:lang w:val="en-US" w:eastAsia="zh-CN" w:bidi="ar"/>
        </w:rPr>
        <w:t>表</w:t>
      </w:r>
      <w:r>
        <w:rPr>
          <w:rFonts w:hint="eastAsia" w:ascii="Times New Roman" w:hAnsi="Times New Roman" w:eastAsia="宋体" w:cs="Times New Roman"/>
          <w:b/>
          <w:bCs/>
          <w:smallCaps w:val="0"/>
          <w:color w:val="auto"/>
          <w:spacing w:val="0"/>
          <w:w w:val="100"/>
          <w:kern w:val="0"/>
          <w:sz w:val="24"/>
          <w:highlight w:val="none"/>
          <w:lang w:val="en-US" w:eastAsia="zh-CN" w:bidi="ar"/>
        </w:rPr>
        <w:t>4</w:t>
      </w:r>
      <w:r>
        <w:rPr>
          <w:rFonts w:hint="default" w:ascii="Times New Roman" w:hAnsi="Times New Roman" w:eastAsia="宋体" w:cs="Times New Roman"/>
          <w:b/>
          <w:bCs/>
          <w:smallCaps w:val="0"/>
          <w:color w:val="auto"/>
          <w:spacing w:val="0"/>
          <w:w w:val="100"/>
          <w:kern w:val="0"/>
          <w:sz w:val="24"/>
          <w:highlight w:val="none"/>
          <w:lang w:val="en-US" w:eastAsia="zh-CN" w:bidi="ar"/>
        </w:rPr>
        <w:t>.2-</w:t>
      </w:r>
      <w:r>
        <w:rPr>
          <w:rFonts w:hint="eastAsia" w:ascii="Times New Roman" w:hAnsi="Times New Roman" w:eastAsia="宋体" w:cs="Times New Roman"/>
          <w:b/>
          <w:bCs/>
          <w:smallCaps w:val="0"/>
          <w:color w:val="auto"/>
          <w:spacing w:val="0"/>
          <w:w w:val="100"/>
          <w:kern w:val="0"/>
          <w:sz w:val="24"/>
          <w:highlight w:val="none"/>
          <w:lang w:val="en-US" w:eastAsia="zh-CN" w:bidi="ar"/>
        </w:rPr>
        <w:t>12</w:t>
      </w:r>
      <w:r>
        <w:rPr>
          <w:rFonts w:hint="default" w:ascii="Times New Roman" w:hAnsi="Times New Roman" w:eastAsia="宋体" w:cs="Times New Roman"/>
          <w:b/>
          <w:bCs/>
          <w:smallCaps w:val="0"/>
          <w:color w:val="auto"/>
          <w:spacing w:val="0"/>
          <w:w w:val="100"/>
          <w:kern w:val="0"/>
          <w:sz w:val="24"/>
          <w:highlight w:val="none"/>
          <w:lang w:val="en-US" w:eastAsia="zh-CN" w:bidi="ar"/>
        </w:rPr>
        <w:t>地下水</w:t>
      </w:r>
      <w:r>
        <w:rPr>
          <w:rFonts w:hint="eastAsia" w:ascii="Times New Roman" w:hAnsi="Times New Roman" w:eastAsia="宋体" w:cs="Times New Roman"/>
          <w:b/>
          <w:bCs/>
          <w:smallCaps w:val="0"/>
          <w:color w:val="auto"/>
          <w:spacing w:val="0"/>
          <w:w w:val="100"/>
          <w:kern w:val="0"/>
          <w:sz w:val="24"/>
          <w:highlight w:val="none"/>
          <w:lang w:val="en-US" w:eastAsia="zh-CN" w:bidi="ar"/>
        </w:rPr>
        <w:t>水位</w:t>
      </w:r>
      <w:r>
        <w:rPr>
          <w:rFonts w:hint="default" w:ascii="Times New Roman" w:hAnsi="Times New Roman" w:eastAsia="宋体" w:cs="Times New Roman"/>
          <w:b/>
          <w:bCs/>
          <w:smallCaps w:val="0"/>
          <w:color w:val="auto"/>
          <w:spacing w:val="0"/>
          <w:w w:val="100"/>
          <w:kern w:val="0"/>
          <w:sz w:val="24"/>
          <w:highlight w:val="none"/>
          <w:lang w:val="en-US" w:eastAsia="zh-CN" w:bidi="ar"/>
        </w:rPr>
        <w:t>监测点位明细表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34"/>
        <w:gridCol w:w="2515"/>
        <w:gridCol w:w="3070"/>
        <w:gridCol w:w="189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4" w:type="dxa"/>
            <w:tcBorders>
              <w:tl2br w:val="nil"/>
              <w:tr2bl w:val="nil"/>
            </w:tcBorders>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序号</w:t>
            </w:r>
          </w:p>
        </w:tc>
        <w:tc>
          <w:tcPr>
            <w:tcW w:w="2515" w:type="dxa"/>
            <w:tcBorders>
              <w:tl2br w:val="nil"/>
              <w:tr2bl w:val="nil"/>
            </w:tcBorders>
            <w:vAlign w:val="top"/>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监测点位</w:t>
            </w:r>
          </w:p>
        </w:tc>
        <w:tc>
          <w:tcPr>
            <w:tcW w:w="3070" w:type="dxa"/>
            <w:tcBorders>
              <w:tl2br w:val="nil"/>
              <w:tr2bl w:val="nil"/>
            </w:tcBorders>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坐标（°）</w:t>
            </w:r>
          </w:p>
        </w:tc>
        <w:tc>
          <w:tcPr>
            <w:tcW w:w="1897" w:type="dxa"/>
            <w:tcBorders>
              <w:tl2br w:val="nil"/>
              <w:tr2bl w:val="nil"/>
            </w:tcBorders>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水位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4"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w:t>
            </w:r>
          </w:p>
        </w:tc>
        <w:tc>
          <w:tcPr>
            <w:tcW w:w="2515"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梁家店水井</w:t>
            </w:r>
          </w:p>
        </w:tc>
        <w:tc>
          <w:tcPr>
            <w:tcW w:w="3070" w:type="dxa"/>
            <w:tcBorders>
              <w:tl2br w:val="nil"/>
              <w:tr2bl w:val="nil"/>
            </w:tcBorders>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124.920814770,45.951785775</w:t>
            </w:r>
          </w:p>
        </w:tc>
        <w:tc>
          <w:tcPr>
            <w:tcW w:w="189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127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4"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w:t>
            </w:r>
          </w:p>
        </w:tc>
        <w:tc>
          <w:tcPr>
            <w:tcW w:w="2515"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娄家岗子水井</w:t>
            </w:r>
          </w:p>
        </w:tc>
        <w:tc>
          <w:tcPr>
            <w:tcW w:w="3070" w:type="dxa"/>
            <w:tcBorders>
              <w:tl2br w:val="nil"/>
              <w:tr2bl w:val="nil"/>
            </w:tcBorders>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124.907323214,45.875044461</w:t>
            </w:r>
          </w:p>
        </w:tc>
        <w:tc>
          <w:tcPr>
            <w:tcW w:w="189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122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4"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w:t>
            </w:r>
          </w:p>
        </w:tc>
        <w:tc>
          <w:tcPr>
            <w:tcW w:w="2515"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三不管屯水井</w:t>
            </w:r>
          </w:p>
        </w:tc>
        <w:tc>
          <w:tcPr>
            <w:tcW w:w="307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124.884693595,45.939064351</w:t>
            </w:r>
          </w:p>
        </w:tc>
        <w:tc>
          <w:tcPr>
            <w:tcW w:w="189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4"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w:t>
            </w:r>
          </w:p>
        </w:tc>
        <w:tc>
          <w:tcPr>
            <w:tcW w:w="2515"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平等村水井</w:t>
            </w:r>
          </w:p>
        </w:tc>
        <w:tc>
          <w:tcPr>
            <w:tcW w:w="307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124.946515652,45.897478457</w:t>
            </w:r>
          </w:p>
        </w:tc>
        <w:tc>
          <w:tcPr>
            <w:tcW w:w="189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124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4"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w:t>
            </w:r>
          </w:p>
        </w:tc>
        <w:tc>
          <w:tcPr>
            <w:tcW w:w="2515"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邹红波水井</w:t>
            </w:r>
          </w:p>
        </w:tc>
        <w:tc>
          <w:tcPr>
            <w:tcW w:w="307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124.890757936,45.964751573</w:t>
            </w:r>
          </w:p>
        </w:tc>
        <w:tc>
          <w:tcPr>
            <w:tcW w:w="189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114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4"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w:t>
            </w:r>
          </w:p>
        </w:tc>
        <w:tc>
          <w:tcPr>
            <w:tcW w:w="2515"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公民村水井</w:t>
            </w:r>
          </w:p>
        </w:tc>
        <w:tc>
          <w:tcPr>
            <w:tcW w:w="307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124.840772243,45.941831465</w:t>
            </w:r>
          </w:p>
        </w:tc>
        <w:tc>
          <w:tcPr>
            <w:tcW w:w="189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4"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w:t>
            </w:r>
          </w:p>
        </w:tc>
        <w:tc>
          <w:tcPr>
            <w:tcW w:w="2515"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营林屯水井</w:t>
            </w:r>
          </w:p>
        </w:tc>
        <w:tc>
          <w:tcPr>
            <w:tcW w:w="307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124.936605069,45.933791128</w:t>
            </w:r>
          </w:p>
        </w:tc>
        <w:tc>
          <w:tcPr>
            <w:tcW w:w="189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34"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w:t>
            </w:r>
          </w:p>
        </w:tc>
        <w:tc>
          <w:tcPr>
            <w:tcW w:w="2515"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红旗村水井</w:t>
            </w:r>
          </w:p>
        </w:tc>
        <w:tc>
          <w:tcPr>
            <w:tcW w:w="307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124.922193380,45.880312319</w:t>
            </w:r>
          </w:p>
        </w:tc>
        <w:tc>
          <w:tcPr>
            <w:tcW w:w="189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122</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②监测因子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K+、Na+、Ca2+、Mg2+、CO32-、HCO3-、Cl-、SO42-、pH、氨氮、硝酸盐、亚硝酸盐、挥发性酚类、氰化物、砷、汞、铬（六价）、总硬度、铅、氟、镉、铁、锰、溶解性总固体、耗氧量、硫酸盐、氯化物、总大肠菌群、菌落总数、石油类、硫化物。</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③监测时间和频率</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2022年</w:t>
      </w:r>
      <w:r>
        <w:rPr>
          <w:rFonts w:hint="eastAsia" w:ascii="Times New Roman" w:hAnsi="Times New Roman" w:eastAsia="宋体" w:cs="Times New Roman"/>
          <w:caps w:val="0"/>
          <w:smallCaps w:val="0"/>
          <w:color w:val="auto"/>
          <w:spacing w:val="0"/>
          <w:w w:val="100"/>
          <w:kern w:val="0"/>
          <w:sz w:val="24"/>
          <w:szCs w:val="24"/>
          <w:highlight w:val="none"/>
          <w:lang w:val="en-US" w:eastAsia="zh-CN"/>
        </w:rPr>
        <w:t>11</w:t>
      </w:r>
      <w:r>
        <w:rPr>
          <w:rFonts w:hint="default" w:ascii="Times New Roman" w:hAnsi="Times New Roman" w:eastAsia="宋体" w:cs="Times New Roman"/>
          <w:caps w:val="0"/>
          <w:smallCaps w:val="0"/>
          <w:color w:val="auto"/>
          <w:spacing w:val="0"/>
          <w:w w:val="100"/>
          <w:kern w:val="0"/>
          <w:sz w:val="24"/>
          <w:szCs w:val="24"/>
          <w:highlight w:val="none"/>
          <w:lang w:val="en-US" w:eastAsia="zh-CN"/>
        </w:rPr>
        <w:t>月</w:t>
      </w:r>
      <w:r>
        <w:rPr>
          <w:rFonts w:hint="eastAsia" w:ascii="Times New Roman" w:hAnsi="Times New Roman" w:eastAsia="宋体" w:cs="Times New Roman"/>
          <w:caps w:val="0"/>
          <w:smallCaps w:val="0"/>
          <w:color w:val="auto"/>
          <w:spacing w:val="0"/>
          <w:w w:val="100"/>
          <w:kern w:val="0"/>
          <w:sz w:val="24"/>
          <w:szCs w:val="24"/>
          <w:highlight w:val="none"/>
          <w:lang w:val="en-US" w:eastAsia="zh-CN"/>
        </w:rPr>
        <w:t>12</w:t>
      </w:r>
      <w:r>
        <w:rPr>
          <w:rFonts w:hint="default" w:ascii="Times New Roman" w:hAnsi="Times New Roman" w:eastAsia="宋体" w:cs="Times New Roman"/>
          <w:caps w:val="0"/>
          <w:smallCaps w:val="0"/>
          <w:color w:val="auto"/>
          <w:spacing w:val="0"/>
          <w:w w:val="100"/>
          <w:kern w:val="0"/>
          <w:sz w:val="24"/>
          <w:szCs w:val="24"/>
          <w:highlight w:val="none"/>
          <w:lang w:val="en-US" w:eastAsia="zh-CN"/>
        </w:rPr>
        <w:t>日进行监测，每天1次。</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④监测结果</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地下水监测结果见</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下表</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rPr>
          <w:rFonts w:hint="default"/>
          <w:color w:val="auto"/>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default"/>
          <w:color w:val="auto"/>
          <w:highlight w:val="none"/>
          <w:lang w:val="en-US" w:eastAsia="zh-CN"/>
        </w:rPr>
        <w:br w:type="page"/>
      </w:r>
    </w:p>
    <w:p>
      <w:pPr>
        <w:widowControl/>
        <w:spacing w:line="360" w:lineRule="auto"/>
        <w:jc w:val="center"/>
        <w:rPr>
          <w:rFonts w:ascii="Times New Roman" w:hAnsi="Times New Roman" w:eastAsia="宋体" w:cs="Times New Roman"/>
          <w:b/>
          <w:bCs/>
          <w:smallCaps w:val="0"/>
          <w:color w:val="auto"/>
          <w:spacing w:val="0"/>
          <w:w w:val="100"/>
          <w:kern w:val="0"/>
          <w:sz w:val="24"/>
          <w:highlight w:val="none"/>
          <w:lang w:bidi="ar"/>
        </w:rPr>
      </w:pPr>
      <w:r>
        <w:rPr>
          <w:rFonts w:hint="eastAsia" w:ascii="Times New Roman" w:hAnsi="Times New Roman" w:eastAsia="宋体" w:cs="Times New Roman"/>
          <w:b/>
          <w:bCs/>
          <w:smallCaps w:val="0"/>
          <w:color w:val="auto"/>
          <w:spacing w:val="0"/>
          <w:w w:val="100"/>
          <w:kern w:val="0"/>
          <w:sz w:val="24"/>
          <w:highlight w:val="none"/>
          <w:lang w:bidi="ar"/>
        </w:rPr>
        <w:t>表</w:t>
      </w:r>
      <w:r>
        <w:rPr>
          <w:rFonts w:ascii="Times New Roman" w:hAnsi="Times New Roman" w:eastAsia="宋体" w:cs="Times New Roman"/>
          <w:b/>
          <w:bCs/>
          <w:smallCaps w:val="0"/>
          <w:color w:val="auto"/>
          <w:spacing w:val="0"/>
          <w:w w:val="100"/>
          <w:kern w:val="0"/>
          <w:sz w:val="24"/>
          <w:highlight w:val="none"/>
          <w:lang w:bidi="ar"/>
        </w:rPr>
        <w:t>4.</w:t>
      </w:r>
      <w:r>
        <w:rPr>
          <w:rFonts w:hint="eastAsia" w:ascii="Times New Roman" w:hAnsi="Times New Roman" w:eastAsia="宋体" w:cs="Times New Roman"/>
          <w:b/>
          <w:bCs/>
          <w:smallCaps w:val="0"/>
          <w:color w:val="auto"/>
          <w:spacing w:val="0"/>
          <w:w w:val="100"/>
          <w:kern w:val="0"/>
          <w:sz w:val="24"/>
          <w:highlight w:val="none"/>
          <w:lang w:bidi="ar"/>
        </w:rPr>
        <w:t>2</w:t>
      </w:r>
      <w:r>
        <w:rPr>
          <w:rFonts w:ascii="Times New Roman" w:hAnsi="Times New Roman" w:eastAsia="宋体" w:cs="Times New Roman"/>
          <w:b/>
          <w:bCs/>
          <w:smallCaps w:val="0"/>
          <w:color w:val="auto"/>
          <w:spacing w:val="0"/>
          <w:w w:val="100"/>
          <w:kern w:val="0"/>
          <w:sz w:val="24"/>
          <w:highlight w:val="none"/>
          <w:lang w:bidi="ar"/>
        </w:rPr>
        <w:t>-</w:t>
      </w:r>
      <w:r>
        <w:rPr>
          <w:rFonts w:hint="eastAsia" w:ascii="Times New Roman" w:hAnsi="Times New Roman" w:eastAsia="宋体" w:cs="Times New Roman"/>
          <w:b/>
          <w:bCs/>
          <w:smallCaps w:val="0"/>
          <w:color w:val="auto"/>
          <w:spacing w:val="0"/>
          <w:w w:val="100"/>
          <w:kern w:val="0"/>
          <w:sz w:val="24"/>
          <w:highlight w:val="none"/>
          <w:lang w:val="en-US" w:eastAsia="zh-CN" w:bidi="ar"/>
        </w:rPr>
        <w:t>13</w:t>
      </w:r>
      <w:r>
        <w:rPr>
          <w:rFonts w:hint="eastAsia" w:ascii="Times New Roman" w:hAnsi="Times New Roman" w:eastAsia="宋体" w:cs="Times New Roman"/>
          <w:b/>
          <w:bCs/>
          <w:smallCaps w:val="0"/>
          <w:color w:val="auto"/>
          <w:spacing w:val="0"/>
          <w:w w:val="100"/>
          <w:kern w:val="0"/>
          <w:sz w:val="24"/>
          <w:highlight w:val="none"/>
          <w:lang w:bidi="ar"/>
        </w:rPr>
        <w:t>地下水现状监测统计结果</w:t>
      </w:r>
    </w:p>
    <w:tbl>
      <w:tblPr>
        <w:tblStyle w:val="13"/>
        <w:tblW w:w="499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82"/>
        <w:gridCol w:w="1153"/>
        <w:gridCol w:w="860"/>
        <w:gridCol w:w="914"/>
        <w:gridCol w:w="1275"/>
        <w:gridCol w:w="1275"/>
        <w:gridCol w:w="1275"/>
        <w:gridCol w:w="127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序号</w:t>
            </w:r>
          </w:p>
        </w:tc>
        <w:tc>
          <w:tcPr>
            <w:tcW w:w="677"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监测项目</w:t>
            </w:r>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单位</w:t>
            </w:r>
          </w:p>
        </w:tc>
        <w:tc>
          <w:tcPr>
            <w:tcW w:w="537"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标准值</w:t>
            </w:r>
          </w:p>
        </w:tc>
        <w:tc>
          <w:tcPr>
            <w:tcW w:w="212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梁家店水井</w:t>
            </w:r>
          </w:p>
        </w:tc>
        <w:tc>
          <w:tcPr>
            <w:tcW w:w="212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娄家岗子水井</w:t>
            </w:r>
          </w:p>
        </w:tc>
        <w:tc>
          <w:tcPr>
            <w:tcW w:w="212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三不管屯水井</w:t>
            </w:r>
          </w:p>
        </w:tc>
        <w:tc>
          <w:tcPr>
            <w:tcW w:w="212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平等村水井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67" w:hRule="atLeast"/>
        </w:trPr>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24" w:name="_Toc10033"/>
            <w:bookmarkStart w:id="325" w:name="_Toc26394"/>
            <w:r>
              <w:rPr>
                <w:rFonts w:hint="eastAsia" w:ascii="Times New Roman" w:hAnsi="Times New Roman" w:cs="Times New Roman"/>
                <w:color w:val="auto"/>
                <w:sz w:val="21"/>
                <w:szCs w:val="21"/>
                <w:highlight w:val="none"/>
                <w:lang w:val="en-US" w:eastAsia="zh-CN"/>
              </w:rPr>
              <w:t>K</w:t>
            </w:r>
            <w:r>
              <w:rPr>
                <w:rFonts w:hint="eastAsia" w:ascii="Times New Roman" w:hAnsi="Times New Roman" w:cs="Times New Roman"/>
                <w:color w:val="auto"/>
                <w:sz w:val="21"/>
                <w:szCs w:val="21"/>
                <w:highlight w:val="none"/>
                <w:vertAlign w:val="superscript"/>
                <w:lang w:val="en-US" w:eastAsia="zh-CN"/>
              </w:rPr>
              <w:t>+</w:t>
            </w:r>
            <w:bookmarkEnd w:id="324"/>
            <w:bookmarkEnd w:id="325"/>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26" w:name="_Toc1842"/>
            <w:bookmarkStart w:id="327" w:name="_Toc23821"/>
            <w:r>
              <w:rPr>
                <w:rFonts w:hint="eastAsia" w:ascii="仿宋" w:hAnsi="仿宋" w:eastAsia="仿宋" w:cs="仿宋"/>
                <w:color w:val="auto"/>
                <w:sz w:val="21"/>
                <w:szCs w:val="21"/>
                <w:highlight w:val="none"/>
                <w:lang w:val="en-US" w:eastAsia="zh-CN"/>
              </w:rPr>
              <w:t>/</w:t>
            </w:r>
            <w:bookmarkEnd w:id="326"/>
            <w:bookmarkEnd w:id="327"/>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28" w:name="_Toc24976"/>
            <w:bookmarkStart w:id="329" w:name="_Toc10435"/>
            <w:r>
              <w:rPr>
                <w:rFonts w:hint="eastAsia" w:ascii="Times New Roman" w:hAnsi="Times New Roman" w:cs="Times New Roman"/>
                <w:color w:val="auto"/>
                <w:sz w:val="21"/>
                <w:szCs w:val="21"/>
                <w:highlight w:val="none"/>
                <w:lang w:val="en-US" w:eastAsia="zh-CN"/>
              </w:rPr>
              <w:t>4.36</w:t>
            </w:r>
            <w:bookmarkEnd w:id="328"/>
            <w:bookmarkEnd w:id="329"/>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30" w:name="_Toc21442"/>
            <w:bookmarkStart w:id="331" w:name="_Toc1786"/>
            <w:r>
              <w:rPr>
                <w:rFonts w:hint="eastAsia" w:ascii="Times New Roman" w:hAnsi="Times New Roman" w:cs="Times New Roman"/>
                <w:color w:val="auto"/>
                <w:kern w:val="2"/>
                <w:sz w:val="21"/>
                <w:szCs w:val="21"/>
                <w:highlight w:val="none"/>
                <w:lang w:val="en-US" w:eastAsia="zh-CN" w:bidi="ar-SA"/>
              </w:rPr>
              <w:t>4.47</w:t>
            </w:r>
            <w:bookmarkEnd w:id="330"/>
            <w:bookmarkEnd w:id="331"/>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32" w:name="_Toc26618"/>
            <w:bookmarkStart w:id="333" w:name="_Toc21455"/>
            <w:r>
              <w:rPr>
                <w:rFonts w:hint="eastAsia" w:ascii="Times New Roman" w:hAnsi="Times New Roman" w:eastAsia="宋体" w:cs="Times New Roman"/>
                <w:color w:val="auto"/>
                <w:sz w:val="21"/>
                <w:szCs w:val="21"/>
                <w:highlight w:val="none"/>
                <w:lang w:val="en-US" w:eastAsia="zh-CN"/>
              </w:rPr>
              <w:t>3.92</w:t>
            </w:r>
            <w:bookmarkEnd w:id="332"/>
            <w:bookmarkEnd w:id="333"/>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34" w:name="_Toc17345"/>
            <w:bookmarkStart w:id="335" w:name="_Toc28820"/>
            <w:r>
              <w:rPr>
                <w:rFonts w:hint="eastAsia" w:ascii="Times New Roman" w:hAnsi="Times New Roman" w:cs="Times New Roman"/>
                <w:color w:val="auto"/>
                <w:kern w:val="2"/>
                <w:sz w:val="21"/>
                <w:szCs w:val="21"/>
                <w:highlight w:val="none"/>
                <w:lang w:val="en-US" w:eastAsia="zh-CN" w:bidi="ar-SA"/>
              </w:rPr>
              <w:t>3.64</w:t>
            </w:r>
            <w:bookmarkEnd w:id="334"/>
            <w:bookmarkEnd w:id="335"/>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36" w:name="_Toc19419"/>
            <w:bookmarkStart w:id="337" w:name="_Toc7657"/>
            <w:r>
              <w:rPr>
                <w:rFonts w:hint="eastAsia" w:ascii="Times New Roman" w:hAnsi="Times New Roman" w:cs="Times New Roman"/>
                <w:color w:val="auto"/>
                <w:sz w:val="21"/>
                <w:szCs w:val="21"/>
                <w:highlight w:val="none"/>
                <w:lang w:val="en-US" w:eastAsia="zh-CN"/>
              </w:rPr>
              <w:t>Na</w:t>
            </w:r>
            <w:r>
              <w:rPr>
                <w:rFonts w:hint="eastAsia" w:ascii="Times New Roman" w:hAnsi="Times New Roman" w:cs="Times New Roman"/>
                <w:color w:val="auto"/>
                <w:sz w:val="21"/>
                <w:szCs w:val="21"/>
                <w:highlight w:val="none"/>
                <w:vertAlign w:val="superscript"/>
                <w:lang w:val="en-US" w:eastAsia="zh-CN"/>
              </w:rPr>
              <w:t>+</w:t>
            </w:r>
            <w:bookmarkEnd w:id="336"/>
            <w:bookmarkEnd w:id="337"/>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38" w:name="_Toc5355"/>
            <w:bookmarkStart w:id="339" w:name="_Toc8882"/>
            <w:r>
              <w:rPr>
                <w:rFonts w:hint="eastAsia" w:ascii="仿宋" w:hAnsi="仿宋" w:eastAsia="仿宋" w:cs="仿宋"/>
                <w:color w:val="auto"/>
                <w:sz w:val="21"/>
                <w:szCs w:val="21"/>
                <w:highlight w:val="none"/>
              </w:rPr>
              <w:t>≤</w:t>
            </w:r>
            <w:r>
              <w:rPr>
                <w:rFonts w:hint="default" w:ascii="Times New Roman" w:hAnsi="Times New Roman" w:cs="Times New Roman"/>
                <w:color w:val="auto"/>
                <w:sz w:val="21"/>
                <w:szCs w:val="21"/>
                <w:highlight w:val="none"/>
              </w:rPr>
              <w:t>2</w:t>
            </w:r>
            <w:r>
              <w:rPr>
                <w:rFonts w:hint="eastAsia" w:ascii="Times New Roman" w:hAnsi="Times New Roman" w:cs="Times New Roman"/>
                <w:color w:val="auto"/>
                <w:sz w:val="21"/>
                <w:szCs w:val="21"/>
                <w:highlight w:val="none"/>
                <w:lang w:val="en-US" w:eastAsia="zh-CN"/>
              </w:rPr>
              <w:t>00</w:t>
            </w:r>
            <w:bookmarkEnd w:id="338"/>
            <w:bookmarkEnd w:id="339"/>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40" w:name="_Toc17551"/>
            <w:bookmarkStart w:id="341" w:name="_Toc26345"/>
            <w:r>
              <w:rPr>
                <w:rFonts w:hint="eastAsia" w:ascii="Times New Roman" w:hAnsi="Times New Roman" w:cs="Times New Roman"/>
                <w:color w:val="auto"/>
                <w:sz w:val="21"/>
                <w:szCs w:val="21"/>
                <w:highlight w:val="none"/>
                <w:lang w:val="en-US" w:eastAsia="zh-CN"/>
              </w:rPr>
              <w:t>93.4</w:t>
            </w:r>
            <w:bookmarkEnd w:id="340"/>
            <w:bookmarkEnd w:id="341"/>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42" w:name="_Toc18522"/>
            <w:bookmarkStart w:id="343" w:name="_Toc30650"/>
            <w:r>
              <w:rPr>
                <w:rFonts w:hint="eastAsia" w:ascii="Times New Roman" w:hAnsi="Times New Roman" w:cs="Times New Roman"/>
                <w:color w:val="auto"/>
                <w:kern w:val="2"/>
                <w:sz w:val="21"/>
                <w:szCs w:val="21"/>
                <w:highlight w:val="none"/>
                <w:lang w:val="en-US" w:eastAsia="zh-CN" w:bidi="ar-SA"/>
              </w:rPr>
              <w:t>94.5</w:t>
            </w:r>
            <w:bookmarkEnd w:id="342"/>
            <w:bookmarkEnd w:id="343"/>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44" w:name="_Toc11078"/>
            <w:bookmarkStart w:id="345" w:name="_Toc27991"/>
            <w:r>
              <w:rPr>
                <w:rFonts w:hint="eastAsia" w:ascii="Times New Roman" w:hAnsi="Times New Roman" w:eastAsia="宋体" w:cs="Times New Roman"/>
                <w:color w:val="auto"/>
                <w:sz w:val="21"/>
                <w:szCs w:val="21"/>
                <w:highlight w:val="none"/>
                <w:lang w:val="en-US" w:eastAsia="zh-CN"/>
              </w:rPr>
              <w:t>88.3</w:t>
            </w:r>
            <w:bookmarkEnd w:id="344"/>
            <w:bookmarkEnd w:id="345"/>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46" w:name="_Toc1103"/>
            <w:bookmarkStart w:id="347" w:name="_Toc4865"/>
            <w:r>
              <w:rPr>
                <w:rFonts w:hint="eastAsia" w:ascii="Times New Roman" w:hAnsi="Times New Roman" w:cs="Times New Roman"/>
                <w:color w:val="auto"/>
                <w:kern w:val="2"/>
                <w:sz w:val="21"/>
                <w:szCs w:val="21"/>
                <w:highlight w:val="none"/>
                <w:lang w:val="en-US" w:eastAsia="zh-CN" w:bidi="ar-SA"/>
              </w:rPr>
              <w:t>85.7</w:t>
            </w:r>
            <w:bookmarkEnd w:id="346"/>
            <w:bookmarkEnd w:id="347"/>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3</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48" w:name="_Toc19899"/>
            <w:bookmarkStart w:id="349" w:name="_Toc21107"/>
            <w:r>
              <w:rPr>
                <w:rFonts w:hint="default" w:ascii="Times New Roman" w:hAnsi="Times New Roman" w:eastAsia="宋体" w:cs="Times New Roman"/>
                <w:bCs/>
                <w:color w:val="auto"/>
                <w:kern w:val="2"/>
                <w:sz w:val="21"/>
                <w:szCs w:val="21"/>
                <w:highlight w:val="none"/>
                <w:lang w:val="en-US" w:eastAsia="zh-CN" w:bidi="ar-SA"/>
              </w:rPr>
              <w:t>Ca</w:t>
            </w:r>
            <w:r>
              <w:rPr>
                <w:rFonts w:hint="default" w:ascii="Times New Roman" w:hAnsi="Times New Roman" w:eastAsia="宋体" w:cs="Times New Roman"/>
                <w:bCs/>
                <w:color w:val="auto"/>
                <w:kern w:val="2"/>
                <w:sz w:val="21"/>
                <w:szCs w:val="21"/>
                <w:highlight w:val="none"/>
                <w:vertAlign w:val="superscript"/>
                <w:lang w:val="en-US" w:eastAsia="zh-CN" w:bidi="ar-SA"/>
              </w:rPr>
              <w:t>2+</w:t>
            </w:r>
            <w:bookmarkEnd w:id="348"/>
            <w:bookmarkEnd w:id="349"/>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50" w:name="_Toc9747"/>
            <w:bookmarkStart w:id="351" w:name="_Toc30464"/>
            <w:r>
              <w:rPr>
                <w:rFonts w:hint="eastAsia" w:ascii="仿宋" w:hAnsi="仿宋" w:eastAsia="仿宋" w:cs="仿宋"/>
                <w:color w:val="auto"/>
                <w:sz w:val="21"/>
                <w:szCs w:val="21"/>
                <w:highlight w:val="none"/>
                <w:lang w:val="en-US" w:eastAsia="zh-CN"/>
              </w:rPr>
              <w:t>/</w:t>
            </w:r>
            <w:bookmarkEnd w:id="350"/>
            <w:bookmarkEnd w:id="351"/>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52" w:name="_Toc10408"/>
            <w:bookmarkStart w:id="353" w:name="_Toc17442"/>
            <w:r>
              <w:rPr>
                <w:rFonts w:hint="eastAsia" w:ascii="Times New Roman" w:hAnsi="Times New Roman" w:cs="Times New Roman"/>
                <w:color w:val="auto"/>
                <w:sz w:val="21"/>
                <w:szCs w:val="21"/>
                <w:highlight w:val="none"/>
                <w:lang w:val="en-US" w:eastAsia="zh-CN"/>
              </w:rPr>
              <w:t>47.3</w:t>
            </w:r>
            <w:bookmarkEnd w:id="352"/>
            <w:bookmarkEnd w:id="353"/>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54" w:name="_Toc16833"/>
            <w:bookmarkStart w:id="355" w:name="_Toc16909"/>
            <w:r>
              <w:rPr>
                <w:rFonts w:hint="eastAsia" w:ascii="Times New Roman" w:hAnsi="Times New Roman" w:cs="Times New Roman"/>
                <w:color w:val="auto"/>
                <w:kern w:val="2"/>
                <w:sz w:val="21"/>
                <w:szCs w:val="21"/>
                <w:highlight w:val="none"/>
                <w:lang w:val="en-US" w:eastAsia="zh-CN" w:bidi="ar-SA"/>
              </w:rPr>
              <w:t>50.1</w:t>
            </w:r>
            <w:bookmarkEnd w:id="354"/>
            <w:bookmarkEnd w:id="355"/>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56" w:name="_Toc2267"/>
            <w:bookmarkStart w:id="357" w:name="_Toc5957"/>
            <w:r>
              <w:rPr>
                <w:rFonts w:hint="eastAsia" w:ascii="Times New Roman" w:hAnsi="Times New Roman" w:eastAsia="宋体" w:cs="Times New Roman"/>
                <w:color w:val="auto"/>
                <w:sz w:val="21"/>
                <w:szCs w:val="21"/>
                <w:highlight w:val="none"/>
                <w:lang w:val="en-US" w:eastAsia="zh-CN"/>
              </w:rPr>
              <w:t>44.4</w:t>
            </w:r>
            <w:bookmarkEnd w:id="356"/>
            <w:bookmarkEnd w:id="357"/>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58" w:name="_Toc23945"/>
            <w:bookmarkStart w:id="359" w:name="_Toc28136"/>
            <w:r>
              <w:rPr>
                <w:rFonts w:hint="eastAsia" w:ascii="Times New Roman" w:hAnsi="Times New Roman" w:cs="Times New Roman"/>
                <w:color w:val="auto"/>
                <w:kern w:val="2"/>
                <w:sz w:val="21"/>
                <w:szCs w:val="21"/>
                <w:highlight w:val="none"/>
                <w:lang w:val="en-US" w:eastAsia="zh-CN" w:bidi="ar-SA"/>
              </w:rPr>
              <w:t>42.6</w:t>
            </w:r>
            <w:bookmarkEnd w:id="358"/>
            <w:bookmarkEnd w:id="359"/>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4</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60" w:name="_Toc32251"/>
            <w:bookmarkStart w:id="361" w:name="_Toc23950"/>
            <w:r>
              <w:rPr>
                <w:rFonts w:hint="eastAsia" w:ascii="Times New Roman" w:hAnsi="Times New Roman" w:cs="Times New Roman"/>
                <w:color w:val="auto"/>
                <w:sz w:val="21"/>
                <w:szCs w:val="21"/>
                <w:highlight w:val="none"/>
                <w:lang w:val="en-US" w:eastAsia="zh-CN"/>
              </w:rPr>
              <w:t>Mg</w:t>
            </w:r>
            <w:r>
              <w:rPr>
                <w:rFonts w:hint="eastAsia" w:ascii="Times New Roman" w:hAnsi="Times New Roman" w:cs="Times New Roman"/>
                <w:color w:val="auto"/>
                <w:sz w:val="21"/>
                <w:szCs w:val="21"/>
                <w:highlight w:val="none"/>
                <w:vertAlign w:val="superscript"/>
                <w:lang w:val="en-US" w:eastAsia="zh-CN"/>
              </w:rPr>
              <w:t>2+</w:t>
            </w:r>
            <w:bookmarkEnd w:id="360"/>
            <w:bookmarkEnd w:id="361"/>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62" w:name="_Toc11236"/>
            <w:bookmarkStart w:id="363" w:name="_Toc4252"/>
            <w:r>
              <w:rPr>
                <w:rFonts w:hint="eastAsia" w:ascii="仿宋" w:hAnsi="仿宋" w:eastAsia="仿宋" w:cs="仿宋"/>
                <w:color w:val="auto"/>
                <w:sz w:val="21"/>
                <w:szCs w:val="21"/>
                <w:highlight w:val="none"/>
                <w:lang w:val="en-US" w:eastAsia="zh-CN"/>
              </w:rPr>
              <w:t>/</w:t>
            </w:r>
            <w:bookmarkEnd w:id="362"/>
            <w:bookmarkEnd w:id="363"/>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64" w:name="_Toc29786"/>
            <w:bookmarkStart w:id="365" w:name="_Toc7006"/>
            <w:r>
              <w:rPr>
                <w:rFonts w:hint="eastAsia" w:ascii="Times New Roman" w:hAnsi="Times New Roman" w:cs="Times New Roman"/>
                <w:color w:val="auto"/>
                <w:sz w:val="21"/>
                <w:szCs w:val="21"/>
                <w:highlight w:val="none"/>
                <w:lang w:val="en-US" w:eastAsia="zh-CN"/>
              </w:rPr>
              <w:t>29.6</w:t>
            </w:r>
            <w:bookmarkEnd w:id="364"/>
            <w:bookmarkEnd w:id="365"/>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66" w:name="_Toc25746"/>
            <w:bookmarkStart w:id="367" w:name="_Toc20871"/>
            <w:r>
              <w:rPr>
                <w:rFonts w:hint="eastAsia" w:ascii="Times New Roman" w:hAnsi="Times New Roman" w:cs="Times New Roman"/>
                <w:color w:val="auto"/>
                <w:kern w:val="2"/>
                <w:sz w:val="21"/>
                <w:szCs w:val="21"/>
                <w:highlight w:val="none"/>
                <w:lang w:val="en-US" w:eastAsia="zh-CN" w:bidi="ar-SA"/>
              </w:rPr>
              <w:t>27.4</w:t>
            </w:r>
            <w:bookmarkEnd w:id="366"/>
            <w:bookmarkEnd w:id="367"/>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68" w:name="_Toc13969"/>
            <w:bookmarkStart w:id="369" w:name="_Toc9518"/>
            <w:r>
              <w:rPr>
                <w:rFonts w:hint="eastAsia" w:ascii="Times New Roman" w:hAnsi="Times New Roman" w:eastAsia="宋体" w:cs="Times New Roman"/>
                <w:color w:val="auto"/>
                <w:sz w:val="21"/>
                <w:szCs w:val="21"/>
                <w:highlight w:val="none"/>
                <w:lang w:val="en-US" w:eastAsia="zh-CN"/>
              </w:rPr>
              <w:t>25.7</w:t>
            </w:r>
            <w:bookmarkEnd w:id="368"/>
            <w:bookmarkEnd w:id="369"/>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70" w:name="_Toc6741"/>
            <w:bookmarkStart w:id="371" w:name="_Toc7046"/>
            <w:r>
              <w:rPr>
                <w:rFonts w:hint="eastAsia" w:ascii="Times New Roman" w:hAnsi="Times New Roman" w:cs="Times New Roman"/>
                <w:color w:val="auto"/>
                <w:kern w:val="2"/>
                <w:sz w:val="21"/>
                <w:szCs w:val="21"/>
                <w:highlight w:val="none"/>
                <w:lang w:val="en-US" w:eastAsia="zh-CN" w:bidi="ar-SA"/>
              </w:rPr>
              <w:t>24.5</w:t>
            </w:r>
            <w:bookmarkEnd w:id="370"/>
            <w:bookmarkEnd w:id="371"/>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5</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72" w:name="_Toc23730"/>
            <w:bookmarkStart w:id="373" w:name="_Toc10631"/>
            <w:r>
              <w:rPr>
                <w:rFonts w:hint="default" w:ascii="Times New Roman" w:hAnsi="Times New Roman" w:eastAsia="宋体" w:cs="Times New Roman"/>
                <w:bCs/>
                <w:color w:val="auto"/>
                <w:kern w:val="2"/>
                <w:sz w:val="21"/>
                <w:szCs w:val="21"/>
                <w:highlight w:val="none"/>
                <w:lang w:val="en-US" w:eastAsia="zh-CN" w:bidi="ar-SA"/>
              </w:rPr>
              <w:t>CO</w:t>
            </w:r>
            <w:r>
              <w:rPr>
                <w:rFonts w:hint="default" w:ascii="Times New Roman" w:hAnsi="Times New Roman" w:eastAsia="宋体" w:cs="Times New Roman"/>
                <w:bCs/>
                <w:color w:val="auto"/>
                <w:kern w:val="2"/>
                <w:sz w:val="21"/>
                <w:szCs w:val="21"/>
                <w:highlight w:val="none"/>
                <w:vertAlign w:val="subscript"/>
                <w:lang w:val="en-US" w:eastAsia="zh-CN" w:bidi="ar-SA"/>
              </w:rPr>
              <w:t>3</w:t>
            </w:r>
            <w:r>
              <w:rPr>
                <w:rFonts w:hint="default" w:ascii="Times New Roman" w:hAnsi="Times New Roman" w:eastAsia="宋体" w:cs="Times New Roman"/>
                <w:bCs/>
                <w:color w:val="auto"/>
                <w:kern w:val="2"/>
                <w:sz w:val="21"/>
                <w:szCs w:val="21"/>
                <w:highlight w:val="none"/>
                <w:vertAlign w:val="superscript"/>
                <w:lang w:val="en-US" w:eastAsia="zh-CN" w:bidi="ar-SA"/>
              </w:rPr>
              <w:t>2-</w:t>
            </w:r>
            <w:bookmarkEnd w:id="372"/>
            <w:bookmarkEnd w:id="373"/>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74" w:name="_Toc7117"/>
            <w:bookmarkStart w:id="375" w:name="_Toc7574"/>
            <w:r>
              <w:rPr>
                <w:rFonts w:hint="eastAsia" w:ascii="仿宋" w:hAnsi="仿宋" w:eastAsia="仿宋" w:cs="仿宋"/>
                <w:color w:val="auto"/>
                <w:sz w:val="21"/>
                <w:szCs w:val="21"/>
                <w:highlight w:val="none"/>
                <w:lang w:val="en-US" w:eastAsia="zh-CN"/>
              </w:rPr>
              <w:t>/</w:t>
            </w:r>
            <w:bookmarkEnd w:id="374"/>
            <w:bookmarkEnd w:id="375"/>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76" w:name="_Toc7765"/>
            <w:bookmarkStart w:id="377" w:name="_Toc21414"/>
            <w:r>
              <w:rPr>
                <w:rFonts w:hint="default" w:ascii="Times New Roman" w:hAnsi="Times New Roman" w:cs="Times New Roman"/>
                <w:color w:val="auto"/>
                <w:sz w:val="21"/>
                <w:szCs w:val="21"/>
                <w:highlight w:val="none"/>
                <w:lang w:val="en-US" w:eastAsia="zh-CN"/>
              </w:rPr>
              <w:t>0</w:t>
            </w:r>
            <w:bookmarkEnd w:id="376"/>
            <w:bookmarkEnd w:id="377"/>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78" w:name="_Toc8158"/>
            <w:bookmarkStart w:id="379" w:name="_Toc30059"/>
            <w:r>
              <w:rPr>
                <w:rFonts w:hint="default" w:ascii="Times New Roman" w:hAnsi="Times New Roman" w:cs="Times New Roman"/>
                <w:color w:val="auto"/>
                <w:sz w:val="21"/>
                <w:szCs w:val="21"/>
                <w:highlight w:val="none"/>
                <w:lang w:val="en-US" w:eastAsia="zh-CN"/>
              </w:rPr>
              <w:t>0</w:t>
            </w:r>
            <w:bookmarkEnd w:id="378"/>
            <w:bookmarkEnd w:id="379"/>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80" w:name="_Toc26066"/>
            <w:bookmarkStart w:id="381" w:name="_Toc5171"/>
            <w:r>
              <w:rPr>
                <w:rFonts w:hint="eastAsia" w:ascii="Times New Roman" w:hAnsi="Times New Roman" w:eastAsia="宋体" w:cs="Times New Roman"/>
                <w:color w:val="auto"/>
                <w:sz w:val="21"/>
                <w:szCs w:val="21"/>
                <w:highlight w:val="none"/>
                <w:lang w:val="en-US" w:eastAsia="zh-CN"/>
              </w:rPr>
              <w:t>0</w:t>
            </w:r>
            <w:bookmarkEnd w:id="380"/>
            <w:bookmarkEnd w:id="381"/>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82" w:name="_Toc17022"/>
            <w:bookmarkStart w:id="383" w:name="_Toc31687"/>
            <w:r>
              <w:rPr>
                <w:rFonts w:hint="default" w:ascii="Times New Roman" w:hAnsi="Times New Roman" w:cs="Times New Roman"/>
                <w:color w:val="auto"/>
                <w:sz w:val="21"/>
                <w:szCs w:val="21"/>
                <w:highlight w:val="none"/>
                <w:lang w:val="en-US" w:eastAsia="zh-CN"/>
              </w:rPr>
              <w:t>0</w:t>
            </w:r>
            <w:bookmarkEnd w:id="382"/>
            <w:bookmarkEnd w:id="383"/>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6</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84" w:name="_Toc13909"/>
            <w:bookmarkStart w:id="385" w:name="_Toc18612"/>
            <w:r>
              <w:rPr>
                <w:rFonts w:hint="default" w:ascii="Times New Roman" w:hAnsi="Times New Roman" w:eastAsia="宋体" w:cs="Times New Roman"/>
                <w:bCs/>
                <w:color w:val="auto"/>
                <w:kern w:val="2"/>
                <w:sz w:val="21"/>
                <w:szCs w:val="21"/>
                <w:highlight w:val="none"/>
                <w:lang w:val="en-US" w:eastAsia="zh-CN" w:bidi="ar-SA"/>
              </w:rPr>
              <w:t>HCO</w:t>
            </w:r>
            <w:r>
              <w:rPr>
                <w:rFonts w:hint="default" w:ascii="Times New Roman" w:hAnsi="Times New Roman" w:eastAsia="宋体" w:cs="Times New Roman"/>
                <w:bCs/>
                <w:color w:val="auto"/>
                <w:kern w:val="2"/>
                <w:sz w:val="21"/>
                <w:szCs w:val="21"/>
                <w:highlight w:val="none"/>
                <w:vertAlign w:val="subscript"/>
                <w:lang w:val="en-US" w:eastAsia="zh-CN" w:bidi="ar-SA"/>
              </w:rPr>
              <w:t>3</w:t>
            </w:r>
            <w:r>
              <w:rPr>
                <w:rFonts w:hint="default" w:ascii="Times New Roman" w:hAnsi="Times New Roman" w:eastAsia="宋体" w:cs="Times New Roman"/>
                <w:bCs/>
                <w:color w:val="auto"/>
                <w:kern w:val="2"/>
                <w:sz w:val="21"/>
                <w:szCs w:val="21"/>
                <w:highlight w:val="none"/>
                <w:vertAlign w:val="superscript"/>
                <w:lang w:val="en-US" w:eastAsia="zh-CN" w:bidi="ar-SA"/>
              </w:rPr>
              <w:t>-</w:t>
            </w:r>
            <w:bookmarkEnd w:id="384"/>
            <w:bookmarkEnd w:id="385"/>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86" w:name="_Toc15597"/>
            <w:bookmarkStart w:id="387" w:name="_Toc10401"/>
            <w:r>
              <w:rPr>
                <w:rFonts w:hint="eastAsia" w:ascii="仿宋" w:hAnsi="仿宋" w:eastAsia="仿宋" w:cs="仿宋"/>
                <w:color w:val="auto"/>
                <w:sz w:val="21"/>
                <w:szCs w:val="21"/>
                <w:highlight w:val="none"/>
                <w:lang w:val="en-US" w:eastAsia="zh-CN"/>
              </w:rPr>
              <w:t>/</w:t>
            </w:r>
            <w:bookmarkEnd w:id="386"/>
            <w:bookmarkEnd w:id="387"/>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88" w:name="_Toc17346"/>
            <w:bookmarkStart w:id="389" w:name="_Toc32682"/>
            <w:r>
              <w:rPr>
                <w:rFonts w:hint="eastAsia" w:ascii="Times New Roman" w:hAnsi="Times New Roman" w:cs="Times New Roman"/>
                <w:color w:val="auto"/>
                <w:sz w:val="21"/>
                <w:szCs w:val="21"/>
                <w:highlight w:val="none"/>
                <w:lang w:val="en-US" w:eastAsia="zh-CN"/>
              </w:rPr>
              <w:t>441</w:t>
            </w:r>
            <w:bookmarkEnd w:id="388"/>
            <w:bookmarkEnd w:id="389"/>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90" w:name="_Toc23705"/>
            <w:bookmarkStart w:id="391" w:name="_Toc30037"/>
            <w:r>
              <w:rPr>
                <w:rFonts w:hint="eastAsia" w:ascii="Times New Roman" w:hAnsi="Times New Roman" w:cs="Times New Roman"/>
                <w:color w:val="auto"/>
                <w:sz w:val="21"/>
                <w:szCs w:val="21"/>
                <w:highlight w:val="none"/>
                <w:lang w:val="en-US" w:eastAsia="zh-CN"/>
              </w:rPr>
              <w:t>465</w:t>
            </w:r>
            <w:bookmarkEnd w:id="390"/>
            <w:bookmarkEnd w:id="391"/>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92" w:name="_Toc21117"/>
            <w:bookmarkStart w:id="393" w:name="_Toc18034"/>
            <w:r>
              <w:rPr>
                <w:rFonts w:hint="eastAsia" w:ascii="Times New Roman" w:hAnsi="Times New Roman" w:eastAsia="宋体" w:cs="Times New Roman"/>
                <w:color w:val="auto"/>
                <w:sz w:val="21"/>
                <w:szCs w:val="21"/>
                <w:highlight w:val="none"/>
                <w:lang w:val="en-US" w:eastAsia="zh-CN"/>
              </w:rPr>
              <w:t>391</w:t>
            </w:r>
            <w:bookmarkEnd w:id="392"/>
            <w:bookmarkEnd w:id="393"/>
          </w:p>
        </w:tc>
        <w:tc>
          <w:tcPr>
            <w:tcW w:w="2122" w:type="dxa"/>
            <w:tcBorders>
              <w:tl2br w:val="nil"/>
              <w:tr2bl w:val="nil"/>
            </w:tcBorders>
            <w:vAlign w:val="center"/>
          </w:tcPr>
          <w:p>
            <w:pPr>
              <w:keepNext w:val="0"/>
              <w:keepLines w:val="0"/>
              <w:pageBreakBefore w:val="0"/>
              <w:widowControl w:val="0"/>
              <w:tabs>
                <w:tab w:val="center" w:pos="1072"/>
                <w:tab w:val="right" w:pos="1920"/>
              </w:tabs>
              <w:kinsoku/>
              <w:wordWrap/>
              <w:overflowPunct/>
              <w:topLinePunct w:val="0"/>
              <w:autoSpaceDE/>
              <w:autoSpaceDN/>
              <w:bidi w:val="0"/>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94" w:name="_Toc5700"/>
            <w:bookmarkStart w:id="395" w:name="_Toc5488"/>
            <w:r>
              <w:rPr>
                <w:rFonts w:hint="eastAsia" w:ascii="Times New Roman" w:hAnsi="Times New Roman" w:cs="Times New Roman"/>
                <w:color w:val="auto"/>
                <w:sz w:val="21"/>
                <w:szCs w:val="21"/>
                <w:highlight w:val="none"/>
                <w:lang w:val="en-US" w:eastAsia="zh-CN"/>
              </w:rPr>
              <w:t>399</w:t>
            </w:r>
            <w:bookmarkEnd w:id="394"/>
            <w:bookmarkEnd w:id="395"/>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7</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96" w:name="_Toc26249"/>
            <w:bookmarkStart w:id="397" w:name="_Toc5990"/>
            <w:r>
              <w:rPr>
                <w:rFonts w:hint="eastAsia" w:ascii="Times New Roman" w:hAnsi="Times New Roman" w:eastAsia="宋体" w:cs="Times New Roman"/>
                <w:b w:val="0"/>
                <w:bCs/>
                <w:color w:val="auto"/>
                <w:sz w:val="21"/>
                <w:szCs w:val="21"/>
                <w:highlight w:val="none"/>
                <w:lang w:eastAsia="zh-CN"/>
              </w:rPr>
              <w:t>Cl</w:t>
            </w:r>
            <w:r>
              <w:rPr>
                <w:rFonts w:hint="eastAsia" w:ascii="Times New Roman" w:hAnsi="Times New Roman" w:eastAsia="宋体" w:cs="Times New Roman"/>
                <w:b w:val="0"/>
                <w:bCs/>
                <w:color w:val="auto"/>
                <w:sz w:val="21"/>
                <w:szCs w:val="21"/>
                <w:highlight w:val="none"/>
                <w:vertAlign w:val="superscript"/>
                <w:lang w:eastAsia="zh-CN"/>
              </w:rPr>
              <w:t>-</w:t>
            </w:r>
            <w:bookmarkEnd w:id="396"/>
            <w:bookmarkEnd w:id="397"/>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398" w:name="_Toc16157"/>
            <w:bookmarkStart w:id="399" w:name="_Toc25311"/>
            <w:r>
              <w:rPr>
                <w:rFonts w:hint="eastAsia" w:ascii="仿宋" w:hAnsi="仿宋" w:eastAsia="仿宋" w:cs="仿宋"/>
                <w:color w:val="auto"/>
                <w:sz w:val="21"/>
                <w:szCs w:val="21"/>
                <w:highlight w:val="none"/>
              </w:rPr>
              <w:t>≤</w:t>
            </w:r>
            <w:r>
              <w:rPr>
                <w:rFonts w:hint="default" w:ascii="Times New Roman" w:hAnsi="Times New Roman" w:cs="Times New Roman"/>
                <w:color w:val="auto"/>
                <w:sz w:val="21"/>
                <w:szCs w:val="21"/>
                <w:highlight w:val="none"/>
              </w:rPr>
              <w:t>250</w:t>
            </w:r>
            <w:bookmarkEnd w:id="398"/>
            <w:bookmarkEnd w:id="399"/>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400" w:name="_Toc17573"/>
            <w:bookmarkStart w:id="401" w:name="_Toc29141"/>
            <w:r>
              <w:rPr>
                <w:rFonts w:hint="eastAsia" w:ascii="Times New Roman" w:hAnsi="Times New Roman" w:cs="Times New Roman"/>
                <w:color w:val="auto"/>
                <w:sz w:val="21"/>
                <w:szCs w:val="21"/>
                <w:highlight w:val="none"/>
                <w:lang w:val="en-US" w:eastAsia="zh-CN"/>
              </w:rPr>
              <w:t>56.3</w:t>
            </w:r>
            <w:bookmarkEnd w:id="400"/>
            <w:bookmarkEnd w:id="401"/>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402" w:name="_Toc1009"/>
            <w:bookmarkStart w:id="403" w:name="_Toc130"/>
            <w:r>
              <w:rPr>
                <w:rFonts w:hint="eastAsia" w:ascii="Times New Roman" w:hAnsi="Times New Roman" w:cs="Times New Roman"/>
                <w:color w:val="auto"/>
                <w:sz w:val="21"/>
                <w:szCs w:val="21"/>
                <w:highlight w:val="none"/>
                <w:lang w:val="en-US" w:eastAsia="zh-CN"/>
              </w:rPr>
              <w:t>47.4</w:t>
            </w:r>
            <w:bookmarkEnd w:id="402"/>
            <w:bookmarkEnd w:id="403"/>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404" w:name="_Toc7503"/>
            <w:bookmarkStart w:id="405" w:name="_Toc3702"/>
            <w:r>
              <w:rPr>
                <w:rFonts w:hint="eastAsia" w:ascii="Times New Roman" w:hAnsi="Times New Roman" w:eastAsia="宋体" w:cs="Times New Roman"/>
                <w:color w:val="auto"/>
                <w:sz w:val="21"/>
                <w:szCs w:val="21"/>
                <w:highlight w:val="none"/>
                <w:lang w:val="en-US" w:eastAsia="zh-CN"/>
              </w:rPr>
              <w:t>46.6</w:t>
            </w:r>
            <w:bookmarkEnd w:id="404"/>
            <w:bookmarkEnd w:id="405"/>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406" w:name="_Toc13987"/>
            <w:bookmarkStart w:id="407" w:name="_Toc15482"/>
            <w:r>
              <w:rPr>
                <w:rFonts w:hint="eastAsia" w:ascii="Times New Roman" w:hAnsi="Times New Roman" w:cs="Times New Roman"/>
                <w:color w:val="auto"/>
                <w:sz w:val="21"/>
                <w:szCs w:val="21"/>
                <w:highlight w:val="none"/>
                <w:lang w:val="en-US" w:eastAsia="zh-CN"/>
              </w:rPr>
              <w:t>42.7</w:t>
            </w:r>
            <w:bookmarkEnd w:id="406"/>
            <w:bookmarkEnd w:id="407"/>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9</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408" w:name="_Toc14543"/>
            <w:bookmarkStart w:id="409" w:name="_Toc26005"/>
            <w:r>
              <w:rPr>
                <w:rFonts w:hint="eastAsia" w:ascii="Times New Roman" w:hAnsi="Times New Roman" w:eastAsia="宋体" w:cs="Times New Roman"/>
                <w:b w:val="0"/>
                <w:bCs/>
                <w:color w:val="auto"/>
                <w:sz w:val="21"/>
                <w:szCs w:val="21"/>
                <w:highlight w:val="none"/>
                <w:lang w:eastAsia="zh-CN"/>
              </w:rPr>
              <w:t>SO</w:t>
            </w:r>
            <w:r>
              <w:rPr>
                <w:rFonts w:hint="eastAsia" w:ascii="Times New Roman" w:hAnsi="Times New Roman" w:eastAsia="宋体" w:cs="Times New Roman"/>
                <w:b w:val="0"/>
                <w:bCs/>
                <w:color w:val="auto"/>
                <w:sz w:val="21"/>
                <w:szCs w:val="21"/>
                <w:highlight w:val="none"/>
                <w:vertAlign w:val="subscript"/>
                <w:lang w:eastAsia="zh-CN"/>
              </w:rPr>
              <w:t>4</w:t>
            </w:r>
            <w:r>
              <w:rPr>
                <w:rFonts w:hint="eastAsia" w:ascii="Times New Roman" w:hAnsi="Times New Roman" w:eastAsia="宋体" w:cs="Times New Roman"/>
                <w:b w:val="0"/>
                <w:bCs/>
                <w:color w:val="auto"/>
                <w:sz w:val="21"/>
                <w:szCs w:val="21"/>
                <w:highlight w:val="none"/>
                <w:vertAlign w:val="superscript"/>
                <w:lang w:eastAsia="zh-CN"/>
              </w:rPr>
              <w:t>2-</w:t>
            </w:r>
            <w:bookmarkEnd w:id="408"/>
            <w:bookmarkEnd w:id="409"/>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410" w:name="_Toc3201"/>
            <w:bookmarkStart w:id="411" w:name="_Toc11457"/>
            <w:r>
              <w:rPr>
                <w:rFonts w:hint="eastAsia" w:ascii="仿宋" w:hAnsi="仿宋" w:eastAsia="仿宋" w:cs="仿宋"/>
                <w:color w:val="auto"/>
                <w:sz w:val="21"/>
                <w:szCs w:val="21"/>
                <w:highlight w:val="none"/>
              </w:rPr>
              <w:t>≤</w:t>
            </w:r>
            <w:r>
              <w:rPr>
                <w:rFonts w:hint="default" w:ascii="Times New Roman" w:hAnsi="Times New Roman" w:cs="Times New Roman"/>
                <w:color w:val="auto"/>
                <w:sz w:val="21"/>
                <w:szCs w:val="21"/>
                <w:highlight w:val="none"/>
              </w:rPr>
              <w:t>250</w:t>
            </w:r>
            <w:bookmarkEnd w:id="410"/>
            <w:bookmarkEnd w:id="411"/>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412" w:name="_Toc29887"/>
            <w:bookmarkStart w:id="413" w:name="_Toc15349"/>
            <w:r>
              <w:rPr>
                <w:rFonts w:hint="eastAsia" w:ascii="Times New Roman" w:hAnsi="Times New Roman" w:cs="Times New Roman"/>
                <w:color w:val="auto"/>
                <w:sz w:val="21"/>
                <w:szCs w:val="21"/>
                <w:highlight w:val="none"/>
                <w:lang w:val="en-US" w:eastAsia="zh-CN"/>
              </w:rPr>
              <w:t>27.3</w:t>
            </w:r>
            <w:bookmarkEnd w:id="412"/>
            <w:bookmarkEnd w:id="413"/>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414" w:name="_Toc31799"/>
            <w:bookmarkStart w:id="415" w:name="_Toc7074"/>
            <w:r>
              <w:rPr>
                <w:rFonts w:hint="eastAsia" w:ascii="Times New Roman" w:hAnsi="Times New Roman" w:cs="Times New Roman"/>
                <w:color w:val="auto"/>
                <w:sz w:val="21"/>
                <w:szCs w:val="21"/>
                <w:highlight w:val="none"/>
                <w:lang w:val="en-US" w:eastAsia="zh-CN"/>
              </w:rPr>
              <w:t>25.2</w:t>
            </w:r>
            <w:bookmarkEnd w:id="414"/>
            <w:bookmarkEnd w:id="415"/>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416" w:name="_Toc9897"/>
            <w:bookmarkStart w:id="417" w:name="_Toc25203"/>
            <w:r>
              <w:rPr>
                <w:rFonts w:hint="eastAsia" w:ascii="Times New Roman" w:hAnsi="Times New Roman" w:eastAsia="宋体" w:cs="Times New Roman"/>
                <w:color w:val="auto"/>
                <w:sz w:val="21"/>
                <w:szCs w:val="21"/>
                <w:highlight w:val="none"/>
                <w:lang w:val="en-US" w:eastAsia="zh-CN"/>
              </w:rPr>
              <w:t>24.6</w:t>
            </w:r>
            <w:bookmarkEnd w:id="416"/>
            <w:bookmarkEnd w:id="417"/>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418" w:name="_Toc8305"/>
            <w:bookmarkStart w:id="419" w:name="_Toc29541"/>
            <w:r>
              <w:rPr>
                <w:rFonts w:hint="eastAsia" w:ascii="Times New Roman" w:hAnsi="Times New Roman" w:eastAsia="宋体" w:cs="Times New Roman"/>
                <w:color w:val="auto"/>
                <w:sz w:val="21"/>
                <w:szCs w:val="21"/>
                <w:highlight w:val="none"/>
                <w:lang w:val="en-US" w:eastAsia="zh-CN"/>
              </w:rPr>
              <w:t>21.8</w:t>
            </w:r>
            <w:bookmarkEnd w:id="418"/>
            <w:bookmarkEnd w:id="419"/>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11</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420" w:name="_Toc21679"/>
            <w:bookmarkStart w:id="421" w:name="_Toc2960"/>
            <w:r>
              <w:rPr>
                <w:rFonts w:hint="default" w:ascii="Times New Roman" w:hAnsi="Times New Roman" w:cs="Times New Roman"/>
                <w:color w:val="auto"/>
                <w:sz w:val="21"/>
                <w:szCs w:val="21"/>
                <w:highlight w:val="none"/>
              </w:rPr>
              <w:t>氯</w:t>
            </w:r>
            <w:r>
              <w:rPr>
                <w:rFonts w:hint="eastAsia" w:ascii="Times New Roman" w:hAnsi="Times New Roman" w:cs="Times New Roman"/>
                <w:color w:val="auto"/>
                <w:sz w:val="21"/>
                <w:szCs w:val="21"/>
                <w:highlight w:val="none"/>
                <w:lang w:eastAsia="zh-CN"/>
              </w:rPr>
              <w:t>化物</w:t>
            </w:r>
            <w:bookmarkEnd w:id="420"/>
            <w:bookmarkEnd w:id="421"/>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422" w:name="_Toc27750"/>
            <w:bookmarkStart w:id="423" w:name="_Toc12411"/>
            <w:r>
              <w:rPr>
                <w:rFonts w:hint="eastAsia" w:ascii="仿宋" w:hAnsi="仿宋" w:eastAsia="仿宋" w:cs="仿宋"/>
                <w:color w:val="auto"/>
                <w:sz w:val="21"/>
                <w:szCs w:val="21"/>
                <w:highlight w:val="none"/>
              </w:rPr>
              <w:t>≤</w:t>
            </w:r>
            <w:r>
              <w:rPr>
                <w:rFonts w:hint="default" w:ascii="Times New Roman" w:hAnsi="Times New Roman" w:cs="Times New Roman"/>
                <w:color w:val="auto"/>
                <w:sz w:val="21"/>
                <w:szCs w:val="21"/>
                <w:highlight w:val="none"/>
              </w:rPr>
              <w:t>250</w:t>
            </w:r>
            <w:bookmarkEnd w:id="422"/>
            <w:bookmarkEnd w:id="423"/>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424" w:name="_Toc31834"/>
            <w:bookmarkStart w:id="425" w:name="_Toc20004"/>
            <w:r>
              <w:rPr>
                <w:rFonts w:hint="eastAsia" w:ascii="Times New Roman" w:hAnsi="Times New Roman" w:cs="Times New Roman"/>
                <w:color w:val="auto"/>
                <w:sz w:val="21"/>
                <w:szCs w:val="21"/>
                <w:highlight w:val="none"/>
                <w:lang w:val="en-US" w:eastAsia="zh-CN"/>
              </w:rPr>
              <w:t>56.3</w:t>
            </w:r>
            <w:bookmarkEnd w:id="424"/>
            <w:bookmarkEnd w:id="425"/>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426" w:name="_Toc10725"/>
            <w:bookmarkStart w:id="427" w:name="_Toc4577"/>
            <w:r>
              <w:rPr>
                <w:rFonts w:hint="eastAsia" w:ascii="Times New Roman" w:hAnsi="Times New Roman" w:cs="Times New Roman"/>
                <w:color w:val="auto"/>
                <w:sz w:val="21"/>
                <w:szCs w:val="21"/>
                <w:highlight w:val="none"/>
                <w:lang w:val="en-US" w:eastAsia="zh-CN"/>
              </w:rPr>
              <w:t>47.4</w:t>
            </w:r>
            <w:bookmarkEnd w:id="426"/>
            <w:bookmarkEnd w:id="427"/>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428" w:name="_Toc8451"/>
            <w:bookmarkStart w:id="429" w:name="_Toc27312"/>
            <w:r>
              <w:rPr>
                <w:rFonts w:hint="eastAsia" w:ascii="Times New Roman" w:hAnsi="Times New Roman" w:eastAsia="宋体" w:cs="Times New Roman"/>
                <w:color w:val="auto"/>
                <w:sz w:val="21"/>
                <w:szCs w:val="21"/>
                <w:highlight w:val="none"/>
                <w:lang w:val="en-US" w:eastAsia="zh-CN"/>
              </w:rPr>
              <w:t>46.6</w:t>
            </w:r>
            <w:bookmarkEnd w:id="428"/>
            <w:bookmarkEnd w:id="429"/>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430" w:name="_Toc13464"/>
            <w:bookmarkStart w:id="431" w:name="_Toc17825"/>
            <w:r>
              <w:rPr>
                <w:rFonts w:hint="eastAsia" w:ascii="Times New Roman" w:hAnsi="Times New Roman" w:cs="Times New Roman"/>
                <w:color w:val="auto"/>
                <w:sz w:val="21"/>
                <w:szCs w:val="21"/>
                <w:highlight w:val="none"/>
                <w:lang w:val="en-US" w:eastAsia="zh-CN"/>
              </w:rPr>
              <w:t>42.7</w:t>
            </w:r>
            <w:bookmarkEnd w:id="430"/>
            <w:bookmarkEnd w:id="431"/>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12</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432" w:name="_Toc26234"/>
            <w:bookmarkStart w:id="433" w:name="_Toc20578"/>
            <w:r>
              <w:rPr>
                <w:rFonts w:hint="default" w:ascii="Times New Roman" w:hAnsi="Times New Roman" w:cs="Times New Roman"/>
                <w:color w:val="auto"/>
                <w:sz w:val="21"/>
                <w:szCs w:val="21"/>
                <w:highlight w:val="none"/>
              </w:rPr>
              <w:t>硫酸</w:t>
            </w:r>
            <w:r>
              <w:rPr>
                <w:rFonts w:hint="eastAsia" w:ascii="Times New Roman" w:hAnsi="Times New Roman" w:cs="Times New Roman"/>
                <w:color w:val="auto"/>
                <w:sz w:val="21"/>
                <w:szCs w:val="21"/>
                <w:highlight w:val="none"/>
                <w:lang w:eastAsia="zh-CN"/>
              </w:rPr>
              <w:t>盐</w:t>
            </w:r>
            <w:bookmarkEnd w:id="432"/>
            <w:bookmarkEnd w:id="433"/>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434" w:name="_Toc17564"/>
            <w:bookmarkStart w:id="435" w:name="_Toc14935"/>
            <w:r>
              <w:rPr>
                <w:rFonts w:hint="eastAsia" w:ascii="仿宋" w:hAnsi="仿宋" w:eastAsia="仿宋" w:cs="仿宋"/>
                <w:color w:val="auto"/>
                <w:sz w:val="21"/>
                <w:szCs w:val="21"/>
                <w:highlight w:val="none"/>
              </w:rPr>
              <w:t>≤</w:t>
            </w:r>
            <w:r>
              <w:rPr>
                <w:rFonts w:hint="default" w:ascii="Times New Roman" w:hAnsi="Times New Roman" w:cs="Times New Roman"/>
                <w:color w:val="auto"/>
                <w:sz w:val="21"/>
                <w:szCs w:val="21"/>
                <w:highlight w:val="none"/>
              </w:rPr>
              <w:t>250</w:t>
            </w:r>
            <w:bookmarkEnd w:id="434"/>
            <w:bookmarkEnd w:id="435"/>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436" w:name="_Toc25038"/>
            <w:bookmarkStart w:id="437" w:name="_Toc1791"/>
            <w:r>
              <w:rPr>
                <w:rFonts w:hint="eastAsia" w:ascii="Times New Roman" w:hAnsi="Times New Roman" w:cs="Times New Roman"/>
                <w:color w:val="auto"/>
                <w:sz w:val="21"/>
                <w:szCs w:val="21"/>
                <w:highlight w:val="none"/>
                <w:lang w:val="en-US" w:eastAsia="zh-CN"/>
              </w:rPr>
              <w:t>27.3</w:t>
            </w:r>
            <w:bookmarkEnd w:id="436"/>
            <w:bookmarkEnd w:id="437"/>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438" w:name="_Toc27297"/>
            <w:bookmarkStart w:id="439" w:name="_Toc17892"/>
            <w:r>
              <w:rPr>
                <w:rFonts w:hint="eastAsia" w:ascii="Times New Roman" w:hAnsi="Times New Roman" w:cs="Times New Roman"/>
                <w:color w:val="auto"/>
                <w:sz w:val="21"/>
                <w:szCs w:val="21"/>
                <w:highlight w:val="none"/>
                <w:lang w:val="en-US" w:eastAsia="zh-CN"/>
              </w:rPr>
              <w:t>25.2</w:t>
            </w:r>
            <w:bookmarkEnd w:id="438"/>
            <w:bookmarkEnd w:id="439"/>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440" w:name="_Toc22882"/>
            <w:bookmarkStart w:id="441" w:name="_Toc3405"/>
            <w:r>
              <w:rPr>
                <w:rFonts w:hint="eastAsia" w:ascii="Times New Roman" w:hAnsi="Times New Roman" w:eastAsia="宋体" w:cs="Times New Roman"/>
                <w:color w:val="auto"/>
                <w:sz w:val="21"/>
                <w:szCs w:val="21"/>
                <w:highlight w:val="none"/>
                <w:lang w:val="en-US" w:eastAsia="zh-CN"/>
              </w:rPr>
              <w:t>24.6</w:t>
            </w:r>
            <w:bookmarkEnd w:id="440"/>
            <w:bookmarkEnd w:id="441"/>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1"/>
                <w:szCs w:val="21"/>
                <w:highlight w:val="none"/>
              </w:rPr>
            </w:pPr>
            <w:bookmarkStart w:id="442" w:name="_Toc12836"/>
            <w:bookmarkStart w:id="443" w:name="_Toc4790"/>
            <w:r>
              <w:rPr>
                <w:rFonts w:hint="eastAsia" w:ascii="Times New Roman" w:hAnsi="Times New Roman" w:eastAsia="宋体" w:cs="Times New Roman"/>
                <w:color w:val="auto"/>
                <w:sz w:val="21"/>
                <w:szCs w:val="21"/>
                <w:highlight w:val="none"/>
                <w:lang w:val="en-US" w:eastAsia="zh-CN"/>
              </w:rPr>
              <w:t>21.8</w:t>
            </w:r>
            <w:bookmarkEnd w:id="442"/>
            <w:bookmarkEnd w:id="443"/>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13</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444" w:name="_Toc14011"/>
            <w:bookmarkStart w:id="445" w:name="_Toc30654"/>
            <w:r>
              <w:rPr>
                <w:rFonts w:hint="default" w:ascii="Times New Roman" w:hAnsi="Times New Roman" w:cs="Times New Roman"/>
                <w:color w:val="auto"/>
                <w:szCs w:val="21"/>
                <w:highlight w:val="none"/>
              </w:rPr>
              <w:t>pH</w:t>
            </w:r>
            <w:bookmarkEnd w:id="444"/>
            <w:bookmarkEnd w:id="445"/>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default" w:ascii="Times New Roman" w:hAnsi="Times New Roman" w:cs="Times New Roman"/>
                <w:color w:val="auto"/>
                <w:sz w:val="21"/>
                <w:szCs w:val="21"/>
                <w:highlight w:val="none"/>
              </w:rPr>
              <w:t>无量纲</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446" w:name="_Toc17042"/>
            <w:bookmarkStart w:id="447" w:name="_Toc4172"/>
            <w:r>
              <w:rPr>
                <w:rFonts w:hint="default" w:ascii="Times New Roman" w:hAnsi="Times New Roman" w:cs="Times New Roman"/>
                <w:color w:val="auto"/>
                <w:szCs w:val="21"/>
                <w:highlight w:val="none"/>
              </w:rPr>
              <w:t>6.5</w:t>
            </w:r>
            <w:r>
              <w:rPr>
                <w:rFonts w:hint="eastAsia" w:ascii="宋体" w:hAnsi="宋体" w:eastAsia="宋体" w:cs="宋体"/>
                <w:color w:val="auto"/>
                <w:szCs w:val="21"/>
                <w:highlight w:val="none"/>
                <w:lang w:val="en-US" w:eastAsia="zh-CN"/>
              </w:rPr>
              <w:t>-</w:t>
            </w:r>
            <w:r>
              <w:rPr>
                <w:rFonts w:hint="default" w:ascii="Times New Roman" w:hAnsi="Times New Roman" w:cs="Times New Roman"/>
                <w:color w:val="auto"/>
                <w:szCs w:val="21"/>
                <w:highlight w:val="none"/>
              </w:rPr>
              <w:t>8.5</w:t>
            </w:r>
            <w:bookmarkEnd w:id="446"/>
            <w:bookmarkEnd w:id="447"/>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448" w:name="_Toc16295"/>
            <w:bookmarkStart w:id="449" w:name="_Toc14688"/>
            <w:r>
              <w:rPr>
                <w:rFonts w:hint="eastAsia" w:ascii="Times New Roman" w:hAnsi="Times New Roman" w:cs="Times New Roman"/>
                <w:color w:val="auto"/>
                <w:szCs w:val="21"/>
                <w:highlight w:val="none"/>
                <w:lang w:val="en-US" w:eastAsia="zh-CN"/>
              </w:rPr>
              <w:t>7.74</w:t>
            </w:r>
            <w:bookmarkEnd w:id="448"/>
            <w:bookmarkEnd w:id="449"/>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450" w:name="_Toc24138"/>
            <w:bookmarkStart w:id="451" w:name="_Toc18655"/>
            <w:r>
              <w:rPr>
                <w:rFonts w:hint="eastAsia" w:ascii="Times New Roman" w:hAnsi="Times New Roman" w:cs="Times New Roman"/>
                <w:color w:val="auto"/>
                <w:szCs w:val="21"/>
                <w:highlight w:val="none"/>
                <w:lang w:val="en-US" w:eastAsia="zh-CN"/>
              </w:rPr>
              <w:t>7.80</w:t>
            </w:r>
            <w:bookmarkEnd w:id="450"/>
            <w:bookmarkEnd w:id="451"/>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452" w:name="_Toc6572"/>
            <w:bookmarkStart w:id="453" w:name="_Toc4447"/>
            <w:r>
              <w:rPr>
                <w:rFonts w:hint="eastAsia" w:ascii="Times New Roman" w:hAnsi="Times New Roman" w:eastAsia="宋体" w:cs="Times New Roman"/>
                <w:color w:val="auto"/>
                <w:szCs w:val="21"/>
                <w:highlight w:val="none"/>
                <w:lang w:val="en-US" w:eastAsia="zh-CN"/>
              </w:rPr>
              <w:t>7.77</w:t>
            </w:r>
            <w:bookmarkEnd w:id="452"/>
            <w:bookmarkEnd w:id="453"/>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454" w:name="_Toc22229"/>
            <w:bookmarkStart w:id="455" w:name="_Toc19802"/>
            <w:r>
              <w:rPr>
                <w:rFonts w:hint="eastAsia" w:ascii="Times New Roman" w:hAnsi="Times New Roman" w:eastAsia="宋体" w:cs="Times New Roman"/>
                <w:color w:val="auto"/>
                <w:szCs w:val="21"/>
                <w:highlight w:val="none"/>
                <w:lang w:val="en-US" w:eastAsia="zh-CN"/>
              </w:rPr>
              <w:t>7.81</w:t>
            </w:r>
            <w:bookmarkEnd w:id="454"/>
            <w:bookmarkEnd w:id="455"/>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14</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456" w:name="_Toc29153"/>
            <w:bookmarkStart w:id="457" w:name="_Toc10660"/>
            <w:r>
              <w:rPr>
                <w:rFonts w:hint="default" w:ascii="Times New Roman" w:hAnsi="Times New Roman" w:cs="Times New Roman"/>
                <w:color w:val="auto"/>
                <w:szCs w:val="21"/>
                <w:highlight w:val="none"/>
              </w:rPr>
              <w:t>总硬度</w:t>
            </w:r>
            <w:bookmarkEnd w:id="456"/>
            <w:bookmarkEnd w:id="457"/>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458" w:name="_Toc2005"/>
            <w:bookmarkStart w:id="459" w:name="_Toc12806"/>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450</w:t>
            </w:r>
            <w:bookmarkEnd w:id="458"/>
            <w:bookmarkEnd w:id="459"/>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460" w:name="_Toc13472"/>
            <w:bookmarkStart w:id="461" w:name="_Toc5968"/>
            <w:r>
              <w:rPr>
                <w:rFonts w:hint="eastAsia" w:ascii="Times New Roman" w:hAnsi="Times New Roman" w:cs="Times New Roman"/>
                <w:color w:val="auto"/>
                <w:szCs w:val="21"/>
                <w:highlight w:val="none"/>
                <w:lang w:val="en-US" w:eastAsia="zh-CN"/>
              </w:rPr>
              <w:t>246</w:t>
            </w:r>
            <w:bookmarkEnd w:id="460"/>
            <w:bookmarkEnd w:id="461"/>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462" w:name="_Toc13945"/>
            <w:bookmarkStart w:id="463" w:name="_Toc10641"/>
            <w:r>
              <w:rPr>
                <w:rFonts w:hint="eastAsia" w:ascii="Times New Roman" w:hAnsi="Times New Roman" w:cs="Times New Roman"/>
                <w:color w:val="auto"/>
                <w:kern w:val="2"/>
                <w:sz w:val="21"/>
                <w:szCs w:val="21"/>
                <w:highlight w:val="none"/>
                <w:lang w:val="en-US" w:eastAsia="zh-CN" w:bidi="ar-SA"/>
              </w:rPr>
              <w:t>238</w:t>
            </w:r>
            <w:bookmarkEnd w:id="462"/>
            <w:bookmarkEnd w:id="463"/>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464" w:name="_Toc23473"/>
            <w:bookmarkStart w:id="465" w:name="_Toc13347"/>
            <w:r>
              <w:rPr>
                <w:rFonts w:hint="eastAsia" w:ascii="Times New Roman" w:hAnsi="Times New Roman" w:eastAsia="宋体" w:cs="Times New Roman"/>
                <w:color w:val="auto"/>
                <w:szCs w:val="21"/>
                <w:highlight w:val="none"/>
                <w:lang w:val="en-US" w:eastAsia="zh-CN"/>
              </w:rPr>
              <w:t>221</w:t>
            </w:r>
            <w:bookmarkEnd w:id="464"/>
            <w:bookmarkEnd w:id="465"/>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466" w:name="_Toc24948"/>
            <w:bookmarkStart w:id="467" w:name="_Toc31067"/>
            <w:r>
              <w:rPr>
                <w:rFonts w:hint="eastAsia" w:ascii="Times New Roman" w:hAnsi="Times New Roman" w:cs="Times New Roman"/>
                <w:color w:val="auto"/>
                <w:kern w:val="2"/>
                <w:sz w:val="21"/>
                <w:szCs w:val="21"/>
                <w:highlight w:val="none"/>
                <w:lang w:val="en-US" w:eastAsia="zh-CN" w:bidi="ar-SA"/>
              </w:rPr>
              <w:t>206</w:t>
            </w:r>
            <w:bookmarkEnd w:id="466"/>
            <w:bookmarkEnd w:id="467"/>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15</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468" w:name="_Toc20186"/>
            <w:bookmarkStart w:id="469" w:name="_Toc16405"/>
            <w:r>
              <w:rPr>
                <w:rFonts w:hint="default" w:ascii="Times New Roman" w:hAnsi="Times New Roman" w:cs="Times New Roman"/>
                <w:color w:val="auto"/>
                <w:szCs w:val="21"/>
                <w:highlight w:val="none"/>
              </w:rPr>
              <w:t>氨氮</w:t>
            </w:r>
            <w:bookmarkEnd w:id="468"/>
            <w:bookmarkEnd w:id="469"/>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470" w:name="_Toc11722"/>
            <w:bookmarkStart w:id="471" w:name="_Toc6453"/>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0.50</w:t>
            </w:r>
            <w:bookmarkEnd w:id="470"/>
            <w:bookmarkEnd w:id="471"/>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472" w:name="_Toc29186"/>
            <w:bookmarkStart w:id="473" w:name="_Toc29856"/>
            <w:r>
              <w:rPr>
                <w:rFonts w:hint="eastAsia" w:ascii="Times New Roman" w:hAnsi="Times New Roman" w:cs="Times New Roman"/>
                <w:color w:val="auto"/>
                <w:szCs w:val="21"/>
                <w:highlight w:val="none"/>
                <w:lang w:val="en-US" w:eastAsia="zh-CN"/>
              </w:rPr>
              <w:t>0.276</w:t>
            </w:r>
            <w:bookmarkEnd w:id="472"/>
            <w:bookmarkEnd w:id="473"/>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474" w:name="_Toc16116"/>
            <w:bookmarkStart w:id="475" w:name="_Toc8682"/>
            <w:r>
              <w:rPr>
                <w:rFonts w:hint="eastAsia" w:ascii="Times New Roman" w:hAnsi="Times New Roman" w:cs="Times New Roman"/>
                <w:color w:val="auto"/>
                <w:kern w:val="2"/>
                <w:sz w:val="21"/>
                <w:szCs w:val="21"/>
                <w:highlight w:val="none"/>
                <w:lang w:val="en-US" w:eastAsia="zh-CN" w:bidi="ar-SA"/>
              </w:rPr>
              <w:t>0.294</w:t>
            </w:r>
            <w:bookmarkEnd w:id="474"/>
            <w:bookmarkEnd w:id="475"/>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476" w:name="_Toc5440"/>
            <w:bookmarkStart w:id="477" w:name="_Toc16281"/>
            <w:r>
              <w:rPr>
                <w:rFonts w:hint="eastAsia" w:ascii="Times New Roman" w:hAnsi="Times New Roman" w:eastAsia="宋体" w:cs="Times New Roman"/>
                <w:color w:val="auto"/>
                <w:szCs w:val="21"/>
                <w:highlight w:val="none"/>
                <w:lang w:val="en-US" w:eastAsia="zh-CN"/>
              </w:rPr>
              <w:t>0.313</w:t>
            </w:r>
            <w:bookmarkEnd w:id="476"/>
            <w:bookmarkEnd w:id="477"/>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478" w:name="_Toc32037"/>
            <w:bookmarkStart w:id="479" w:name="_Toc2387"/>
            <w:r>
              <w:rPr>
                <w:rFonts w:hint="eastAsia" w:ascii="Times New Roman" w:hAnsi="Times New Roman" w:cs="Times New Roman"/>
                <w:color w:val="auto"/>
                <w:kern w:val="2"/>
                <w:sz w:val="21"/>
                <w:szCs w:val="21"/>
                <w:highlight w:val="none"/>
                <w:lang w:val="en-US" w:eastAsia="zh-CN" w:bidi="ar-SA"/>
              </w:rPr>
              <w:t>0.244</w:t>
            </w:r>
            <w:bookmarkEnd w:id="478"/>
            <w:bookmarkEnd w:id="479"/>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16</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480" w:name="_Toc24206"/>
            <w:bookmarkStart w:id="481" w:name="_Toc18821"/>
            <w:r>
              <w:rPr>
                <w:rFonts w:hint="default" w:ascii="Times New Roman" w:hAnsi="Times New Roman" w:cs="Times New Roman"/>
                <w:color w:val="auto"/>
                <w:szCs w:val="21"/>
                <w:highlight w:val="none"/>
              </w:rPr>
              <w:t>氰化物</w:t>
            </w:r>
            <w:bookmarkEnd w:id="480"/>
            <w:bookmarkEnd w:id="481"/>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482" w:name="_Toc8886"/>
            <w:bookmarkStart w:id="483" w:name="_Toc24512"/>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0.05</w:t>
            </w:r>
            <w:bookmarkEnd w:id="482"/>
            <w:bookmarkEnd w:id="483"/>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cs="Times New Roman" w:eastAsiaTheme="minorEastAsia"/>
                <w:smallCaps w:val="0"/>
                <w:color w:val="auto"/>
                <w:spacing w:val="0"/>
                <w:w w:val="100"/>
                <w:sz w:val="24"/>
                <w:highlight w:val="none"/>
                <w:lang w:val="en-US" w:eastAsia="zh-CN"/>
              </w:rPr>
            </w:pPr>
            <w:bookmarkStart w:id="484" w:name="_Toc16897"/>
            <w:bookmarkStart w:id="485" w:name="_Toc19398"/>
            <w:r>
              <w:rPr>
                <w:rFonts w:hint="eastAsia" w:ascii="Times New Roman" w:hAnsi="Times New Roman" w:cs="Times New Roman"/>
                <w:color w:val="auto"/>
                <w:szCs w:val="21"/>
                <w:highlight w:val="none"/>
                <w:lang w:val="en-US" w:eastAsia="zh-CN"/>
              </w:rPr>
              <w:t>ND</w:t>
            </w:r>
            <w:bookmarkEnd w:id="484"/>
            <w:bookmarkEnd w:id="485"/>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486" w:name="_Toc29194"/>
            <w:bookmarkStart w:id="487" w:name="_Toc8705"/>
            <w:r>
              <w:rPr>
                <w:rFonts w:hint="eastAsia" w:ascii="Times New Roman" w:hAnsi="Times New Roman" w:cs="Times New Roman"/>
                <w:color w:val="auto"/>
                <w:szCs w:val="21"/>
                <w:highlight w:val="none"/>
                <w:lang w:val="en-US" w:eastAsia="zh-CN"/>
              </w:rPr>
              <w:t>ND</w:t>
            </w:r>
            <w:bookmarkEnd w:id="486"/>
            <w:bookmarkEnd w:id="487"/>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488" w:name="_Toc1188"/>
            <w:bookmarkStart w:id="489" w:name="_Toc7453"/>
            <w:r>
              <w:rPr>
                <w:rFonts w:hint="eastAsia" w:ascii="Times New Roman" w:hAnsi="Times New Roman" w:cs="Times New Roman"/>
                <w:color w:val="auto"/>
                <w:szCs w:val="21"/>
                <w:highlight w:val="none"/>
                <w:lang w:val="en-US" w:eastAsia="zh-CN"/>
              </w:rPr>
              <w:t>ND</w:t>
            </w:r>
            <w:bookmarkEnd w:id="488"/>
            <w:bookmarkEnd w:id="489"/>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490" w:name="_Toc16225"/>
            <w:bookmarkStart w:id="491" w:name="_Toc3152"/>
            <w:r>
              <w:rPr>
                <w:rFonts w:hint="eastAsia" w:ascii="Times New Roman" w:hAnsi="Times New Roman" w:cs="Times New Roman"/>
                <w:color w:val="auto"/>
                <w:szCs w:val="21"/>
                <w:highlight w:val="none"/>
                <w:lang w:val="en-US" w:eastAsia="zh-CN"/>
              </w:rPr>
              <w:t>ND</w:t>
            </w:r>
            <w:bookmarkEnd w:id="490"/>
            <w:bookmarkEnd w:id="491"/>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17</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492" w:name="_Toc26490"/>
            <w:bookmarkStart w:id="493" w:name="_Toc20307"/>
            <w:r>
              <w:rPr>
                <w:rFonts w:hint="default" w:ascii="Times New Roman" w:hAnsi="Times New Roman" w:cs="Times New Roman"/>
                <w:color w:val="auto"/>
                <w:szCs w:val="21"/>
                <w:highlight w:val="none"/>
              </w:rPr>
              <w:t>挥发酚</w:t>
            </w:r>
            <w:bookmarkEnd w:id="492"/>
            <w:bookmarkEnd w:id="493"/>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494" w:name="_Toc5747"/>
            <w:bookmarkStart w:id="495" w:name="_Toc32231"/>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0.002</w:t>
            </w:r>
            <w:bookmarkEnd w:id="494"/>
            <w:bookmarkEnd w:id="495"/>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496" w:name="_Toc17193"/>
            <w:bookmarkStart w:id="497" w:name="_Toc20227"/>
            <w:r>
              <w:rPr>
                <w:rFonts w:hint="eastAsia" w:ascii="Times New Roman" w:hAnsi="Times New Roman" w:cs="Times New Roman"/>
                <w:color w:val="auto"/>
                <w:szCs w:val="21"/>
                <w:highlight w:val="none"/>
                <w:lang w:val="en-US" w:eastAsia="zh-CN"/>
              </w:rPr>
              <w:t>ND</w:t>
            </w:r>
            <w:bookmarkEnd w:id="496"/>
            <w:bookmarkEnd w:id="497"/>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498" w:name="_Toc16852"/>
            <w:bookmarkStart w:id="499" w:name="_Toc14869"/>
            <w:r>
              <w:rPr>
                <w:rFonts w:hint="eastAsia" w:ascii="Times New Roman" w:hAnsi="Times New Roman" w:cs="Times New Roman"/>
                <w:color w:val="auto"/>
                <w:szCs w:val="21"/>
                <w:highlight w:val="none"/>
                <w:lang w:val="en-US" w:eastAsia="zh-CN"/>
              </w:rPr>
              <w:t>ND</w:t>
            </w:r>
            <w:bookmarkEnd w:id="498"/>
            <w:bookmarkEnd w:id="499"/>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00" w:name="_Toc25179"/>
            <w:bookmarkStart w:id="501" w:name="_Toc16093"/>
            <w:r>
              <w:rPr>
                <w:rFonts w:hint="eastAsia" w:ascii="Times New Roman" w:hAnsi="Times New Roman" w:cs="Times New Roman"/>
                <w:color w:val="auto"/>
                <w:szCs w:val="21"/>
                <w:highlight w:val="none"/>
                <w:lang w:val="en-US" w:eastAsia="zh-CN"/>
              </w:rPr>
              <w:t>ND</w:t>
            </w:r>
            <w:bookmarkEnd w:id="500"/>
            <w:bookmarkEnd w:id="501"/>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02" w:name="_Toc27236"/>
            <w:bookmarkStart w:id="503" w:name="_Toc31486"/>
            <w:r>
              <w:rPr>
                <w:rFonts w:hint="eastAsia" w:ascii="Times New Roman" w:hAnsi="Times New Roman" w:cs="Times New Roman"/>
                <w:color w:val="auto"/>
                <w:szCs w:val="21"/>
                <w:highlight w:val="none"/>
                <w:lang w:val="en-US" w:eastAsia="zh-CN"/>
              </w:rPr>
              <w:t>ND</w:t>
            </w:r>
            <w:bookmarkEnd w:id="502"/>
            <w:bookmarkEnd w:id="503"/>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18</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04" w:name="_Toc6110"/>
            <w:bookmarkStart w:id="505" w:name="_Toc20955"/>
            <w:r>
              <w:rPr>
                <w:rFonts w:hint="default" w:ascii="Times New Roman" w:hAnsi="Times New Roman" w:cs="Times New Roman"/>
                <w:color w:val="auto"/>
                <w:szCs w:val="21"/>
                <w:highlight w:val="none"/>
              </w:rPr>
              <w:t>汞</w:t>
            </w:r>
            <w:bookmarkEnd w:id="504"/>
            <w:bookmarkEnd w:id="505"/>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06" w:name="_Toc30559"/>
            <w:bookmarkStart w:id="507" w:name="_Toc11128"/>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0.001</w:t>
            </w:r>
            <w:bookmarkEnd w:id="506"/>
            <w:bookmarkEnd w:id="507"/>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08" w:name="_Toc14085"/>
            <w:bookmarkStart w:id="509" w:name="_Toc17466"/>
            <w:r>
              <w:rPr>
                <w:rFonts w:hint="eastAsia" w:ascii="Times New Roman" w:hAnsi="Times New Roman" w:cs="Times New Roman"/>
                <w:color w:val="auto"/>
                <w:szCs w:val="21"/>
                <w:highlight w:val="none"/>
                <w:lang w:val="en-US" w:eastAsia="zh-CN"/>
              </w:rPr>
              <w:t>ND</w:t>
            </w:r>
            <w:bookmarkEnd w:id="508"/>
            <w:bookmarkEnd w:id="509"/>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10" w:name="_Toc23492"/>
            <w:bookmarkStart w:id="511" w:name="_Toc2200"/>
            <w:r>
              <w:rPr>
                <w:rFonts w:hint="eastAsia" w:ascii="Times New Roman" w:hAnsi="Times New Roman" w:cs="Times New Roman"/>
                <w:color w:val="auto"/>
                <w:szCs w:val="21"/>
                <w:highlight w:val="none"/>
                <w:lang w:val="en-US" w:eastAsia="zh-CN"/>
              </w:rPr>
              <w:t>ND</w:t>
            </w:r>
            <w:bookmarkEnd w:id="510"/>
            <w:bookmarkEnd w:id="511"/>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12" w:name="_Toc2016"/>
            <w:bookmarkStart w:id="513" w:name="_Toc20799"/>
            <w:r>
              <w:rPr>
                <w:rFonts w:hint="eastAsia" w:ascii="Times New Roman" w:hAnsi="Times New Roman" w:cs="Times New Roman"/>
                <w:color w:val="auto"/>
                <w:szCs w:val="21"/>
                <w:highlight w:val="none"/>
                <w:lang w:val="en-US" w:eastAsia="zh-CN"/>
              </w:rPr>
              <w:t>ND</w:t>
            </w:r>
            <w:bookmarkEnd w:id="512"/>
            <w:bookmarkEnd w:id="513"/>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14" w:name="_Toc9266"/>
            <w:bookmarkStart w:id="515" w:name="_Toc12531"/>
            <w:r>
              <w:rPr>
                <w:rFonts w:hint="eastAsia" w:ascii="Times New Roman" w:hAnsi="Times New Roman" w:cs="Times New Roman"/>
                <w:color w:val="auto"/>
                <w:szCs w:val="21"/>
                <w:highlight w:val="none"/>
                <w:lang w:val="en-US" w:eastAsia="zh-CN"/>
              </w:rPr>
              <w:t>ND</w:t>
            </w:r>
            <w:bookmarkEnd w:id="514"/>
            <w:bookmarkEnd w:id="515"/>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19</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16" w:name="_Toc24119"/>
            <w:bookmarkStart w:id="517" w:name="_Toc13322"/>
            <w:r>
              <w:rPr>
                <w:rFonts w:hint="default" w:ascii="Times New Roman" w:hAnsi="Times New Roman" w:cs="Times New Roman"/>
                <w:color w:val="auto"/>
                <w:szCs w:val="21"/>
                <w:highlight w:val="none"/>
              </w:rPr>
              <w:t>砷</w:t>
            </w:r>
            <w:bookmarkEnd w:id="516"/>
            <w:bookmarkEnd w:id="517"/>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18" w:name="_Toc28779"/>
            <w:bookmarkStart w:id="519" w:name="_Toc5793"/>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0.01</w:t>
            </w:r>
            <w:bookmarkEnd w:id="518"/>
            <w:bookmarkEnd w:id="519"/>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20" w:name="_Toc29045"/>
            <w:bookmarkStart w:id="521" w:name="_Toc29692"/>
            <w:r>
              <w:rPr>
                <w:rFonts w:hint="eastAsia" w:ascii="Times New Roman" w:hAnsi="Times New Roman" w:cs="Times New Roman"/>
                <w:color w:val="auto"/>
                <w:szCs w:val="21"/>
                <w:highlight w:val="none"/>
                <w:lang w:val="en-US" w:eastAsia="zh-CN"/>
              </w:rPr>
              <w:t>ND</w:t>
            </w:r>
            <w:bookmarkEnd w:id="520"/>
            <w:bookmarkEnd w:id="521"/>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22" w:name="_Toc7701"/>
            <w:bookmarkStart w:id="523" w:name="_Toc12919"/>
            <w:r>
              <w:rPr>
                <w:rFonts w:hint="eastAsia" w:ascii="Times New Roman" w:hAnsi="Times New Roman" w:cs="Times New Roman"/>
                <w:color w:val="auto"/>
                <w:szCs w:val="21"/>
                <w:highlight w:val="none"/>
                <w:lang w:val="en-US" w:eastAsia="zh-CN"/>
              </w:rPr>
              <w:t>ND</w:t>
            </w:r>
            <w:bookmarkEnd w:id="522"/>
            <w:bookmarkEnd w:id="523"/>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24" w:name="_Toc17642"/>
            <w:bookmarkStart w:id="525" w:name="_Toc398"/>
            <w:r>
              <w:rPr>
                <w:rFonts w:hint="eastAsia" w:ascii="Times New Roman" w:hAnsi="Times New Roman" w:cs="Times New Roman"/>
                <w:color w:val="auto"/>
                <w:szCs w:val="21"/>
                <w:highlight w:val="none"/>
                <w:lang w:val="en-US" w:eastAsia="zh-CN"/>
              </w:rPr>
              <w:t>ND</w:t>
            </w:r>
            <w:bookmarkEnd w:id="524"/>
            <w:bookmarkEnd w:id="525"/>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26" w:name="_Toc22140"/>
            <w:bookmarkStart w:id="527" w:name="_Toc2596"/>
            <w:r>
              <w:rPr>
                <w:rFonts w:hint="eastAsia" w:ascii="Times New Roman" w:hAnsi="Times New Roman" w:cs="Times New Roman"/>
                <w:color w:val="auto"/>
                <w:szCs w:val="21"/>
                <w:highlight w:val="none"/>
                <w:lang w:val="en-US" w:eastAsia="zh-CN"/>
              </w:rPr>
              <w:t>ND</w:t>
            </w:r>
            <w:bookmarkEnd w:id="526"/>
            <w:bookmarkEnd w:id="527"/>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20</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28" w:name="_Toc11013"/>
            <w:bookmarkStart w:id="529" w:name="_Toc3711"/>
            <w:r>
              <w:rPr>
                <w:rFonts w:hint="default" w:ascii="Times New Roman" w:hAnsi="Times New Roman" w:cs="Times New Roman"/>
                <w:color w:val="auto"/>
                <w:szCs w:val="21"/>
                <w:highlight w:val="none"/>
              </w:rPr>
              <w:t>镉</w:t>
            </w:r>
            <w:bookmarkEnd w:id="528"/>
            <w:bookmarkEnd w:id="529"/>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30" w:name="_Toc32602"/>
            <w:bookmarkStart w:id="531" w:name="_Toc26635"/>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0.005</w:t>
            </w:r>
            <w:bookmarkEnd w:id="530"/>
            <w:bookmarkEnd w:id="531"/>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32" w:name="_Toc889"/>
            <w:bookmarkStart w:id="533" w:name="_Toc9406"/>
            <w:r>
              <w:rPr>
                <w:rFonts w:hint="eastAsia" w:ascii="Times New Roman" w:hAnsi="Times New Roman" w:cs="Times New Roman"/>
                <w:color w:val="auto"/>
                <w:szCs w:val="21"/>
                <w:highlight w:val="none"/>
                <w:lang w:val="en-US" w:eastAsia="zh-CN"/>
              </w:rPr>
              <w:t>ND</w:t>
            </w:r>
            <w:bookmarkEnd w:id="532"/>
            <w:bookmarkEnd w:id="533"/>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34" w:name="_Toc20213"/>
            <w:bookmarkStart w:id="535" w:name="_Toc23312"/>
            <w:r>
              <w:rPr>
                <w:rFonts w:hint="eastAsia" w:ascii="Times New Roman" w:hAnsi="Times New Roman" w:cs="Times New Roman"/>
                <w:color w:val="auto"/>
                <w:szCs w:val="21"/>
                <w:highlight w:val="none"/>
                <w:lang w:val="en-US" w:eastAsia="zh-CN"/>
              </w:rPr>
              <w:t>ND</w:t>
            </w:r>
            <w:bookmarkEnd w:id="534"/>
            <w:bookmarkEnd w:id="535"/>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36" w:name="_Toc4967"/>
            <w:bookmarkStart w:id="537" w:name="_Toc22922"/>
            <w:r>
              <w:rPr>
                <w:rFonts w:hint="eastAsia" w:ascii="Times New Roman" w:hAnsi="Times New Roman" w:cs="Times New Roman"/>
                <w:color w:val="auto"/>
                <w:szCs w:val="21"/>
                <w:highlight w:val="none"/>
                <w:lang w:val="en-US" w:eastAsia="zh-CN"/>
              </w:rPr>
              <w:t>ND</w:t>
            </w:r>
            <w:bookmarkEnd w:id="536"/>
            <w:bookmarkEnd w:id="537"/>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38" w:name="_Toc1552"/>
            <w:bookmarkStart w:id="539" w:name="_Toc1463"/>
            <w:r>
              <w:rPr>
                <w:rFonts w:hint="eastAsia" w:ascii="Times New Roman" w:hAnsi="Times New Roman" w:cs="Times New Roman"/>
                <w:color w:val="auto"/>
                <w:szCs w:val="21"/>
                <w:highlight w:val="none"/>
                <w:lang w:val="en-US" w:eastAsia="zh-CN"/>
              </w:rPr>
              <w:t>ND</w:t>
            </w:r>
            <w:bookmarkEnd w:id="538"/>
            <w:bookmarkEnd w:id="539"/>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21</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40" w:name="_Toc4101"/>
            <w:bookmarkStart w:id="541" w:name="_Toc9877"/>
            <w:r>
              <w:rPr>
                <w:rFonts w:hint="default" w:ascii="Times New Roman" w:hAnsi="Times New Roman" w:cs="Times New Roman"/>
                <w:color w:val="auto"/>
                <w:szCs w:val="21"/>
                <w:highlight w:val="none"/>
                <w:lang w:eastAsia="zh-CN"/>
              </w:rPr>
              <w:t>六价</w:t>
            </w:r>
            <w:r>
              <w:rPr>
                <w:rFonts w:hint="default" w:ascii="Times New Roman" w:hAnsi="Times New Roman" w:cs="Times New Roman"/>
                <w:color w:val="auto"/>
                <w:szCs w:val="21"/>
                <w:highlight w:val="none"/>
              </w:rPr>
              <w:t>铬</w:t>
            </w:r>
            <w:bookmarkEnd w:id="540"/>
            <w:bookmarkEnd w:id="541"/>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42" w:name="_Toc9860"/>
            <w:bookmarkStart w:id="543" w:name="_Toc16189"/>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0.05</w:t>
            </w:r>
            <w:bookmarkEnd w:id="542"/>
            <w:bookmarkEnd w:id="543"/>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44" w:name="_Toc29562"/>
            <w:bookmarkStart w:id="545" w:name="_Toc300"/>
            <w:r>
              <w:rPr>
                <w:rFonts w:hint="eastAsia" w:ascii="Times New Roman" w:hAnsi="Times New Roman" w:cs="Times New Roman"/>
                <w:color w:val="auto"/>
                <w:szCs w:val="21"/>
                <w:highlight w:val="none"/>
                <w:lang w:val="en-US" w:eastAsia="zh-CN"/>
              </w:rPr>
              <w:t>ND</w:t>
            </w:r>
            <w:bookmarkEnd w:id="544"/>
            <w:bookmarkEnd w:id="545"/>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46" w:name="_Toc28696"/>
            <w:bookmarkStart w:id="547" w:name="_Toc24224"/>
            <w:r>
              <w:rPr>
                <w:rFonts w:hint="eastAsia" w:ascii="Times New Roman" w:hAnsi="Times New Roman" w:cs="Times New Roman"/>
                <w:color w:val="auto"/>
                <w:szCs w:val="21"/>
                <w:highlight w:val="none"/>
                <w:lang w:val="en-US" w:eastAsia="zh-CN"/>
              </w:rPr>
              <w:t>ND</w:t>
            </w:r>
            <w:bookmarkEnd w:id="546"/>
            <w:bookmarkEnd w:id="547"/>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48" w:name="_Toc12445"/>
            <w:bookmarkStart w:id="549" w:name="_Toc1706"/>
            <w:r>
              <w:rPr>
                <w:rFonts w:hint="eastAsia" w:ascii="Times New Roman" w:hAnsi="Times New Roman" w:cs="Times New Roman"/>
                <w:color w:val="auto"/>
                <w:szCs w:val="21"/>
                <w:highlight w:val="none"/>
                <w:lang w:val="en-US" w:eastAsia="zh-CN"/>
              </w:rPr>
              <w:t>ND</w:t>
            </w:r>
            <w:bookmarkEnd w:id="548"/>
            <w:bookmarkEnd w:id="549"/>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50" w:name="_Toc28772"/>
            <w:bookmarkStart w:id="551" w:name="_Toc8175"/>
            <w:r>
              <w:rPr>
                <w:rFonts w:hint="eastAsia" w:ascii="Times New Roman" w:hAnsi="Times New Roman" w:cs="Times New Roman"/>
                <w:color w:val="auto"/>
                <w:szCs w:val="21"/>
                <w:highlight w:val="none"/>
                <w:lang w:val="en-US" w:eastAsia="zh-CN"/>
              </w:rPr>
              <w:t>ND</w:t>
            </w:r>
            <w:bookmarkEnd w:id="550"/>
            <w:bookmarkEnd w:id="551"/>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22</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52" w:name="_Toc11656"/>
            <w:bookmarkStart w:id="553" w:name="_Toc17268"/>
            <w:r>
              <w:rPr>
                <w:rFonts w:hint="default" w:ascii="Times New Roman" w:hAnsi="Times New Roman" w:cs="Times New Roman"/>
                <w:color w:val="auto"/>
                <w:szCs w:val="21"/>
                <w:highlight w:val="none"/>
              </w:rPr>
              <w:t>铁</w:t>
            </w:r>
            <w:bookmarkEnd w:id="552"/>
            <w:bookmarkEnd w:id="553"/>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54" w:name="_Toc30921"/>
            <w:bookmarkStart w:id="555" w:name="_Toc29975"/>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0.3</w:t>
            </w:r>
            <w:bookmarkEnd w:id="554"/>
            <w:bookmarkEnd w:id="555"/>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56" w:name="_Toc8358"/>
            <w:bookmarkStart w:id="557" w:name="_Toc31315"/>
            <w:r>
              <w:rPr>
                <w:rFonts w:hint="eastAsia" w:ascii="Times New Roman" w:hAnsi="Times New Roman" w:cs="Times New Roman"/>
                <w:b w:val="0"/>
                <w:bCs w:val="0"/>
                <w:i w:val="0"/>
                <w:iCs w:val="0"/>
                <w:color w:val="auto"/>
                <w:szCs w:val="21"/>
                <w:highlight w:val="none"/>
                <w:u w:val="none"/>
                <w:lang w:val="en-US" w:eastAsia="zh-CN"/>
              </w:rPr>
              <w:t>0.21</w:t>
            </w:r>
            <w:bookmarkEnd w:id="556"/>
            <w:bookmarkEnd w:id="557"/>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58" w:name="_Toc13795"/>
            <w:bookmarkStart w:id="559" w:name="_Toc8200"/>
            <w:r>
              <w:rPr>
                <w:rFonts w:hint="eastAsia" w:ascii="Times New Roman" w:hAnsi="Times New Roman" w:cs="Times New Roman"/>
                <w:b w:val="0"/>
                <w:bCs w:val="0"/>
                <w:i w:val="0"/>
                <w:iCs w:val="0"/>
                <w:color w:val="auto"/>
                <w:szCs w:val="21"/>
                <w:highlight w:val="none"/>
                <w:u w:val="none"/>
                <w:lang w:val="en-US" w:eastAsia="zh-CN"/>
              </w:rPr>
              <w:t>0.19</w:t>
            </w:r>
            <w:bookmarkEnd w:id="558"/>
            <w:bookmarkEnd w:id="559"/>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60" w:name="_Toc4767"/>
            <w:bookmarkStart w:id="561" w:name="_Toc32603"/>
            <w:r>
              <w:rPr>
                <w:rFonts w:hint="eastAsia" w:ascii="Times New Roman" w:hAnsi="Times New Roman" w:eastAsia="宋体" w:cs="Times New Roman"/>
                <w:b w:val="0"/>
                <w:bCs w:val="0"/>
                <w:i w:val="0"/>
                <w:iCs w:val="0"/>
                <w:color w:val="auto"/>
                <w:szCs w:val="21"/>
                <w:highlight w:val="none"/>
                <w:u w:val="none"/>
                <w:lang w:val="en-US" w:eastAsia="zh-CN"/>
              </w:rPr>
              <w:t>0.11</w:t>
            </w:r>
            <w:bookmarkEnd w:id="560"/>
            <w:bookmarkEnd w:id="561"/>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62" w:name="_Toc7745"/>
            <w:bookmarkStart w:id="563" w:name="_Toc25725"/>
            <w:r>
              <w:rPr>
                <w:rFonts w:hint="eastAsia" w:ascii="Times New Roman" w:hAnsi="Times New Roman" w:eastAsia="宋体" w:cs="Times New Roman"/>
                <w:b w:val="0"/>
                <w:bCs w:val="0"/>
                <w:i w:val="0"/>
                <w:iCs w:val="0"/>
                <w:color w:val="auto"/>
                <w:szCs w:val="21"/>
                <w:highlight w:val="none"/>
                <w:u w:val="none"/>
                <w:lang w:val="en-US" w:eastAsia="zh-CN"/>
              </w:rPr>
              <w:t>0.03L</w:t>
            </w:r>
            <w:bookmarkEnd w:id="562"/>
            <w:bookmarkEnd w:id="563"/>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23</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64" w:name="_Toc28751"/>
            <w:bookmarkStart w:id="565" w:name="_Toc3707"/>
            <w:r>
              <w:rPr>
                <w:rFonts w:hint="default" w:ascii="Times New Roman" w:hAnsi="Times New Roman" w:cs="Times New Roman"/>
                <w:color w:val="auto"/>
                <w:szCs w:val="21"/>
                <w:highlight w:val="none"/>
              </w:rPr>
              <w:t>锰</w:t>
            </w:r>
            <w:bookmarkEnd w:id="564"/>
            <w:bookmarkEnd w:id="565"/>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66" w:name="_Toc19446"/>
            <w:bookmarkStart w:id="567" w:name="_Toc7232"/>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0.10</w:t>
            </w:r>
            <w:bookmarkEnd w:id="566"/>
            <w:bookmarkEnd w:id="567"/>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68" w:name="_Toc29048"/>
            <w:bookmarkStart w:id="569" w:name="_Toc18401"/>
            <w:r>
              <w:rPr>
                <w:rFonts w:hint="eastAsia" w:ascii="Times New Roman" w:hAnsi="Times New Roman" w:cs="Times New Roman"/>
                <w:b w:val="0"/>
                <w:bCs w:val="0"/>
                <w:i w:val="0"/>
                <w:iCs w:val="0"/>
                <w:color w:val="auto"/>
                <w:szCs w:val="21"/>
                <w:highlight w:val="none"/>
                <w:u w:val="none"/>
                <w:lang w:val="en-US" w:eastAsia="zh-CN"/>
              </w:rPr>
              <w:t>0.04</w:t>
            </w:r>
            <w:bookmarkEnd w:id="568"/>
            <w:bookmarkEnd w:id="569"/>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70" w:name="_Toc3515"/>
            <w:bookmarkStart w:id="571" w:name="_Toc7586"/>
            <w:r>
              <w:rPr>
                <w:rFonts w:hint="eastAsia" w:ascii="Times New Roman" w:hAnsi="Times New Roman" w:cs="Times New Roman"/>
                <w:b w:val="0"/>
                <w:bCs w:val="0"/>
                <w:i w:val="0"/>
                <w:iCs w:val="0"/>
                <w:color w:val="auto"/>
                <w:szCs w:val="21"/>
                <w:highlight w:val="none"/>
                <w:u w:val="none"/>
                <w:lang w:val="en-US" w:eastAsia="zh-CN"/>
              </w:rPr>
              <w:t>0.07</w:t>
            </w:r>
            <w:bookmarkEnd w:id="570"/>
            <w:bookmarkEnd w:id="571"/>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72" w:name="_Toc12297"/>
            <w:bookmarkStart w:id="573" w:name="_Toc19495"/>
            <w:r>
              <w:rPr>
                <w:rFonts w:hint="eastAsia" w:ascii="Times New Roman" w:hAnsi="Times New Roman" w:eastAsia="宋体" w:cs="Times New Roman"/>
                <w:b w:val="0"/>
                <w:bCs w:val="0"/>
                <w:i w:val="0"/>
                <w:iCs w:val="0"/>
                <w:color w:val="auto"/>
                <w:szCs w:val="21"/>
                <w:highlight w:val="none"/>
                <w:u w:val="none"/>
                <w:lang w:val="en-US" w:eastAsia="zh-CN"/>
              </w:rPr>
              <w:t>0.01L</w:t>
            </w:r>
            <w:bookmarkEnd w:id="572"/>
            <w:bookmarkEnd w:id="573"/>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74" w:name="_Toc19340"/>
            <w:bookmarkStart w:id="575" w:name="_Toc17456"/>
            <w:r>
              <w:rPr>
                <w:rFonts w:hint="eastAsia" w:ascii="Times New Roman" w:hAnsi="Times New Roman" w:eastAsia="宋体" w:cs="Times New Roman"/>
                <w:b w:val="0"/>
                <w:bCs w:val="0"/>
                <w:i w:val="0"/>
                <w:iCs w:val="0"/>
                <w:color w:val="auto"/>
                <w:szCs w:val="21"/>
                <w:highlight w:val="none"/>
                <w:u w:val="none"/>
                <w:lang w:val="en-US" w:eastAsia="zh-CN"/>
              </w:rPr>
              <w:t>0.01L</w:t>
            </w:r>
            <w:bookmarkEnd w:id="574"/>
            <w:bookmarkEnd w:id="575"/>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24</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76" w:name="_Toc31404"/>
            <w:bookmarkStart w:id="577" w:name="_Toc22653"/>
            <w:r>
              <w:rPr>
                <w:rFonts w:hint="default" w:ascii="Times New Roman" w:hAnsi="Times New Roman" w:cs="Times New Roman"/>
                <w:color w:val="auto"/>
                <w:szCs w:val="21"/>
                <w:highlight w:val="none"/>
              </w:rPr>
              <w:t>铅</w:t>
            </w:r>
            <w:bookmarkEnd w:id="576"/>
            <w:bookmarkEnd w:id="577"/>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78" w:name="_Toc3460"/>
            <w:bookmarkStart w:id="579" w:name="_Toc20686"/>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0.01</w:t>
            </w:r>
            <w:bookmarkEnd w:id="578"/>
            <w:bookmarkEnd w:id="579"/>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80" w:name="_Toc17601"/>
            <w:bookmarkStart w:id="581" w:name="_Toc2274"/>
            <w:r>
              <w:rPr>
                <w:rFonts w:hint="eastAsia" w:ascii="Times New Roman" w:hAnsi="Times New Roman" w:cs="Times New Roman"/>
                <w:color w:val="auto"/>
                <w:szCs w:val="21"/>
                <w:highlight w:val="none"/>
                <w:lang w:val="en-US" w:eastAsia="zh-CN"/>
              </w:rPr>
              <w:t>ND</w:t>
            </w:r>
            <w:bookmarkEnd w:id="580"/>
            <w:bookmarkEnd w:id="581"/>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82" w:name="_Toc7789"/>
            <w:bookmarkStart w:id="583" w:name="_Toc31616"/>
            <w:r>
              <w:rPr>
                <w:rFonts w:hint="eastAsia" w:ascii="Times New Roman" w:hAnsi="Times New Roman" w:cs="Times New Roman"/>
                <w:color w:val="auto"/>
                <w:szCs w:val="21"/>
                <w:highlight w:val="none"/>
                <w:lang w:val="en-US" w:eastAsia="zh-CN"/>
              </w:rPr>
              <w:t>ND</w:t>
            </w:r>
            <w:bookmarkEnd w:id="582"/>
            <w:bookmarkEnd w:id="583"/>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84" w:name="_Toc26415"/>
            <w:bookmarkStart w:id="585" w:name="_Toc6466"/>
            <w:r>
              <w:rPr>
                <w:rFonts w:hint="eastAsia" w:ascii="Times New Roman" w:hAnsi="Times New Roman" w:cs="Times New Roman"/>
                <w:color w:val="auto"/>
                <w:szCs w:val="21"/>
                <w:highlight w:val="none"/>
                <w:lang w:val="en-US" w:eastAsia="zh-CN"/>
              </w:rPr>
              <w:t>ND</w:t>
            </w:r>
            <w:bookmarkEnd w:id="584"/>
            <w:bookmarkEnd w:id="585"/>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86" w:name="_Toc20431"/>
            <w:bookmarkStart w:id="587" w:name="_Toc19606"/>
            <w:r>
              <w:rPr>
                <w:rFonts w:hint="eastAsia" w:ascii="Times New Roman" w:hAnsi="Times New Roman" w:cs="Times New Roman"/>
                <w:color w:val="auto"/>
                <w:szCs w:val="21"/>
                <w:highlight w:val="none"/>
                <w:lang w:val="en-US" w:eastAsia="zh-CN"/>
              </w:rPr>
              <w:t>ND</w:t>
            </w:r>
            <w:bookmarkEnd w:id="586"/>
            <w:bookmarkEnd w:id="587"/>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25</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88" w:name="_Toc16555"/>
            <w:bookmarkStart w:id="589" w:name="_Toc1149"/>
            <w:r>
              <w:rPr>
                <w:rFonts w:hint="default" w:ascii="Times New Roman" w:hAnsi="Times New Roman" w:cs="Times New Roman"/>
                <w:color w:val="auto"/>
                <w:szCs w:val="21"/>
                <w:highlight w:val="none"/>
              </w:rPr>
              <w:t>亚硝酸盐（以N计）</w:t>
            </w:r>
            <w:bookmarkEnd w:id="588"/>
            <w:bookmarkEnd w:id="589"/>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90" w:name="_Toc21389"/>
            <w:bookmarkStart w:id="591" w:name="_Toc6297"/>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1.00</w:t>
            </w:r>
            <w:bookmarkEnd w:id="590"/>
            <w:bookmarkEnd w:id="591"/>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92" w:name="_Toc31092"/>
            <w:bookmarkStart w:id="593" w:name="_Toc3476"/>
            <w:r>
              <w:rPr>
                <w:rFonts w:hint="eastAsia" w:ascii="Times New Roman" w:hAnsi="Times New Roman" w:cs="Times New Roman"/>
                <w:color w:val="auto"/>
                <w:szCs w:val="21"/>
                <w:highlight w:val="none"/>
                <w:lang w:val="en-US" w:eastAsia="zh-CN"/>
              </w:rPr>
              <w:t>ND</w:t>
            </w:r>
            <w:bookmarkEnd w:id="592"/>
            <w:bookmarkEnd w:id="593"/>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94" w:name="_Toc32589"/>
            <w:bookmarkStart w:id="595" w:name="_Toc4539"/>
            <w:r>
              <w:rPr>
                <w:rFonts w:hint="eastAsia" w:ascii="Times New Roman" w:hAnsi="Times New Roman" w:cs="Times New Roman"/>
                <w:color w:val="auto"/>
                <w:szCs w:val="21"/>
                <w:highlight w:val="none"/>
                <w:lang w:val="en-US" w:eastAsia="zh-CN"/>
              </w:rPr>
              <w:t>ND</w:t>
            </w:r>
            <w:bookmarkEnd w:id="594"/>
            <w:bookmarkEnd w:id="595"/>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96" w:name="_Toc3463"/>
            <w:bookmarkStart w:id="597" w:name="_Toc32749"/>
            <w:r>
              <w:rPr>
                <w:rFonts w:hint="eastAsia" w:ascii="Times New Roman" w:hAnsi="Times New Roman" w:cs="Times New Roman"/>
                <w:color w:val="auto"/>
                <w:szCs w:val="21"/>
                <w:highlight w:val="none"/>
                <w:lang w:val="en-US" w:eastAsia="zh-CN"/>
              </w:rPr>
              <w:t>ND</w:t>
            </w:r>
            <w:bookmarkEnd w:id="596"/>
            <w:bookmarkEnd w:id="597"/>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598" w:name="_Toc12350"/>
            <w:bookmarkStart w:id="599" w:name="_Toc6545"/>
            <w:r>
              <w:rPr>
                <w:rFonts w:hint="eastAsia" w:ascii="Times New Roman" w:hAnsi="Times New Roman" w:cs="Times New Roman"/>
                <w:color w:val="auto"/>
                <w:szCs w:val="21"/>
                <w:highlight w:val="none"/>
                <w:lang w:val="en-US" w:eastAsia="zh-CN"/>
              </w:rPr>
              <w:t>ND</w:t>
            </w:r>
            <w:bookmarkEnd w:id="598"/>
            <w:bookmarkEnd w:id="599"/>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26</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600" w:name="_Toc6616"/>
            <w:bookmarkStart w:id="601" w:name="_Toc25448"/>
            <w:r>
              <w:rPr>
                <w:rFonts w:hint="default" w:ascii="Times New Roman" w:hAnsi="Times New Roman" w:cs="Times New Roman"/>
                <w:color w:val="auto"/>
                <w:szCs w:val="21"/>
                <w:highlight w:val="none"/>
              </w:rPr>
              <w:t>硝酸盐（以N计）</w:t>
            </w:r>
            <w:bookmarkEnd w:id="600"/>
            <w:bookmarkEnd w:id="601"/>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602" w:name="_Toc31229"/>
            <w:bookmarkStart w:id="603" w:name="_Toc14158"/>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20.0</w:t>
            </w:r>
            <w:bookmarkEnd w:id="602"/>
            <w:bookmarkEnd w:id="603"/>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604" w:name="_Toc3106"/>
            <w:bookmarkStart w:id="605" w:name="_Toc1611"/>
            <w:r>
              <w:rPr>
                <w:rFonts w:hint="eastAsia" w:ascii="Times New Roman" w:hAnsi="Times New Roman" w:cs="Times New Roman"/>
                <w:color w:val="auto"/>
                <w:szCs w:val="21"/>
                <w:highlight w:val="none"/>
                <w:lang w:val="en-US" w:eastAsia="zh-CN"/>
              </w:rPr>
              <w:t>0.565</w:t>
            </w:r>
            <w:bookmarkEnd w:id="604"/>
            <w:bookmarkEnd w:id="605"/>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606" w:name="_Toc24996"/>
            <w:bookmarkStart w:id="607" w:name="_Toc23670"/>
            <w:r>
              <w:rPr>
                <w:rFonts w:hint="eastAsia" w:ascii="Times New Roman" w:hAnsi="Times New Roman" w:cs="Times New Roman"/>
                <w:color w:val="auto"/>
                <w:kern w:val="2"/>
                <w:sz w:val="21"/>
                <w:szCs w:val="21"/>
                <w:highlight w:val="none"/>
                <w:lang w:val="en-US" w:eastAsia="zh-CN" w:bidi="ar-SA"/>
              </w:rPr>
              <w:t>0.479</w:t>
            </w:r>
            <w:bookmarkEnd w:id="606"/>
            <w:bookmarkEnd w:id="607"/>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608" w:name="_Toc4669"/>
            <w:bookmarkStart w:id="609" w:name="_Toc26365"/>
            <w:r>
              <w:rPr>
                <w:rFonts w:hint="eastAsia" w:ascii="Times New Roman" w:hAnsi="Times New Roman" w:eastAsia="宋体" w:cs="Times New Roman"/>
                <w:color w:val="auto"/>
                <w:szCs w:val="21"/>
                <w:highlight w:val="none"/>
                <w:lang w:val="en-US" w:eastAsia="zh-CN"/>
              </w:rPr>
              <w:t>0.518</w:t>
            </w:r>
            <w:bookmarkEnd w:id="608"/>
            <w:bookmarkEnd w:id="609"/>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610" w:name="_Toc11846"/>
            <w:bookmarkStart w:id="611" w:name="_Toc23810"/>
            <w:r>
              <w:rPr>
                <w:rFonts w:hint="eastAsia" w:ascii="Times New Roman" w:hAnsi="Times New Roman" w:cs="Times New Roman"/>
                <w:color w:val="auto"/>
                <w:kern w:val="2"/>
                <w:sz w:val="21"/>
                <w:szCs w:val="21"/>
                <w:highlight w:val="none"/>
                <w:lang w:val="en-US" w:eastAsia="zh-CN" w:bidi="ar-SA"/>
              </w:rPr>
              <w:t>0.442</w:t>
            </w:r>
            <w:bookmarkEnd w:id="610"/>
            <w:bookmarkEnd w:id="611"/>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27</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612" w:name="_Toc19743"/>
            <w:bookmarkStart w:id="613" w:name="_Toc17429"/>
            <w:r>
              <w:rPr>
                <w:rFonts w:hint="default" w:ascii="Times New Roman" w:hAnsi="Times New Roman" w:cs="Times New Roman"/>
                <w:color w:val="auto"/>
                <w:szCs w:val="21"/>
                <w:highlight w:val="none"/>
              </w:rPr>
              <w:t>溶解性总固体</w:t>
            </w:r>
            <w:bookmarkEnd w:id="612"/>
            <w:bookmarkEnd w:id="613"/>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614" w:name="_Toc25193"/>
            <w:bookmarkStart w:id="615" w:name="_Toc21925"/>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1000</w:t>
            </w:r>
            <w:bookmarkEnd w:id="614"/>
            <w:bookmarkEnd w:id="615"/>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616" w:name="_Toc11509"/>
            <w:bookmarkStart w:id="617" w:name="_Toc9742"/>
            <w:r>
              <w:rPr>
                <w:rFonts w:hint="eastAsia" w:ascii="Times New Roman" w:hAnsi="Times New Roman" w:cs="Times New Roman"/>
                <w:color w:val="auto"/>
                <w:szCs w:val="21"/>
                <w:highlight w:val="none"/>
                <w:lang w:val="en-US" w:eastAsia="zh-CN"/>
              </w:rPr>
              <w:t>481</w:t>
            </w:r>
            <w:bookmarkEnd w:id="616"/>
            <w:bookmarkEnd w:id="617"/>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618" w:name="_Toc20035"/>
            <w:bookmarkStart w:id="619" w:name="_Toc22841"/>
            <w:r>
              <w:rPr>
                <w:rFonts w:hint="eastAsia" w:ascii="Times New Roman" w:hAnsi="Times New Roman" w:cs="Times New Roman"/>
                <w:color w:val="auto"/>
                <w:kern w:val="2"/>
                <w:sz w:val="21"/>
                <w:szCs w:val="21"/>
                <w:highlight w:val="none"/>
                <w:lang w:val="en-US" w:eastAsia="zh-CN" w:bidi="ar-SA"/>
              </w:rPr>
              <w:t>475</w:t>
            </w:r>
            <w:bookmarkEnd w:id="618"/>
            <w:bookmarkEnd w:id="619"/>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620" w:name="_Toc18167"/>
            <w:bookmarkStart w:id="621" w:name="_Toc30586"/>
            <w:r>
              <w:rPr>
                <w:rFonts w:hint="eastAsia" w:ascii="Times New Roman" w:hAnsi="Times New Roman" w:eastAsia="宋体" w:cs="Times New Roman"/>
                <w:color w:val="auto"/>
                <w:szCs w:val="21"/>
                <w:highlight w:val="none"/>
                <w:lang w:val="en-US" w:eastAsia="zh-CN"/>
              </w:rPr>
              <w:t>426</w:t>
            </w:r>
            <w:bookmarkEnd w:id="620"/>
            <w:bookmarkEnd w:id="621"/>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622" w:name="_Toc26803"/>
            <w:bookmarkStart w:id="623" w:name="_Toc18078"/>
            <w:r>
              <w:rPr>
                <w:rFonts w:hint="eastAsia" w:ascii="Times New Roman" w:hAnsi="Times New Roman" w:eastAsia="宋体" w:cs="Times New Roman"/>
                <w:color w:val="auto"/>
                <w:kern w:val="2"/>
                <w:sz w:val="21"/>
                <w:szCs w:val="21"/>
                <w:highlight w:val="none"/>
                <w:lang w:val="en-US" w:eastAsia="zh-CN" w:bidi="ar-SA"/>
              </w:rPr>
              <w:t>419</w:t>
            </w:r>
            <w:bookmarkEnd w:id="622"/>
            <w:bookmarkEnd w:id="623"/>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28</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624" w:name="_Toc15075"/>
            <w:bookmarkStart w:id="625" w:name="_Toc10216"/>
            <w:r>
              <w:rPr>
                <w:rFonts w:hint="default" w:ascii="Times New Roman" w:hAnsi="Times New Roman" w:cs="Times New Roman"/>
                <w:color w:val="auto"/>
                <w:szCs w:val="21"/>
                <w:highlight w:val="none"/>
              </w:rPr>
              <w:t>总大肠菌群</w:t>
            </w:r>
            <w:bookmarkEnd w:id="624"/>
            <w:bookmarkEnd w:id="625"/>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MPN/100mL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626" w:name="_Toc19806"/>
            <w:bookmarkStart w:id="627" w:name="_Toc29335"/>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3.0</w:t>
            </w:r>
            <w:bookmarkEnd w:id="626"/>
            <w:bookmarkEnd w:id="627"/>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628" w:name="_Toc11583"/>
            <w:bookmarkStart w:id="629" w:name="_Toc30423"/>
            <w:r>
              <w:rPr>
                <w:rFonts w:hint="eastAsia" w:ascii="Times New Roman" w:hAnsi="Times New Roman" w:cs="Times New Roman"/>
                <w:color w:val="auto"/>
                <w:szCs w:val="21"/>
                <w:highlight w:val="none"/>
                <w:lang w:val="en-US" w:eastAsia="zh-CN"/>
              </w:rPr>
              <w:t>ND</w:t>
            </w:r>
            <w:bookmarkEnd w:id="628"/>
            <w:bookmarkEnd w:id="629"/>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630" w:name="_Toc28755"/>
            <w:bookmarkStart w:id="631" w:name="_Toc27995"/>
            <w:r>
              <w:rPr>
                <w:rFonts w:hint="eastAsia" w:ascii="Times New Roman" w:hAnsi="Times New Roman" w:cs="Times New Roman"/>
                <w:color w:val="auto"/>
                <w:szCs w:val="21"/>
                <w:highlight w:val="none"/>
                <w:lang w:val="en-US" w:eastAsia="zh-CN"/>
              </w:rPr>
              <w:t>ND</w:t>
            </w:r>
            <w:bookmarkEnd w:id="630"/>
            <w:bookmarkEnd w:id="631"/>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632" w:name="_Toc17628"/>
            <w:bookmarkStart w:id="633" w:name="_Toc12145"/>
            <w:r>
              <w:rPr>
                <w:rFonts w:hint="eastAsia" w:ascii="Times New Roman" w:hAnsi="Times New Roman" w:cs="Times New Roman"/>
                <w:color w:val="auto"/>
                <w:szCs w:val="21"/>
                <w:highlight w:val="none"/>
                <w:lang w:val="en-US" w:eastAsia="zh-CN"/>
              </w:rPr>
              <w:t>ND</w:t>
            </w:r>
            <w:bookmarkEnd w:id="632"/>
            <w:bookmarkEnd w:id="633"/>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634" w:name="_Toc23584"/>
            <w:bookmarkStart w:id="635" w:name="_Toc10750"/>
            <w:r>
              <w:rPr>
                <w:rFonts w:hint="eastAsia" w:ascii="Times New Roman" w:hAnsi="Times New Roman" w:cs="Times New Roman"/>
                <w:color w:val="auto"/>
                <w:szCs w:val="21"/>
                <w:highlight w:val="none"/>
                <w:lang w:val="en-US" w:eastAsia="zh-CN"/>
              </w:rPr>
              <w:t>ND</w:t>
            </w:r>
            <w:bookmarkEnd w:id="634"/>
            <w:bookmarkEnd w:id="635"/>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29</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636" w:name="_Toc19754"/>
            <w:bookmarkStart w:id="637" w:name="_Toc8924"/>
            <w:r>
              <w:rPr>
                <w:rFonts w:hint="default" w:ascii="Times New Roman" w:hAnsi="Times New Roman" w:cs="Times New Roman"/>
                <w:color w:val="auto"/>
                <w:szCs w:val="21"/>
                <w:highlight w:val="none"/>
              </w:rPr>
              <w:t>菌落总数</w:t>
            </w:r>
            <w:bookmarkEnd w:id="636"/>
            <w:bookmarkEnd w:id="637"/>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CFU/mL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638" w:name="_Toc27731"/>
            <w:bookmarkStart w:id="639" w:name="_Toc15841"/>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100</w:t>
            </w:r>
            <w:bookmarkEnd w:id="638"/>
            <w:bookmarkEnd w:id="639"/>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cs="Times New Roman"/>
                <w:smallCaps w:val="0"/>
                <w:color w:val="auto"/>
                <w:spacing w:val="0"/>
                <w:w w:val="100"/>
                <w:sz w:val="24"/>
                <w:highlight w:val="none"/>
              </w:rPr>
            </w:pPr>
            <w:bookmarkStart w:id="640" w:name="_Toc22087"/>
            <w:bookmarkStart w:id="641" w:name="_Toc24169"/>
            <w:r>
              <w:rPr>
                <w:rFonts w:hint="default" w:ascii="Times New Roman" w:hAnsi="Times New Roman" w:cs="Times New Roman"/>
                <w:color w:val="auto"/>
                <w:szCs w:val="21"/>
                <w:highlight w:val="none"/>
                <w:lang w:val="en-US" w:eastAsia="zh-CN"/>
              </w:rPr>
              <w:t>24</w:t>
            </w:r>
            <w:bookmarkEnd w:id="640"/>
            <w:bookmarkEnd w:id="641"/>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cs="Times New Roman"/>
                <w:smallCaps w:val="0"/>
                <w:color w:val="auto"/>
                <w:spacing w:val="0"/>
                <w:w w:val="100"/>
                <w:sz w:val="24"/>
                <w:highlight w:val="none"/>
              </w:rPr>
            </w:pPr>
            <w:bookmarkStart w:id="642" w:name="_Toc4942"/>
            <w:bookmarkStart w:id="643" w:name="_Toc24765"/>
            <w:r>
              <w:rPr>
                <w:rFonts w:hint="default" w:ascii="Times New Roman" w:hAnsi="Times New Roman" w:cs="Times New Roman"/>
                <w:color w:val="auto"/>
                <w:kern w:val="2"/>
                <w:sz w:val="21"/>
                <w:szCs w:val="21"/>
                <w:highlight w:val="none"/>
                <w:lang w:val="en-US" w:eastAsia="zh-CN" w:bidi="ar-SA"/>
              </w:rPr>
              <w:t>27</w:t>
            </w:r>
            <w:bookmarkEnd w:id="642"/>
            <w:bookmarkEnd w:id="643"/>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cs="Times New Roman"/>
                <w:smallCaps w:val="0"/>
                <w:color w:val="auto"/>
                <w:spacing w:val="0"/>
                <w:w w:val="100"/>
                <w:sz w:val="24"/>
                <w:highlight w:val="none"/>
              </w:rPr>
            </w:pPr>
            <w:bookmarkStart w:id="644" w:name="_Toc12867"/>
            <w:bookmarkStart w:id="645" w:name="_Toc17387"/>
            <w:r>
              <w:rPr>
                <w:rFonts w:hint="default" w:ascii="Times New Roman" w:hAnsi="Times New Roman" w:eastAsia="宋体" w:cs="Times New Roman"/>
                <w:color w:val="auto"/>
                <w:szCs w:val="21"/>
                <w:highlight w:val="none"/>
                <w:lang w:val="en-US" w:eastAsia="zh-CN"/>
              </w:rPr>
              <w:t>21</w:t>
            </w:r>
            <w:bookmarkEnd w:id="644"/>
            <w:bookmarkEnd w:id="645"/>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cs="Times New Roman"/>
                <w:smallCaps w:val="0"/>
                <w:color w:val="auto"/>
                <w:spacing w:val="0"/>
                <w:w w:val="100"/>
                <w:sz w:val="24"/>
                <w:highlight w:val="none"/>
              </w:rPr>
            </w:pPr>
            <w:bookmarkStart w:id="646" w:name="_Toc16182"/>
            <w:bookmarkStart w:id="647" w:name="_Toc23060"/>
            <w:r>
              <w:rPr>
                <w:rFonts w:hint="default" w:ascii="Times New Roman" w:hAnsi="Times New Roman" w:cs="Times New Roman"/>
                <w:color w:val="auto"/>
                <w:kern w:val="2"/>
                <w:sz w:val="21"/>
                <w:szCs w:val="21"/>
                <w:highlight w:val="none"/>
                <w:lang w:val="en-US" w:eastAsia="zh-CN" w:bidi="ar-SA"/>
              </w:rPr>
              <w:t>19</w:t>
            </w:r>
            <w:bookmarkEnd w:id="646"/>
            <w:bookmarkEnd w:id="647"/>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30</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648" w:name="_Toc22297"/>
            <w:bookmarkStart w:id="649" w:name="_Toc7664"/>
            <w:r>
              <w:rPr>
                <w:rFonts w:hint="default" w:ascii="Times New Roman" w:hAnsi="Times New Roman" w:cs="Times New Roman"/>
                <w:color w:val="auto"/>
                <w:szCs w:val="21"/>
                <w:highlight w:val="none"/>
              </w:rPr>
              <w:t>氟化物</w:t>
            </w:r>
            <w:bookmarkEnd w:id="648"/>
            <w:bookmarkEnd w:id="649"/>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650" w:name="_Toc7851"/>
            <w:bookmarkStart w:id="651" w:name="_Toc12036"/>
            <w:r>
              <w:rPr>
                <w:rFonts w:hint="eastAsia" w:ascii="仿宋" w:hAnsi="仿宋" w:eastAsia="仿宋" w:cs="仿宋"/>
                <w:color w:val="auto"/>
                <w:szCs w:val="21"/>
                <w:highlight w:val="none"/>
              </w:rPr>
              <w:t>≤</w:t>
            </w:r>
            <w:r>
              <w:rPr>
                <w:rFonts w:hint="default" w:ascii="Times New Roman" w:hAnsi="Times New Roman" w:cs="Times New Roman"/>
                <w:color w:val="auto"/>
                <w:szCs w:val="21"/>
                <w:highlight w:val="none"/>
              </w:rPr>
              <w:t>1.0</w:t>
            </w:r>
            <w:bookmarkEnd w:id="650"/>
            <w:bookmarkEnd w:id="651"/>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cs="Times New Roman"/>
                <w:smallCaps w:val="0"/>
                <w:color w:val="auto"/>
                <w:spacing w:val="0"/>
                <w:w w:val="100"/>
                <w:sz w:val="24"/>
                <w:highlight w:val="none"/>
              </w:rPr>
            </w:pPr>
            <w:bookmarkStart w:id="652" w:name="_Toc30707"/>
            <w:bookmarkStart w:id="653" w:name="_Toc22208"/>
            <w:r>
              <w:rPr>
                <w:rFonts w:hint="default" w:ascii="Times New Roman" w:hAnsi="Times New Roman" w:cs="Times New Roman"/>
                <w:b w:val="0"/>
                <w:bCs/>
                <w:i w:val="0"/>
                <w:iCs/>
                <w:color w:val="auto"/>
                <w:szCs w:val="21"/>
                <w:highlight w:val="none"/>
                <w:u w:val="none"/>
                <w:lang w:val="en-US" w:eastAsia="zh-CN"/>
              </w:rPr>
              <w:t>0.613</w:t>
            </w:r>
            <w:bookmarkEnd w:id="652"/>
            <w:bookmarkEnd w:id="653"/>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cs="Times New Roman"/>
                <w:smallCaps w:val="0"/>
                <w:color w:val="auto"/>
                <w:spacing w:val="0"/>
                <w:w w:val="100"/>
                <w:sz w:val="24"/>
                <w:highlight w:val="none"/>
              </w:rPr>
            </w:pPr>
            <w:bookmarkStart w:id="654" w:name="_Toc787"/>
            <w:bookmarkStart w:id="655" w:name="_Toc15311"/>
            <w:r>
              <w:rPr>
                <w:rFonts w:hint="default" w:ascii="Times New Roman" w:hAnsi="Times New Roman" w:cs="Times New Roman"/>
                <w:b w:val="0"/>
                <w:bCs/>
                <w:i w:val="0"/>
                <w:iCs/>
                <w:color w:val="auto"/>
                <w:szCs w:val="21"/>
                <w:highlight w:val="none"/>
                <w:u w:val="none"/>
                <w:lang w:val="en-US" w:eastAsia="zh-CN"/>
              </w:rPr>
              <w:t>0.524</w:t>
            </w:r>
            <w:bookmarkEnd w:id="654"/>
            <w:bookmarkEnd w:id="655"/>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cs="Times New Roman"/>
                <w:smallCaps w:val="0"/>
                <w:color w:val="auto"/>
                <w:spacing w:val="0"/>
                <w:w w:val="100"/>
                <w:sz w:val="24"/>
                <w:highlight w:val="none"/>
              </w:rPr>
            </w:pPr>
            <w:bookmarkStart w:id="656" w:name="_Toc26617"/>
            <w:bookmarkStart w:id="657" w:name="_Toc28744"/>
            <w:r>
              <w:rPr>
                <w:rFonts w:hint="default" w:ascii="Times New Roman" w:hAnsi="Times New Roman" w:cs="Times New Roman"/>
                <w:b w:val="0"/>
                <w:bCs/>
                <w:i w:val="0"/>
                <w:iCs/>
                <w:color w:val="auto"/>
                <w:szCs w:val="21"/>
                <w:highlight w:val="none"/>
                <w:u w:val="none"/>
                <w:lang w:val="en-US" w:eastAsia="zh-CN"/>
              </w:rPr>
              <w:t>0.576</w:t>
            </w:r>
            <w:bookmarkEnd w:id="656"/>
            <w:bookmarkEnd w:id="657"/>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cs="Times New Roman"/>
                <w:smallCaps w:val="0"/>
                <w:color w:val="auto"/>
                <w:spacing w:val="0"/>
                <w:w w:val="100"/>
                <w:sz w:val="24"/>
                <w:highlight w:val="none"/>
              </w:rPr>
            </w:pPr>
            <w:bookmarkStart w:id="658" w:name="_Toc1257"/>
            <w:bookmarkStart w:id="659" w:name="_Toc32412"/>
            <w:r>
              <w:rPr>
                <w:rFonts w:hint="default" w:ascii="Times New Roman" w:hAnsi="Times New Roman" w:cs="Times New Roman"/>
                <w:b w:val="0"/>
                <w:bCs/>
                <w:i w:val="0"/>
                <w:iCs/>
                <w:color w:val="auto"/>
                <w:szCs w:val="21"/>
                <w:highlight w:val="none"/>
                <w:u w:val="none"/>
                <w:lang w:val="en-US" w:eastAsia="zh-CN"/>
              </w:rPr>
              <w:t>0.437</w:t>
            </w:r>
            <w:bookmarkEnd w:id="658"/>
            <w:bookmarkEnd w:id="659"/>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4"/>
                <w:highlight w:val="none"/>
              </w:rPr>
            </w:pPr>
            <w:r>
              <w:rPr>
                <w:rFonts w:hint="eastAsia" w:ascii="Times New Roman" w:hAnsi="Times New Roman" w:cs="Times New Roman"/>
                <w:smallCaps w:val="0"/>
                <w:color w:val="auto"/>
                <w:spacing w:val="0"/>
                <w:w w:val="100"/>
                <w:sz w:val="24"/>
                <w:highlight w:val="none"/>
              </w:rPr>
              <w:t>31</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ascii="Times New Roman" w:hAnsi="Times New Roman" w:cs="Times New Roman"/>
                <w:smallCaps w:val="0"/>
                <w:color w:val="auto"/>
                <w:spacing w:val="0"/>
                <w:w w:val="100"/>
                <w:sz w:val="24"/>
                <w:highlight w:val="none"/>
              </w:rPr>
            </w:pPr>
            <w:bookmarkStart w:id="660" w:name="_Toc28644"/>
            <w:bookmarkStart w:id="661" w:name="_Toc3159"/>
            <w:r>
              <w:rPr>
                <w:rFonts w:hint="eastAsia" w:ascii="Times New Roman" w:hAnsi="Times New Roman" w:cs="Times New Roman"/>
                <w:color w:val="auto"/>
                <w:szCs w:val="21"/>
                <w:highlight w:val="none"/>
                <w:lang w:eastAsia="zh-CN"/>
              </w:rPr>
              <w:t>耗氧量</w:t>
            </w:r>
            <w:bookmarkEnd w:id="660"/>
            <w:bookmarkEnd w:id="661"/>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eastAsia" w:ascii="Times New Roman" w:hAnsi="Times New Roman" w:cs="Times New Roman" w:eastAsiaTheme="minorEastAsia"/>
                <w:smallCaps w:val="0"/>
                <w:color w:val="auto"/>
                <w:spacing w:val="0"/>
                <w:w w:val="100"/>
                <w:sz w:val="24"/>
                <w:highlight w:val="none"/>
                <w:lang w:val="en-US" w:eastAsia="zh-CN"/>
              </w:rPr>
            </w:pPr>
            <w:bookmarkStart w:id="662" w:name="_Toc15231"/>
            <w:bookmarkStart w:id="663" w:name="_Toc17716"/>
            <w:r>
              <w:rPr>
                <w:rFonts w:hint="eastAsia" w:ascii="仿宋" w:hAnsi="仿宋" w:eastAsia="仿宋" w:cs="仿宋"/>
                <w:color w:val="auto"/>
                <w:szCs w:val="21"/>
                <w:highlight w:val="none"/>
              </w:rPr>
              <w:t>≤</w:t>
            </w:r>
            <w:r>
              <w:rPr>
                <w:rFonts w:hint="default" w:ascii="Times New Roman" w:hAnsi="Times New Roman" w:eastAsia="仿宋" w:cs="Times New Roman"/>
                <w:color w:val="auto"/>
                <w:szCs w:val="21"/>
                <w:highlight w:val="none"/>
                <w:lang w:val="en-US" w:eastAsia="zh-CN"/>
              </w:rPr>
              <w:t>3.0</w:t>
            </w:r>
            <w:bookmarkEnd w:id="662"/>
            <w:bookmarkEnd w:id="663"/>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eastAsia="仿宋" w:cs="Times New Roman"/>
                <w:color w:val="auto"/>
                <w:szCs w:val="21"/>
                <w:highlight w:val="none"/>
              </w:rPr>
            </w:pPr>
            <w:bookmarkStart w:id="664" w:name="_Toc32056"/>
            <w:bookmarkStart w:id="665" w:name="_Toc4061"/>
            <w:r>
              <w:rPr>
                <w:rFonts w:hint="default" w:ascii="Times New Roman" w:hAnsi="Times New Roman" w:eastAsia="仿宋" w:cs="Times New Roman"/>
                <w:color w:val="auto"/>
                <w:szCs w:val="21"/>
                <w:highlight w:val="none"/>
                <w:lang w:val="en-US" w:eastAsia="zh-CN"/>
              </w:rPr>
              <w:t>2.01</w:t>
            </w:r>
            <w:bookmarkEnd w:id="664"/>
            <w:bookmarkEnd w:id="665"/>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eastAsia="仿宋" w:cs="Times New Roman"/>
                <w:color w:val="auto"/>
                <w:szCs w:val="21"/>
                <w:highlight w:val="none"/>
              </w:rPr>
            </w:pPr>
            <w:bookmarkStart w:id="666" w:name="_Toc11233"/>
            <w:bookmarkStart w:id="667" w:name="_Toc15828"/>
            <w:r>
              <w:rPr>
                <w:rFonts w:hint="default" w:ascii="Times New Roman" w:hAnsi="Times New Roman" w:eastAsia="仿宋" w:cs="Times New Roman"/>
                <w:color w:val="auto"/>
                <w:szCs w:val="21"/>
                <w:highlight w:val="none"/>
                <w:lang w:val="en-US" w:eastAsia="zh-CN"/>
              </w:rPr>
              <w:t>2.11</w:t>
            </w:r>
            <w:bookmarkEnd w:id="666"/>
            <w:bookmarkEnd w:id="667"/>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eastAsia="仿宋" w:cs="Times New Roman"/>
                <w:color w:val="auto"/>
                <w:szCs w:val="21"/>
                <w:highlight w:val="none"/>
              </w:rPr>
            </w:pPr>
            <w:bookmarkStart w:id="668" w:name="_Toc24604"/>
            <w:bookmarkStart w:id="669" w:name="_Toc266"/>
            <w:r>
              <w:rPr>
                <w:rFonts w:hint="default" w:ascii="Times New Roman" w:hAnsi="Times New Roman" w:eastAsia="仿宋" w:cs="Times New Roman"/>
                <w:color w:val="auto"/>
                <w:szCs w:val="21"/>
                <w:highlight w:val="none"/>
                <w:lang w:val="en-US" w:eastAsia="zh-CN"/>
              </w:rPr>
              <w:t>1.89</w:t>
            </w:r>
            <w:bookmarkEnd w:id="668"/>
            <w:bookmarkEnd w:id="669"/>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eastAsia="仿宋" w:cs="Times New Roman"/>
                <w:color w:val="auto"/>
                <w:szCs w:val="21"/>
                <w:highlight w:val="none"/>
              </w:rPr>
            </w:pPr>
            <w:bookmarkStart w:id="670" w:name="_Toc28600"/>
            <w:bookmarkStart w:id="671" w:name="_Toc11073"/>
            <w:r>
              <w:rPr>
                <w:rFonts w:hint="default" w:ascii="Times New Roman" w:hAnsi="Times New Roman" w:eastAsia="仿宋" w:cs="Times New Roman"/>
                <w:color w:val="auto"/>
                <w:szCs w:val="21"/>
                <w:highlight w:val="none"/>
                <w:lang w:val="en-US" w:eastAsia="zh-CN"/>
              </w:rPr>
              <w:t>1.83</w:t>
            </w:r>
            <w:bookmarkEnd w:id="670"/>
            <w:bookmarkEnd w:id="671"/>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 w:type="pct"/>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4"/>
                <w:highlight w:val="none"/>
                <w:lang w:val="en-US" w:eastAsia="zh-CN"/>
              </w:rPr>
            </w:pPr>
            <w:r>
              <w:rPr>
                <w:rFonts w:hint="eastAsia" w:ascii="Times New Roman" w:hAnsi="Times New Roman" w:cs="Times New Roman"/>
                <w:smallCaps w:val="0"/>
                <w:color w:val="auto"/>
                <w:spacing w:val="0"/>
                <w:w w:val="100"/>
                <w:sz w:val="24"/>
                <w:highlight w:val="none"/>
                <w:lang w:val="en-US" w:eastAsia="zh-CN"/>
              </w:rPr>
              <w:t>32</w:t>
            </w:r>
          </w:p>
        </w:tc>
        <w:tc>
          <w:tcPr>
            <w:tcW w:w="191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eastAsia" w:ascii="Times New Roman" w:hAnsi="Times New Roman" w:cs="Times New Roman"/>
                <w:color w:val="auto"/>
                <w:szCs w:val="21"/>
                <w:highlight w:val="none"/>
                <w:lang w:eastAsia="zh-CN"/>
              </w:rPr>
            </w:pPr>
            <w:bookmarkStart w:id="672" w:name="_Toc13613"/>
            <w:bookmarkStart w:id="673" w:name="_Toc32642"/>
            <w:r>
              <w:rPr>
                <w:rFonts w:hint="eastAsia" w:ascii="Times New Roman" w:hAnsi="Times New Roman" w:cs="Times New Roman"/>
                <w:color w:val="auto"/>
                <w:szCs w:val="21"/>
                <w:highlight w:val="none"/>
                <w:lang w:val="en-US" w:eastAsia="zh-CN"/>
              </w:rPr>
              <w:t>石</w:t>
            </w:r>
            <w:r>
              <w:rPr>
                <w:rFonts w:hint="eastAsia" w:ascii="Times New Roman" w:hAnsi="Times New Roman" w:cs="Times New Roman"/>
                <w:color w:val="auto"/>
                <w:szCs w:val="21"/>
                <w:highlight w:val="none"/>
                <w:lang w:eastAsia="zh-CN"/>
              </w:rPr>
              <w:t>油类</w:t>
            </w:r>
            <w:bookmarkEnd w:id="672"/>
            <w:bookmarkEnd w:id="673"/>
          </w:p>
        </w:tc>
        <w:tc>
          <w:tcPr>
            <w:tcW w:w="505"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mg/L</w:t>
            </w:r>
          </w:p>
        </w:tc>
        <w:tc>
          <w:tcPr>
            <w:tcW w:w="152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eastAsia" w:ascii="Times New Roman" w:hAnsi="Times New Roman" w:cs="Times New Roman"/>
                <w:smallCaps w:val="0"/>
                <w:color w:val="auto"/>
                <w:spacing w:val="0"/>
                <w:w w:val="100"/>
                <w:sz w:val="24"/>
                <w:highlight w:val="none"/>
              </w:rPr>
            </w:pPr>
            <w:bookmarkStart w:id="674" w:name="_Toc23647"/>
            <w:bookmarkStart w:id="675" w:name="_Toc16063"/>
            <w:r>
              <w:rPr>
                <w:rFonts w:hint="default" w:ascii="仿宋" w:hAnsi="仿宋" w:eastAsia="仿宋" w:cs="仿宋"/>
                <w:color w:val="auto"/>
                <w:szCs w:val="21"/>
                <w:highlight w:val="none"/>
              </w:rPr>
              <w:t>≤</w:t>
            </w:r>
            <w:r>
              <w:rPr>
                <w:rFonts w:hint="default" w:ascii="Times New Roman" w:hAnsi="Times New Roman" w:eastAsia="仿宋" w:cs="Times New Roman"/>
                <w:color w:val="auto"/>
                <w:szCs w:val="21"/>
                <w:highlight w:val="none"/>
              </w:rPr>
              <w:t>0.05</w:t>
            </w:r>
            <w:bookmarkEnd w:id="674"/>
            <w:bookmarkEnd w:id="675"/>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eastAsia="仿宋" w:cs="Times New Roman"/>
                <w:color w:val="auto"/>
                <w:szCs w:val="21"/>
                <w:highlight w:val="none"/>
                <w:lang w:val="en-US" w:eastAsia="zh-CN"/>
              </w:rPr>
            </w:pPr>
            <w:bookmarkStart w:id="676" w:name="_Toc17094"/>
            <w:bookmarkStart w:id="677" w:name="_Toc28411"/>
            <w:r>
              <w:rPr>
                <w:rFonts w:hint="eastAsia" w:ascii="Times New Roman" w:hAnsi="Times New Roman" w:cs="Times New Roman"/>
                <w:color w:val="auto"/>
                <w:szCs w:val="21"/>
                <w:highlight w:val="none"/>
                <w:lang w:val="en-US" w:eastAsia="zh-CN"/>
              </w:rPr>
              <w:t>ND</w:t>
            </w:r>
            <w:bookmarkEnd w:id="676"/>
            <w:bookmarkEnd w:id="677"/>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eastAsia="仿宋" w:cs="Times New Roman"/>
                <w:color w:val="auto"/>
                <w:szCs w:val="21"/>
                <w:highlight w:val="none"/>
                <w:lang w:val="en-US" w:eastAsia="zh-CN"/>
              </w:rPr>
            </w:pPr>
            <w:bookmarkStart w:id="678" w:name="_Toc29577"/>
            <w:bookmarkStart w:id="679" w:name="_Toc28324"/>
            <w:r>
              <w:rPr>
                <w:rFonts w:hint="eastAsia" w:ascii="Times New Roman" w:hAnsi="Times New Roman" w:cs="Times New Roman"/>
                <w:color w:val="auto"/>
                <w:szCs w:val="21"/>
                <w:highlight w:val="none"/>
                <w:lang w:val="en-US" w:eastAsia="zh-CN"/>
              </w:rPr>
              <w:t>ND</w:t>
            </w:r>
            <w:bookmarkEnd w:id="678"/>
            <w:bookmarkEnd w:id="679"/>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eastAsia="仿宋" w:cs="Times New Roman"/>
                <w:color w:val="auto"/>
                <w:szCs w:val="21"/>
                <w:highlight w:val="none"/>
                <w:lang w:val="en-US" w:eastAsia="zh-CN"/>
              </w:rPr>
            </w:pPr>
            <w:bookmarkStart w:id="680" w:name="_Toc3464"/>
            <w:bookmarkStart w:id="681" w:name="_Toc28670"/>
            <w:r>
              <w:rPr>
                <w:rFonts w:hint="eastAsia" w:ascii="Times New Roman" w:hAnsi="Times New Roman" w:cs="Times New Roman"/>
                <w:color w:val="auto"/>
                <w:szCs w:val="21"/>
                <w:highlight w:val="none"/>
                <w:lang w:val="en-US" w:eastAsia="zh-CN"/>
              </w:rPr>
              <w:t>ND</w:t>
            </w:r>
            <w:bookmarkEnd w:id="680"/>
            <w:bookmarkEnd w:id="681"/>
          </w:p>
        </w:tc>
        <w:tc>
          <w:tcPr>
            <w:tcW w:w="212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outlineLvl w:val="0"/>
              <w:rPr>
                <w:rFonts w:hint="default" w:ascii="Times New Roman" w:hAnsi="Times New Roman" w:eastAsia="仿宋" w:cs="Times New Roman"/>
                <w:color w:val="auto"/>
                <w:szCs w:val="21"/>
                <w:highlight w:val="none"/>
                <w:lang w:val="en-US" w:eastAsia="zh-CN"/>
              </w:rPr>
            </w:pPr>
            <w:bookmarkStart w:id="682" w:name="_Toc29222"/>
            <w:bookmarkStart w:id="683" w:name="_Toc5788"/>
            <w:r>
              <w:rPr>
                <w:rFonts w:hint="eastAsia" w:ascii="Times New Roman" w:hAnsi="Times New Roman" w:cs="Times New Roman"/>
                <w:color w:val="auto"/>
                <w:szCs w:val="21"/>
                <w:highlight w:val="none"/>
                <w:lang w:val="en-US" w:eastAsia="zh-CN"/>
              </w:rPr>
              <w:t>ND</w:t>
            </w:r>
            <w:bookmarkEnd w:id="682"/>
            <w:bookmarkEnd w:id="683"/>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注：ND未检出。</w:t>
      </w:r>
    </w:p>
    <w:p>
      <w:pPr>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br w:type="page"/>
      </w:r>
    </w:p>
    <w:p>
      <w:pPr>
        <w:rPr>
          <w:rFonts w:hint="default"/>
          <w:color w:val="auto"/>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地下水环境现状评价</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①评价方法</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以单因子污染指数法对地下水现状进行评价。单项污染指数的数学模式如下：</w:t>
      </w:r>
    </w:p>
    <w:p>
      <w:pPr>
        <w:rPr>
          <w:rFonts w:hint="eastAsia" w:ascii="Times New Roman" w:hAnsi="Times New Roman" w:eastAsia="宋体" w:cs="Times New Roman"/>
          <w:smallCaps w:val="0"/>
          <w:color w:val="auto"/>
          <w:spacing w:val="0"/>
          <w:w w:val="100"/>
          <w:kern w:val="0"/>
          <w:sz w:val="28"/>
          <w:szCs w:val="28"/>
          <w:highlight w:val="none"/>
        </w:rPr>
      </w:pPr>
      <w:r>
        <w:rPr>
          <w:rFonts w:hint="eastAsia" w:ascii="Times New Roman" w:hAnsi="Times New Roman" w:eastAsia="宋体" w:cs="Times New Roman"/>
          <w:smallCaps w:val="0"/>
          <w:color w:val="auto"/>
          <w:spacing w:val="0"/>
          <w:w w:val="100"/>
          <w:kern w:val="0"/>
          <w:sz w:val="28"/>
          <w:szCs w:val="28"/>
          <w:highlight w:val="none"/>
        </w:rPr>
        <w:drawing>
          <wp:inline distT="0" distB="0" distL="114300" distR="114300">
            <wp:extent cx="1352550" cy="1066800"/>
            <wp:effectExtent l="0" t="0" r="0" b="0"/>
            <wp:docPr id="32" name="图片 32" descr="公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公示5"/>
                    <pic:cNvPicPr>
                      <a:picLocks noChangeAspect="1"/>
                    </pic:cNvPicPr>
                  </pic:nvPicPr>
                  <pic:blipFill>
                    <a:blip r:embed="rId30"/>
                    <a:stretch>
                      <a:fillRect/>
                    </a:stretch>
                  </pic:blipFill>
                  <pic:spPr>
                    <a:xfrm>
                      <a:off x="0" y="0"/>
                      <a:ext cx="1352550" cy="106680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式中：Pi-第i个水质因子的标准指数，量纲为1；</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Ci-第i个水质因子的监测浓度值，mg/L；</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Csi-第i个水质因子的标准浓度值，mg/L。</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pH的标准指数</w:t>
      </w:r>
      <w:r>
        <w:rPr>
          <w:rFonts w:hint="eastAsia" w:ascii="Times New Roman" w:hAnsi="Times New Roman" w:eastAsia="宋体" w:cs="Times New Roman"/>
          <w:caps w:val="0"/>
          <w:smallCaps w:val="0"/>
          <w:color w:val="auto"/>
          <w:spacing w:val="0"/>
          <w:w w:val="100"/>
          <w:kern w:val="0"/>
          <w:sz w:val="24"/>
          <w:szCs w:val="24"/>
          <w:highlight w:val="none"/>
          <w:lang w:val="en-US" w:eastAsia="zh-CN"/>
        </w:rPr>
        <w:t>计算公式</w:t>
      </w:r>
      <w:r>
        <w:rPr>
          <w:rFonts w:hint="default" w:ascii="Times New Roman" w:hAnsi="Times New Roman" w:eastAsia="宋体" w:cs="Times New Roman"/>
          <w:caps w:val="0"/>
          <w:smallCaps w:val="0"/>
          <w:color w:val="auto"/>
          <w:spacing w:val="0"/>
          <w:w w:val="100"/>
          <w:kern w:val="0"/>
          <w:sz w:val="24"/>
          <w:szCs w:val="24"/>
          <w:highlight w:val="none"/>
          <w:lang w:val="en-US" w:eastAsia="zh-CN"/>
        </w:rPr>
        <w:t>为：</w:t>
      </w:r>
    </w:p>
    <w:p>
      <w:pPr>
        <w:rPr>
          <w:rFonts w:hint="eastAsia" w:ascii="Times New Roman" w:hAnsi="Times New Roman" w:eastAsia="宋体" w:cs="Times New Roman"/>
          <w:smallCaps w:val="0"/>
          <w:color w:val="auto"/>
          <w:spacing w:val="0"/>
          <w:w w:val="100"/>
          <w:kern w:val="0"/>
          <w:sz w:val="28"/>
          <w:szCs w:val="28"/>
          <w:highlight w:val="none"/>
        </w:rPr>
      </w:pPr>
      <w:r>
        <w:rPr>
          <w:rFonts w:hint="eastAsia" w:ascii="Times New Roman" w:hAnsi="Times New Roman" w:eastAsia="宋体" w:cs="Times New Roman"/>
          <w:smallCaps w:val="0"/>
          <w:color w:val="auto"/>
          <w:spacing w:val="0"/>
          <w:w w:val="100"/>
          <w:kern w:val="0"/>
          <w:sz w:val="28"/>
          <w:szCs w:val="28"/>
          <w:highlight w:val="none"/>
        </w:rPr>
        <w:drawing>
          <wp:inline distT="0" distB="0" distL="114300" distR="114300">
            <wp:extent cx="4381500" cy="2076450"/>
            <wp:effectExtent l="0" t="0" r="0" b="0"/>
            <wp:docPr id="33" name="图片 33" descr="公示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公示6"/>
                    <pic:cNvPicPr>
                      <a:picLocks noChangeAspect="1"/>
                    </pic:cNvPicPr>
                  </pic:nvPicPr>
                  <pic:blipFill>
                    <a:blip r:embed="rId31"/>
                    <a:stretch>
                      <a:fillRect/>
                    </a:stretch>
                  </pic:blipFill>
                  <pic:spPr>
                    <a:xfrm>
                      <a:off x="0" y="0"/>
                      <a:ext cx="4381500" cy="2076450"/>
                    </a:xfrm>
                    <a:prstGeom prst="rect">
                      <a:avLst/>
                    </a:prstGeom>
                  </pic:spPr>
                </pic:pic>
              </a:graphicData>
            </a:graphic>
          </wp:inline>
        </w:drawing>
      </w:r>
    </w:p>
    <w:p>
      <w:pPr>
        <w:numPr>
          <w:ilvl w:val="0"/>
          <w:numId w:val="0"/>
        </w:numPr>
        <w:spacing w:before="2" w:line="385" w:lineRule="auto"/>
        <w:ind w:right="70" w:rightChars="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式中：PpH—pH的标准指数，量纲为1；</w:t>
      </w:r>
    </w:p>
    <w:p>
      <w:pPr>
        <w:numPr>
          <w:ilvl w:val="0"/>
          <w:numId w:val="0"/>
        </w:numPr>
        <w:spacing w:before="2" w:line="385" w:lineRule="auto"/>
        <w:ind w:right="70" w:rightChars="0" w:firstLine="864" w:firstLineChars="3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pH—pH的监测值；</w:t>
      </w:r>
    </w:p>
    <w:p>
      <w:pPr>
        <w:numPr>
          <w:ilvl w:val="0"/>
          <w:numId w:val="0"/>
        </w:numPr>
        <w:spacing w:before="2" w:line="385" w:lineRule="auto"/>
        <w:ind w:right="70" w:rightChars="0" w:firstLine="864" w:firstLineChars="3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pHsu—标准中pH的上限值；</w:t>
      </w:r>
    </w:p>
    <w:p>
      <w:pPr>
        <w:numPr>
          <w:ilvl w:val="0"/>
          <w:numId w:val="0"/>
        </w:numPr>
        <w:spacing w:before="2" w:line="385" w:lineRule="auto"/>
        <w:ind w:right="70" w:rightChars="0" w:firstLine="864" w:firstLineChars="3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pHsd—标准中pH的下限值。</w:t>
      </w:r>
    </w:p>
    <w:p>
      <w:pPr>
        <w:numPr>
          <w:ilvl w:val="0"/>
          <w:numId w:val="0"/>
        </w:numPr>
        <w:spacing w:before="2" w:line="385" w:lineRule="auto"/>
        <w:ind w:right="70" w:rightChars="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②评价标准及评价因子</w:t>
      </w:r>
    </w:p>
    <w:p>
      <w:pPr>
        <w:numPr>
          <w:ilvl w:val="0"/>
          <w:numId w:val="0"/>
        </w:numPr>
        <w:spacing w:before="2" w:line="385" w:lineRule="auto"/>
        <w:ind w:right="70" w:rightChars="0" w:firstLine="864" w:firstLineChars="3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石油类采用《地表水质量标准》（GB3838-2002）III类标准，其余监测项目采用《地下水质量标准》（GB/T14848-2017）III类标准，对地下水环境现状进行评价。</w:t>
      </w:r>
    </w:p>
    <w:p>
      <w:pPr>
        <w:numPr>
          <w:ilvl w:val="0"/>
          <w:numId w:val="0"/>
        </w:numPr>
        <w:spacing w:before="2" w:line="385" w:lineRule="auto"/>
        <w:ind w:right="70" w:rightChars="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③评价结果</w:t>
      </w:r>
    </w:p>
    <w:p>
      <w:pPr>
        <w:numPr>
          <w:ilvl w:val="0"/>
          <w:numId w:val="0"/>
        </w:numPr>
        <w:spacing w:before="2" w:line="385" w:lineRule="auto"/>
        <w:ind w:right="70" w:rightChars="0" w:firstLine="576" w:firstLineChars="2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现状评价结果见表4.2-7。</w:t>
      </w:r>
    </w:p>
    <w:p>
      <w:pPr>
        <w:widowControl/>
        <w:spacing w:line="360" w:lineRule="auto"/>
        <w:jc w:val="center"/>
        <w:rPr>
          <w:rFonts w:ascii="Times New Roman" w:hAnsi="Times New Roman" w:eastAsia="宋体" w:cs="Times New Roman"/>
          <w:b/>
          <w:bCs/>
          <w:smallCaps w:val="0"/>
          <w:color w:val="auto"/>
          <w:spacing w:val="0"/>
          <w:w w:val="100"/>
          <w:kern w:val="0"/>
          <w:sz w:val="24"/>
          <w:highlight w:val="none"/>
          <w:lang w:bidi="ar"/>
        </w:rPr>
      </w:pPr>
      <w:r>
        <w:rPr>
          <w:rFonts w:hint="eastAsia" w:ascii="Times New Roman" w:hAnsi="Times New Roman" w:eastAsia="宋体" w:cs="Times New Roman"/>
          <w:b/>
          <w:bCs/>
          <w:smallCaps w:val="0"/>
          <w:color w:val="auto"/>
          <w:spacing w:val="0"/>
          <w:w w:val="100"/>
          <w:kern w:val="0"/>
          <w:sz w:val="24"/>
          <w:highlight w:val="none"/>
          <w:lang w:bidi="ar"/>
        </w:rPr>
        <w:t>表</w:t>
      </w:r>
      <w:r>
        <w:rPr>
          <w:rFonts w:ascii="Times New Roman" w:hAnsi="Times New Roman" w:eastAsia="宋体" w:cs="Times New Roman"/>
          <w:b/>
          <w:bCs/>
          <w:smallCaps w:val="0"/>
          <w:color w:val="auto"/>
          <w:spacing w:val="0"/>
          <w:w w:val="100"/>
          <w:kern w:val="0"/>
          <w:sz w:val="24"/>
          <w:highlight w:val="none"/>
          <w:lang w:bidi="ar"/>
        </w:rPr>
        <w:t>4.</w:t>
      </w:r>
      <w:r>
        <w:rPr>
          <w:rFonts w:hint="eastAsia" w:ascii="Times New Roman" w:hAnsi="Times New Roman" w:eastAsia="宋体" w:cs="Times New Roman"/>
          <w:b/>
          <w:bCs/>
          <w:smallCaps w:val="0"/>
          <w:color w:val="auto"/>
          <w:spacing w:val="0"/>
          <w:w w:val="100"/>
          <w:kern w:val="0"/>
          <w:sz w:val="24"/>
          <w:highlight w:val="none"/>
          <w:lang w:bidi="ar"/>
        </w:rPr>
        <w:t>2</w:t>
      </w:r>
      <w:r>
        <w:rPr>
          <w:rFonts w:ascii="Times New Roman" w:hAnsi="Times New Roman" w:eastAsia="宋体" w:cs="Times New Roman"/>
          <w:b/>
          <w:bCs/>
          <w:smallCaps w:val="0"/>
          <w:color w:val="auto"/>
          <w:spacing w:val="0"/>
          <w:w w:val="100"/>
          <w:kern w:val="0"/>
          <w:sz w:val="24"/>
          <w:highlight w:val="none"/>
          <w:lang w:bidi="ar"/>
        </w:rPr>
        <w:t>-</w:t>
      </w:r>
      <w:r>
        <w:rPr>
          <w:rFonts w:hint="eastAsia" w:ascii="Times New Roman" w:hAnsi="Times New Roman" w:eastAsia="宋体" w:cs="Times New Roman"/>
          <w:b/>
          <w:bCs/>
          <w:smallCaps w:val="0"/>
          <w:color w:val="auto"/>
          <w:spacing w:val="0"/>
          <w:w w:val="100"/>
          <w:kern w:val="0"/>
          <w:sz w:val="24"/>
          <w:highlight w:val="none"/>
          <w:lang w:val="en-US" w:eastAsia="zh-CN" w:bidi="ar"/>
        </w:rPr>
        <w:t>14</w:t>
      </w:r>
      <w:r>
        <w:rPr>
          <w:rFonts w:hint="eastAsia" w:ascii="Times New Roman" w:hAnsi="Times New Roman" w:eastAsia="宋体" w:cs="Times New Roman"/>
          <w:b/>
          <w:bCs/>
          <w:smallCaps w:val="0"/>
          <w:color w:val="auto"/>
          <w:spacing w:val="0"/>
          <w:w w:val="100"/>
          <w:kern w:val="0"/>
          <w:sz w:val="24"/>
          <w:highlight w:val="none"/>
          <w:lang w:bidi="ar"/>
        </w:rPr>
        <w:t>地下水现状评价结果</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27"/>
        <w:gridCol w:w="1562"/>
        <w:gridCol w:w="1531"/>
        <w:gridCol w:w="1531"/>
        <w:gridCol w:w="1531"/>
        <w:gridCol w:w="153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序号</w:t>
            </w:r>
          </w:p>
        </w:tc>
        <w:tc>
          <w:tcPr>
            <w:tcW w:w="1562"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监测项目</w:t>
            </w:r>
          </w:p>
        </w:tc>
        <w:tc>
          <w:tcPr>
            <w:tcW w:w="1531"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D1</w:t>
            </w:r>
          </w:p>
        </w:tc>
        <w:tc>
          <w:tcPr>
            <w:tcW w:w="1531"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D2</w:t>
            </w:r>
          </w:p>
        </w:tc>
        <w:tc>
          <w:tcPr>
            <w:tcW w:w="1531"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D3</w:t>
            </w:r>
          </w:p>
        </w:tc>
        <w:tc>
          <w:tcPr>
            <w:tcW w:w="1534"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D4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w:t>
            </w:r>
          </w:p>
        </w:tc>
        <w:tc>
          <w:tcPr>
            <w:tcW w:w="1562"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Na</w:t>
            </w:r>
            <w:r>
              <w:rPr>
                <w:rFonts w:ascii="Times New Roman" w:hAnsi="Times New Roman" w:cs="Times New Roman"/>
                <w:smallCaps w:val="0"/>
                <w:color w:val="auto"/>
                <w:spacing w:val="0"/>
                <w:w w:val="100"/>
                <w:sz w:val="21"/>
                <w:szCs w:val="21"/>
                <w:highlight w:val="none"/>
                <w:vertAlign w:val="superscript"/>
              </w:rPr>
              <w:t>+</w:t>
            </w:r>
          </w:p>
        </w:tc>
        <w:tc>
          <w:tcPr>
            <w:tcW w:w="1531" w:type="dxa"/>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0.467</w:t>
            </w:r>
          </w:p>
        </w:tc>
        <w:tc>
          <w:tcPr>
            <w:tcW w:w="1531" w:type="dxa"/>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0.473</w:t>
            </w:r>
          </w:p>
        </w:tc>
        <w:tc>
          <w:tcPr>
            <w:tcW w:w="1531" w:type="dxa"/>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0.442</w:t>
            </w:r>
          </w:p>
        </w:tc>
        <w:tc>
          <w:tcPr>
            <w:tcW w:w="1534" w:type="dxa"/>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0.429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w:t>
            </w:r>
          </w:p>
        </w:tc>
        <w:tc>
          <w:tcPr>
            <w:tcW w:w="1562"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Cl</w:t>
            </w:r>
            <w:r>
              <w:rPr>
                <w:rFonts w:ascii="Times New Roman" w:hAnsi="Times New Roman" w:cs="Times New Roman"/>
                <w:smallCaps w:val="0"/>
                <w:color w:val="auto"/>
                <w:spacing w:val="0"/>
                <w:w w:val="100"/>
                <w:sz w:val="21"/>
                <w:szCs w:val="21"/>
                <w:highlight w:val="none"/>
                <w:vertAlign w:val="superscript"/>
              </w:rPr>
              <w:t>-</w:t>
            </w:r>
            <w:r>
              <w:rPr>
                <w:rFonts w:ascii="Times New Roman" w:hAnsi="Times New Roman" w:cs="Times New Roman"/>
                <w:smallCaps w:val="0"/>
                <w:color w:val="auto"/>
                <w:spacing w:val="0"/>
                <w:w w:val="100"/>
                <w:sz w:val="21"/>
                <w:szCs w:val="21"/>
                <w:highlight w:val="none"/>
              </w:rPr>
              <w:t>（氯化物）</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0.225</w:t>
            </w:r>
          </w:p>
        </w:tc>
        <w:tc>
          <w:tcPr>
            <w:tcW w:w="15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0.1</w:t>
            </w:r>
            <w:r>
              <w:rPr>
                <w:rFonts w:hint="eastAsia" w:ascii="Times New Roman" w:hAnsi="Times New Roman" w:eastAsia="宋体" w:cs="Times New Roman"/>
                <w:i w:val="0"/>
                <w:iCs w:val="0"/>
                <w:color w:val="auto"/>
                <w:kern w:val="0"/>
                <w:sz w:val="21"/>
                <w:szCs w:val="21"/>
                <w:highlight w:val="none"/>
                <w:u w:val="none"/>
                <w:lang w:val="en-US" w:eastAsia="zh-CN" w:bidi="ar"/>
              </w:rPr>
              <w:t>90</w:t>
            </w:r>
          </w:p>
        </w:tc>
        <w:tc>
          <w:tcPr>
            <w:tcW w:w="15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0.186</w:t>
            </w:r>
          </w:p>
        </w:tc>
        <w:tc>
          <w:tcPr>
            <w:tcW w:w="153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0.1708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3</w:t>
            </w:r>
          </w:p>
        </w:tc>
        <w:tc>
          <w:tcPr>
            <w:tcW w:w="1562"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vertAlign w:val="superscript"/>
              </w:rPr>
            </w:pPr>
            <w:r>
              <w:rPr>
                <w:rFonts w:ascii="Times New Roman" w:hAnsi="Times New Roman" w:cs="Times New Roman"/>
                <w:smallCaps w:val="0"/>
                <w:color w:val="auto"/>
                <w:spacing w:val="0"/>
                <w:w w:val="100"/>
                <w:sz w:val="21"/>
                <w:szCs w:val="21"/>
                <w:highlight w:val="none"/>
              </w:rPr>
              <w:t>SO</w:t>
            </w:r>
            <w:r>
              <w:rPr>
                <w:rFonts w:ascii="Times New Roman" w:hAnsi="Times New Roman" w:cs="Times New Roman"/>
                <w:smallCaps w:val="0"/>
                <w:color w:val="auto"/>
                <w:spacing w:val="0"/>
                <w:w w:val="100"/>
                <w:sz w:val="21"/>
                <w:szCs w:val="21"/>
                <w:highlight w:val="none"/>
                <w:vertAlign w:val="subscript"/>
              </w:rPr>
              <w:t>4</w:t>
            </w:r>
            <w:r>
              <w:rPr>
                <w:rFonts w:ascii="Times New Roman" w:hAnsi="Times New Roman" w:cs="Times New Roman"/>
                <w:smallCaps w:val="0"/>
                <w:color w:val="auto"/>
                <w:spacing w:val="0"/>
                <w:w w:val="100"/>
                <w:sz w:val="21"/>
                <w:szCs w:val="21"/>
                <w:highlight w:val="none"/>
                <w:vertAlign w:val="superscript"/>
              </w:rPr>
              <w:t>2-</w:t>
            </w:r>
          </w:p>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（硫酸盐）</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0.109</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0.1008</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0.098</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0.087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4</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pH</w:t>
            </w:r>
          </w:p>
        </w:tc>
        <w:tc>
          <w:tcPr>
            <w:tcW w:w="15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0.493</w:t>
            </w:r>
          </w:p>
        </w:tc>
        <w:tc>
          <w:tcPr>
            <w:tcW w:w="15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0.533</w:t>
            </w:r>
          </w:p>
        </w:tc>
        <w:tc>
          <w:tcPr>
            <w:tcW w:w="15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0.513</w:t>
            </w:r>
          </w:p>
        </w:tc>
        <w:tc>
          <w:tcPr>
            <w:tcW w:w="153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0.540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5</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总硬度</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0.547</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0.529</w:t>
            </w:r>
          </w:p>
        </w:tc>
        <w:tc>
          <w:tcPr>
            <w:tcW w:w="15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0.491</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0.458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6</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氨氮</w:t>
            </w:r>
          </w:p>
        </w:tc>
        <w:tc>
          <w:tcPr>
            <w:tcW w:w="15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0.552</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0.588</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0.626</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0.488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7</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氰化物</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8</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挥发酚</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9</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汞</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10</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砷</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11</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镉</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12</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六价铬</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13</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铁</w:t>
            </w:r>
          </w:p>
        </w:tc>
        <w:tc>
          <w:tcPr>
            <w:tcW w:w="15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0.7</w:t>
            </w:r>
            <w:r>
              <w:rPr>
                <w:rFonts w:hint="eastAsia" w:ascii="Times New Roman" w:hAnsi="Times New Roman" w:eastAsia="宋体" w:cs="Times New Roman"/>
                <w:i w:val="0"/>
                <w:iCs w:val="0"/>
                <w:color w:val="auto"/>
                <w:kern w:val="0"/>
                <w:sz w:val="21"/>
                <w:szCs w:val="21"/>
                <w:highlight w:val="none"/>
                <w:u w:val="none"/>
                <w:lang w:val="en-US" w:eastAsia="zh-CN" w:bidi="ar"/>
              </w:rPr>
              <w:t>00</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0.633</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0.367</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14</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锰</w:t>
            </w:r>
          </w:p>
        </w:tc>
        <w:tc>
          <w:tcPr>
            <w:tcW w:w="15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0.4</w:t>
            </w:r>
            <w:r>
              <w:rPr>
                <w:rFonts w:hint="eastAsia" w:ascii="Times New Roman" w:hAnsi="Times New Roman" w:eastAsia="宋体" w:cs="Times New Roman"/>
                <w:i w:val="0"/>
                <w:iCs w:val="0"/>
                <w:color w:val="auto"/>
                <w:kern w:val="0"/>
                <w:sz w:val="21"/>
                <w:szCs w:val="21"/>
                <w:highlight w:val="none"/>
                <w:u w:val="none"/>
                <w:lang w:val="en-US" w:eastAsia="zh-CN" w:bidi="ar"/>
              </w:rPr>
              <w:t>00</w:t>
            </w:r>
          </w:p>
        </w:tc>
        <w:tc>
          <w:tcPr>
            <w:tcW w:w="15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0.7</w:t>
            </w:r>
            <w:r>
              <w:rPr>
                <w:rFonts w:hint="eastAsia" w:ascii="Times New Roman" w:hAnsi="Times New Roman" w:eastAsia="宋体" w:cs="Times New Roman"/>
                <w:i w:val="0"/>
                <w:iCs w:val="0"/>
                <w:color w:val="auto"/>
                <w:kern w:val="0"/>
                <w:sz w:val="21"/>
                <w:szCs w:val="21"/>
                <w:highlight w:val="none"/>
                <w:u w:val="none"/>
                <w:lang w:val="en-US" w:eastAsia="zh-CN" w:bidi="ar"/>
              </w:rPr>
              <w:t>00</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15</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铅</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16</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Style w:val="21"/>
                <w:color w:val="auto"/>
                <w:highlight w:val="none"/>
                <w:lang w:val="en-US" w:eastAsia="zh-CN" w:bidi="ar"/>
              </w:rPr>
              <w:t>亚硝酸盐（以</w:t>
            </w:r>
            <w:r>
              <w:rPr>
                <w:rStyle w:val="22"/>
                <w:rFonts w:eastAsia="宋体"/>
                <w:color w:val="auto"/>
                <w:highlight w:val="none"/>
                <w:lang w:val="en-US" w:eastAsia="zh-CN" w:bidi="ar"/>
              </w:rPr>
              <w:t>N</w:t>
            </w:r>
            <w:r>
              <w:rPr>
                <w:rStyle w:val="21"/>
                <w:color w:val="auto"/>
                <w:highlight w:val="none"/>
                <w:lang w:val="en-US" w:eastAsia="zh-CN" w:bidi="ar"/>
              </w:rPr>
              <w:t>计）</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17</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Style w:val="21"/>
                <w:color w:val="auto"/>
                <w:highlight w:val="none"/>
                <w:lang w:val="en-US" w:eastAsia="zh-CN" w:bidi="ar"/>
              </w:rPr>
              <w:t>硝酸盐（以</w:t>
            </w:r>
            <w:r>
              <w:rPr>
                <w:rStyle w:val="22"/>
                <w:rFonts w:eastAsia="宋体"/>
                <w:color w:val="auto"/>
                <w:highlight w:val="none"/>
                <w:lang w:val="en-US" w:eastAsia="zh-CN" w:bidi="ar"/>
              </w:rPr>
              <w:t>N</w:t>
            </w:r>
            <w:r>
              <w:rPr>
                <w:rStyle w:val="21"/>
                <w:color w:val="auto"/>
                <w:highlight w:val="none"/>
                <w:lang w:val="en-US" w:eastAsia="zh-CN" w:bidi="ar"/>
              </w:rPr>
              <w:t>计）</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0.028</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0.02</w:t>
            </w:r>
            <w:r>
              <w:rPr>
                <w:rFonts w:hint="eastAsia" w:ascii="Times New Roman" w:hAnsi="Times New Roman" w:eastAsia="宋体" w:cs="Times New Roman"/>
                <w:i w:val="0"/>
                <w:iCs w:val="0"/>
                <w:color w:val="auto"/>
                <w:kern w:val="0"/>
                <w:sz w:val="21"/>
                <w:szCs w:val="21"/>
                <w:highlight w:val="none"/>
                <w:u w:val="none"/>
                <w:lang w:val="en-US" w:eastAsia="zh-CN" w:bidi="ar"/>
              </w:rPr>
              <w:t>4</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0.0259</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18</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溶解性总固体</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0.481</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0.475</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0.426</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19</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总大肠菌群</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20</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菌落总数</w:t>
            </w:r>
          </w:p>
        </w:tc>
        <w:tc>
          <w:tcPr>
            <w:tcW w:w="15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0.24</w:t>
            </w: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0.27</w:t>
            </w:r>
          </w:p>
        </w:tc>
        <w:tc>
          <w:tcPr>
            <w:tcW w:w="15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0.21</w:t>
            </w: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53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0.19</w:t>
            </w: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21</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氟化物</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0.613</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0.524</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0.576</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0.437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22</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耗氧量</w:t>
            </w:r>
          </w:p>
        </w:tc>
        <w:tc>
          <w:tcPr>
            <w:tcW w:w="15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0.67</w:t>
            </w: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0.703</w:t>
            </w:r>
          </w:p>
        </w:tc>
        <w:tc>
          <w:tcPr>
            <w:tcW w:w="153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0.63</w:t>
            </w: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53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0.61</w:t>
            </w: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2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23</w:t>
            </w:r>
          </w:p>
        </w:tc>
        <w:tc>
          <w:tcPr>
            <w:tcW w:w="1562" w:type="dxa"/>
            <w:tcBorders>
              <w:tl2br w:val="nil"/>
              <w:tr2bl w:val="nil"/>
            </w:tcBorders>
            <w:vAlign w:val="center"/>
          </w:tcPr>
          <w:p>
            <w:pPr>
              <w:keepNext w:val="0"/>
              <w:keepLines w:val="0"/>
              <w:widowControl/>
              <w:suppressLineNumbers w:val="0"/>
              <w:jc w:val="center"/>
              <w:textAlignment w:val="center"/>
              <w:rPr>
                <w:rFonts w:ascii="Times New Roman" w:hAnsi="Times New Roman" w:cs="Times New Roman"/>
                <w:smallCaps w:val="0"/>
                <w:color w:val="auto"/>
                <w:spacing w:val="0"/>
                <w:w w:val="100"/>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石油类</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1"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534"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bl>
    <w:p>
      <w:pPr>
        <w:numPr>
          <w:ilvl w:val="0"/>
          <w:numId w:val="0"/>
        </w:numPr>
        <w:spacing w:before="2" w:line="385" w:lineRule="auto"/>
        <w:ind w:right="70" w:rightChars="0" w:firstLine="576" w:firstLineChars="2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从评价结果可以看出，评价区承压水和潜水各监测点水质石油类满足《地表水质量标准》（GB3838-2002）III类标准要求，其余监测项目满足《地下水质量标准》（GB/T14848-2017）III类标准要求。</w:t>
      </w:r>
    </w:p>
    <w:p>
      <w:pPr>
        <w:numPr>
          <w:ilvl w:val="0"/>
          <w:numId w:val="0"/>
        </w:numPr>
        <w:spacing w:before="2" w:line="385" w:lineRule="auto"/>
        <w:ind w:right="70" w:rightChars="0" w:firstLine="576" w:firstLineChars="2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④地下水化学类型分析</w:t>
      </w:r>
    </w:p>
    <w:p>
      <w:pPr>
        <w:numPr>
          <w:ilvl w:val="0"/>
          <w:numId w:val="0"/>
        </w:numPr>
        <w:spacing w:before="2" w:line="385" w:lineRule="auto"/>
        <w:ind w:right="70" w:rightChars="0" w:firstLine="576" w:firstLineChars="2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根据舒卡列夫分类法，地下水中Ca2+、Mg2＋、Na＋（Na+K）、Cl－、SO42－、HCO3－将Meq（毫克当量）百分数大于25%的阴、阳离子进行组合，每种类型以阿拉伯数字为代号，共49类。</w:t>
      </w:r>
    </w:p>
    <w:p>
      <w:pPr>
        <w:widowControl/>
        <w:spacing w:line="360" w:lineRule="auto"/>
        <w:jc w:val="center"/>
        <w:rPr>
          <w:rFonts w:ascii="Times New Roman" w:hAnsi="Times New Roman" w:eastAsia="宋体" w:cs="Times New Roman"/>
          <w:b/>
          <w:bCs/>
          <w:smallCaps w:val="0"/>
          <w:color w:val="auto"/>
          <w:spacing w:val="0"/>
          <w:w w:val="100"/>
          <w:kern w:val="0"/>
          <w:sz w:val="24"/>
          <w:highlight w:val="none"/>
          <w:lang w:bidi="ar"/>
        </w:rPr>
      </w:pPr>
      <w:r>
        <w:rPr>
          <w:rFonts w:hint="eastAsia" w:ascii="Times New Roman" w:hAnsi="Times New Roman" w:eastAsia="宋体" w:cs="Times New Roman"/>
          <w:b/>
          <w:bCs/>
          <w:smallCaps w:val="0"/>
          <w:color w:val="auto"/>
          <w:spacing w:val="0"/>
          <w:w w:val="100"/>
          <w:kern w:val="0"/>
          <w:sz w:val="24"/>
          <w:highlight w:val="none"/>
          <w:lang w:bidi="ar"/>
        </w:rPr>
        <w:t>表</w:t>
      </w:r>
      <w:r>
        <w:rPr>
          <w:rFonts w:ascii="Times New Roman" w:hAnsi="Times New Roman" w:eastAsia="宋体" w:cs="Times New Roman"/>
          <w:b/>
          <w:bCs/>
          <w:smallCaps w:val="0"/>
          <w:color w:val="auto"/>
          <w:spacing w:val="0"/>
          <w:w w:val="100"/>
          <w:kern w:val="0"/>
          <w:sz w:val="24"/>
          <w:highlight w:val="none"/>
          <w:lang w:bidi="ar"/>
        </w:rPr>
        <w:t>4.</w:t>
      </w:r>
      <w:r>
        <w:rPr>
          <w:rFonts w:hint="eastAsia" w:ascii="Times New Roman" w:hAnsi="Times New Roman" w:eastAsia="宋体" w:cs="Times New Roman"/>
          <w:b/>
          <w:bCs/>
          <w:smallCaps w:val="0"/>
          <w:color w:val="auto"/>
          <w:spacing w:val="0"/>
          <w:w w:val="100"/>
          <w:kern w:val="0"/>
          <w:sz w:val="24"/>
          <w:highlight w:val="none"/>
          <w:lang w:bidi="ar"/>
        </w:rPr>
        <w:t>2</w:t>
      </w:r>
      <w:r>
        <w:rPr>
          <w:rFonts w:ascii="Times New Roman" w:hAnsi="Times New Roman" w:eastAsia="宋体" w:cs="Times New Roman"/>
          <w:b/>
          <w:bCs/>
          <w:smallCaps w:val="0"/>
          <w:color w:val="auto"/>
          <w:spacing w:val="0"/>
          <w:w w:val="100"/>
          <w:kern w:val="0"/>
          <w:sz w:val="24"/>
          <w:highlight w:val="none"/>
          <w:lang w:bidi="ar"/>
        </w:rPr>
        <w:t>-</w:t>
      </w:r>
      <w:r>
        <w:rPr>
          <w:rFonts w:hint="eastAsia" w:ascii="Times New Roman" w:hAnsi="Times New Roman" w:eastAsia="宋体" w:cs="Times New Roman"/>
          <w:b/>
          <w:bCs/>
          <w:smallCaps w:val="0"/>
          <w:color w:val="auto"/>
          <w:spacing w:val="0"/>
          <w:w w:val="100"/>
          <w:kern w:val="0"/>
          <w:sz w:val="24"/>
          <w:highlight w:val="none"/>
          <w:lang w:val="en-US" w:eastAsia="zh-CN" w:bidi="ar"/>
        </w:rPr>
        <w:t>15</w:t>
      </w:r>
      <w:r>
        <w:rPr>
          <w:rFonts w:hint="eastAsia" w:ascii="Times New Roman" w:hAnsi="Times New Roman" w:eastAsia="宋体" w:cs="Times New Roman"/>
          <w:b/>
          <w:bCs/>
          <w:smallCaps w:val="0"/>
          <w:color w:val="auto"/>
          <w:spacing w:val="0"/>
          <w:w w:val="100"/>
          <w:kern w:val="0"/>
          <w:sz w:val="24"/>
          <w:highlight w:val="none"/>
          <w:lang w:bidi="ar"/>
        </w:rPr>
        <w:t>舒卡列夫分类表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77"/>
        <w:gridCol w:w="1048"/>
        <w:gridCol w:w="1048"/>
        <w:gridCol w:w="1048"/>
        <w:gridCol w:w="1048"/>
        <w:gridCol w:w="1048"/>
        <w:gridCol w:w="1048"/>
        <w:gridCol w:w="105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含量＞</w:t>
            </w:r>
            <w:r>
              <w:rPr>
                <w:rFonts w:ascii="Times New Roman" w:hAnsi="Times New Roman" w:cs="Times New Roman"/>
                <w:smallCaps w:val="0"/>
                <w:color w:val="auto"/>
                <w:spacing w:val="0"/>
                <w:w w:val="100"/>
                <w:sz w:val="21"/>
                <w:szCs w:val="21"/>
                <w:highlight w:val="none"/>
              </w:rPr>
              <w:t>25%Meq</w:t>
            </w:r>
            <w:r>
              <w:rPr>
                <w:rFonts w:hint="eastAsia" w:ascii="Times New Roman" w:hAnsi="Times New Roman" w:cs="Times New Roman"/>
                <w:smallCaps w:val="0"/>
                <w:color w:val="auto"/>
                <w:spacing w:val="0"/>
                <w:w w:val="100"/>
                <w:sz w:val="21"/>
                <w:szCs w:val="21"/>
                <w:highlight w:val="none"/>
              </w:rPr>
              <w:t>的离子</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HCO</w:t>
            </w:r>
            <w:r>
              <w:rPr>
                <w:rFonts w:ascii="Times New Roman" w:hAnsi="Times New Roman" w:cs="Times New Roman"/>
                <w:smallCaps w:val="0"/>
                <w:color w:val="auto"/>
                <w:spacing w:val="0"/>
                <w:w w:val="100"/>
                <w:sz w:val="21"/>
                <w:szCs w:val="21"/>
                <w:highlight w:val="none"/>
                <w:vertAlign w:val="subscript"/>
              </w:rPr>
              <w:t>3</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HCO</w:t>
            </w:r>
            <w:r>
              <w:rPr>
                <w:rFonts w:ascii="Times New Roman" w:hAnsi="Times New Roman" w:cs="Times New Roman"/>
                <w:smallCaps w:val="0"/>
                <w:color w:val="auto"/>
                <w:spacing w:val="0"/>
                <w:w w:val="100"/>
                <w:sz w:val="21"/>
                <w:szCs w:val="21"/>
                <w:highlight w:val="none"/>
                <w:vertAlign w:val="subscript"/>
              </w:rPr>
              <w:t>3</w:t>
            </w:r>
            <w:r>
              <w:rPr>
                <w:rFonts w:ascii="Times New Roman" w:hAnsi="Times New Roman" w:cs="Times New Roman"/>
                <w:smallCaps w:val="0"/>
                <w:color w:val="auto"/>
                <w:spacing w:val="0"/>
                <w:w w:val="100"/>
                <w:sz w:val="21"/>
                <w:szCs w:val="21"/>
                <w:highlight w:val="none"/>
              </w:rPr>
              <w:t>+SO</w:t>
            </w:r>
            <w:r>
              <w:rPr>
                <w:rFonts w:ascii="Times New Roman" w:hAnsi="Times New Roman" w:cs="Times New Roman"/>
                <w:smallCaps w:val="0"/>
                <w:color w:val="auto"/>
                <w:spacing w:val="0"/>
                <w:w w:val="100"/>
                <w:sz w:val="21"/>
                <w:szCs w:val="21"/>
                <w:highlight w:val="none"/>
                <w:vertAlign w:val="subscript"/>
              </w:rPr>
              <w:t>4</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HCO</w:t>
            </w:r>
            <w:r>
              <w:rPr>
                <w:rFonts w:ascii="Times New Roman" w:hAnsi="Times New Roman" w:cs="Times New Roman"/>
                <w:smallCaps w:val="0"/>
                <w:color w:val="auto"/>
                <w:spacing w:val="0"/>
                <w:w w:val="100"/>
                <w:sz w:val="21"/>
                <w:szCs w:val="21"/>
                <w:highlight w:val="none"/>
                <w:vertAlign w:val="subscript"/>
              </w:rPr>
              <w:t>3</w:t>
            </w:r>
            <w:r>
              <w:rPr>
                <w:rFonts w:ascii="Times New Roman" w:hAnsi="Times New Roman" w:cs="Times New Roman"/>
                <w:smallCaps w:val="0"/>
                <w:color w:val="auto"/>
                <w:spacing w:val="0"/>
                <w:w w:val="100"/>
                <w:sz w:val="21"/>
                <w:szCs w:val="21"/>
                <w:highlight w:val="none"/>
              </w:rPr>
              <w:t>+SO</w:t>
            </w:r>
            <w:r>
              <w:rPr>
                <w:rFonts w:ascii="Times New Roman" w:hAnsi="Times New Roman" w:cs="Times New Roman"/>
                <w:smallCaps w:val="0"/>
                <w:color w:val="auto"/>
                <w:spacing w:val="0"/>
                <w:w w:val="100"/>
                <w:sz w:val="21"/>
                <w:szCs w:val="21"/>
                <w:highlight w:val="none"/>
                <w:vertAlign w:val="subscript"/>
              </w:rPr>
              <w:t>4</w:t>
            </w:r>
            <w:r>
              <w:rPr>
                <w:rFonts w:ascii="Times New Roman" w:hAnsi="Times New Roman" w:cs="Times New Roman"/>
                <w:smallCaps w:val="0"/>
                <w:color w:val="auto"/>
                <w:spacing w:val="0"/>
                <w:w w:val="100"/>
                <w:sz w:val="21"/>
                <w:szCs w:val="21"/>
                <w:highlight w:val="none"/>
              </w:rPr>
              <w:t>+Cl</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HCO</w:t>
            </w:r>
            <w:r>
              <w:rPr>
                <w:rFonts w:ascii="Times New Roman" w:hAnsi="Times New Roman" w:cs="Times New Roman"/>
                <w:smallCaps w:val="0"/>
                <w:color w:val="auto"/>
                <w:spacing w:val="0"/>
                <w:w w:val="100"/>
                <w:sz w:val="21"/>
                <w:szCs w:val="21"/>
                <w:highlight w:val="none"/>
                <w:vertAlign w:val="subscript"/>
              </w:rPr>
              <w:t>3</w:t>
            </w:r>
            <w:r>
              <w:rPr>
                <w:rFonts w:ascii="Times New Roman" w:hAnsi="Times New Roman" w:cs="Times New Roman"/>
                <w:smallCaps w:val="0"/>
                <w:color w:val="auto"/>
                <w:spacing w:val="0"/>
                <w:w w:val="100"/>
                <w:sz w:val="21"/>
                <w:szCs w:val="21"/>
                <w:highlight w:val="none"/>
              </w:rPr>
              <w:t>+Cl</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SO</w:t>
            </w:r>
            <w:r>
              <w:rPr>
                <w:rFonts w:ascii="Times New Roman" w:hAnsi="Times New Roman" w:cs="Times New Roman"/>
                <w:smallCaps w:val="0"/>
                <w:color w:val="auto"/>
                <w:spacing w:val="0"/>
                <w:w w:val="100"/>
                <w:sz w:val="21"/>
                <w:szCs w:val="21"/>
                <w:highlight w:val="none"/>
                <w:vertAlign w:val="subscript"/>
              </w:rPr>
              <w:t>4</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SO</w:t>
            </w:r>
            <w:r>
              <w:rPr>
                <w:rFonts w:ascii="Times New Roman" w:hAnsi="Times New Roman" w:cs="Times New Roman"/>
                <w:smallCaps w:val="0"/>
                <w:color w:val="auto"/>
                <w:spacing w:val="0"/>
                <w:w w:val="100"/>
                <w:sz w:val="21"/>
                <w:szCs w:val="21"/>
                <w:highlight w:val="none"/>
                <w:vertAlign w:val="subscript"/>
              </w:rPr>
              <w:t>4</w:t>
            </w:r>
            <w:r>
              <w:rPr>
                <w:rFonts w:ascii="Times New Roman" w:hAnsi="Times New Roman" w:cs="Times New Roman"/>
                <w:smallCaps w:val="0"/>
                <w:color w:val="auto"/>
                <w:spacing w:val="0"/>
                <w:w w:val="100"/>
                <w:sz w:val="21"/>
                <w:szCs w:val="21"/>
                <w:highlight w:val="none"/>
              </w:rPr>
              <w:t>+Cl</w:t>
            </w:r>
          </w:p>
        </w:tc>
        <w:tc>
          <w:tcPr>
            <w:tcW w:w="1051"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Ca</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8</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15</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22</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29</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36</w:t>
            </w:r>
          </w:p>
        </w:tc>
        <w:tc>
          <w:tcPr>
            <w:tcW w:w="1051"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Ca+Mg</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9</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16</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23</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30</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37</w:t>
            </w:r>
          </w:p>
        </w:tc>
        <w:tc>
          <w:tcPr>
            <w:tcW w:w="1051"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3</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10</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17</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24</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31</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38</w:t>
            </w:r>
          </w:p>
        </w:tc>
        <w:tc>
          <w:tcPr>
            <w:tcW w:w="1051"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Na+Ca</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4</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11</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18</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25</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32</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39</w:t>
            </w:r>
          </w:p>
        </w:tc>
        <w:tc>
          <w:tcPr>
            <w:tcW w:w="1051"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46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Na+Ca+Mg</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5</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12</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19</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26</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33</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40</w:t>
            </w:r>
          </w:p>
        </w:tc>
        <w:tc>
          <w:tcPr>
            <w:tcW w:w="1051"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Na+Mg</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6</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13</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20</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27</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34</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41</w:t>
            </w:r>
          </w:p>
        </w:tc>
        <w:tc>
          <w:tcPr>
            <w:tcW w:w="1051"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7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b/>
                <w:bCs/>
                <w:smallCaps w:val="0"/>
                <w:color w:val="auto"/>
                <w:spacing w:val="0"/>
                <w:w w:val="100"/>
                <w:sz w:val="21"/>
                <w:szCs w:val="21"/>
                <w:highlight w:val="none"/>
              </w:rPr>
              <w:t>Na</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7</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14</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21</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28</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35</w:t>
            </w:r>
          </w:p>
        </w:tc>
        <w:tc>
          <w:tcPr>
            <w:tcW w:w="1048"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42</w:t>
            </w:r>
          </w:p>
        </w:tc>
        <w:tc>
          <w:tcPr>
            <w:tcW w:w="1051"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49</w:t>
            </w:r>
          </w:p>
        </w:tc>
      </w:tr>
    </w:tbl>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按矿化度又分为4组：A组矿化度&lt;1.5g/L，B组1.5-10g/L，C组10-40g/L，D组&gt;40g/L。命名时在数字与字母间加连接号，如1-A型：指的是M&lt;1.5g/L，阴离子只有HCO3&gt;25％Meq，阳离子有Ca大于25%Meq。1-A型，表示矿化度小于&lt;1.5g/L的Cl-Na型水，该型水可能是于海水及海相沉积有关的地下水，或是大陆盐化潜水。</w:t>
      </w:r>
    </w:p>
    <w:p>
      <w:pPr>
        <w:widowControl/>
        <w:spacing w:line="360" w:lineRule="auto"/>
        <w:jc w:val="center"/>
        <w:rPr>
          <w:rFonts w:ascii="Times New Roman" w:hAnsi="Times New Roman" w:eastAsia="宋体" w:cs="Times New Roman"/>
          <w:b/>
          <w:bCs/>
          <w:smallCaps w:val="0"/>
          <w:color w:val="auto"/>
          <w:spacing w:val="0"/>
          <w:w w:val="100"/>
          <w:kern w:val="0"/>
          <w:sz w:val="24"/>
          <w:highlight w:val="none"/>
          <w:lang w:bidi="ar"/>
        </w:rPr>
      </w:pPr>
      <w:r>
        <w:rPr>
          <w:rFonts w:hint="eastAsia" w:ascii="Times New Roman" w:hAnsi="Times New Roman" w:eastAsia="宋体" w:cs="Times New Roman"/>
          <w:b/>
          <w:bCs/>
          <w:smallCaps w:val="0"/>
          <w:color w:val="auto"/>
          <w:spacing w:val="0"/>
          <w:w w:val="100"/>
          <w:kern w:val="0"/>
          <w:sz w:val="24"/>
          <w:highlight w:val="none"/>
          <w:lang w:bidi="ar"/>
        </w:rPr>
        <w:t>表</w:t>
      </w:r>
      <w:r>
        <w:rPr>
          <w:rFonts w:ascii="Times New Roman" w:hAnsi="Times New Roman" w:eastAsia="宋体" w:cs="Times New Roman"/>
          <w:b/>
          <w:bCs/>
          <w:smallCaps w:val="0"/>
          <w:color w:val="auto"/>
          <w:spacing w:val="0"/>
          <w:w w:val="100"/>
          <w:kern w:val="0"/>
          <w:sz w:val="24"/>
          <w:highlight w:val="none"/>
          <w:lang w:bidi="ar"/>
        </w:rPr>
        <w:t>4.</w:t>
      </w:r>
      <w:r>
        <w:rPr>
          <w:rFonts w:hint="eastAsia" w:ascii="Times New Roman" w:hAnsi="Times New Roman" w:eastAsia="宋体" w:cs="Times New Roman"/>
          <w:b/>
          <w:bCs/>
          <w:smallCaps w:val="0"/>
          <w:color w:val="auto"/>
          <w:spacing w:val="0"/>
          <w:w w:val="100"/>
          <w:kern w:val="0"/>
          <w:sz w:val="24"/>
          <w:highlight w:val="none"/>
          <w:lang w:bidi="ar"/>
        </w:rPr>
        <w:t>2</w:t>
      </w:r>
      <w:r>
        <w:rPr>
          <w:rFonts w:ascii="Times New Roman" w:hAnsi="Times New Roman" w:eastAsia="宋体" w:cs="Times New Roman"/>
          <w:b/>
          <w:bCs/>
          <w:smallCaps w:val="0"/>
          <w:color w:val="auto"/>
          <w:spacing w:val="0"/>
          <w:w w:val="100"/>
          <w:kern w:val="0"/>
          <w:sz w:val="24"/>
          <w:highlight w:val="none"/>
          <w:lang w:bidi="ar"/>
        </w:rPr>
        <w:t>-</w:t>
      </w:r>
      <w:r>
        <w:rPr>
          <w:rFonts w:hint="eastAsia" w:ascii="Times New Roman" w:hAnsi="Times New Roman" w:eastAsia="宋体" w:cs="Times New Roman"/>
          <w:b/>
          <w:bCs/>
          <w:smallCaps w:val="0"/>
          <w:color w:val="auto"/>
          <w:spacing w:val="0"/>
          <w:w w:val="100"/>
          <w:kern w:val="0"/>
          <w:sz w:val="24"/>
          <w:highlight w:val="none"/>
          <w:lang w:val="en-US" w:eastAsia="zh-CN" w:bidi="ar"/>
        </w:rPr>
        <w:t>16</w:t>
      </w:r>
      <w:r>
        <w:rPr>
          <w:rFonts w:hint="eastAsia" w:ascii="Times New Roman" w:hAnsi="Times New Roman" w:eastAsia="宋体" w:cs="Times New Roman"/>
          <w:b/>
          <w:bCs/>
          <w:smallCaps w:val="0"/>
          <w:color w:val="auto"/>
          <w:spacing w:val="0"/>
          <w:w w:val="100"/>
          <w:kern w:val="0"/>
          <w:sz w:val="24"/>
          <w:highlight w:val="none"/>
          <w:lang w:bidi="ar"/>
        </w:rPr>
        <w:t>八大离子的检测结果统计表</w:t>
      </w:r>
    </w:p>
    <w:tbl>
      <w:tblPr>
        <w:tblStyle w:val="13"/>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16"/>
        <w:gridCol w:w="1216"/>
        <w:gridCol w:w="1216"/>
        <w:gridCol w:w="1217"/>
        <w:gridCol w:w="1217"/>
        <w:gridCol w:w="1217"/>
        <w:gridCol w:w="121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监测井</w:t>
            </w:r>
          </w:p>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点位</w:t>
            </w: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离子名称</w:t>
            </w: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毫克当量（mg/L）</w:t>
            </w:r>
          </w:p>
        </w:tc>
        <w:tc>
          <w:tcPr>
            <w:tcW w:w="714"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毫克当量百分比（%）</w:t>
            </w:r>
          </w:p>
        </w:tc>
        <w:tc>
          <w:tcPr>
            <w:tcW w:w="714"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离子毫克当量合计（mg/L）</w:t>
            </w:r>
          </w:p>
        </w:tc>
        <w:tc>
          <w:tcPr>
            <w:tcW w:w="714"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相对</w:t>
            </w:r>
          </w:p>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误差%</w:t>
            </w:r>
          </w:p>
        </w:tc>
        <w:tc>
          <w:tcPr>
            <w:tcW w:w="714"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矿化度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restart"/>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梁家店水井</w:t>
            </w: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K</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0.112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1.242 </w:t>
            </w:r>
          </w:p>
        </w:tc>
        <w:tc>
          <w:tcPr>
            <w:tcW w:w="1217"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9.004 </w:t>
            </w:r>
          </w:p>
        </w:tc>
        <w:tc>
          <w:tcPr>
            <w:tcW w:w="1217"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2.19 </w:t>
            </w:r>
          </w:p>
        </w:tc>
        <w:tc>
          <w:tcPr>
            <w:tcW w:w="1217"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0.70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Na</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4.061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45.099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Ca</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2.365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26.265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2.467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27.394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HCO</w:t>
            </w:r>
            <w:r>
              <w:rPr>
                <w:rFonts w:ascii="Times New Roman" w:hAnsi="Times New Roman" w:cs="Times New Roman"/>
                <w:smallCaps w:val="0"/>
                <w:color w:val="auto"/>
                <w:spacing w:val="0"/>
                <w:w w:val="100"/>
                <w:sz w:val="21"/>
                <w:szCs w:val="21"/>
                <w:highlight w:val="none"/>
                <w:vertAlign w:val="subscript"/>
              </w:rPr>
              <w:t>3</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-7.230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76.854 </w:t>
            </w:r>
          </w:p>
        </w:tc>
        <w:tc>
          <w:tcPr>
            <w:tcW w:w="1217"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-9.407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CO</w:t>
            </w:r>
            <w:r>
              <w:rPr>
                <w:rFonts w:ascii="Times New Roman" w:hAnsi="Times New Roman" w:cs="Times New Roman"/>
                <w:smallCaps w:val="0"/>
                <w:color w:val="auto"/>
                <w:spacing w:val="0"/>
                <w:w w:val="100"/>
                <w:sz w:val="21"/>
                <w:szCs w:val="21"/>
                <w:highlight w:val="none"/>
                <w:vertAlign w:val="subscript"/>
              </w:rPr>
              <w:t>3</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0.000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0.000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Cl</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-1.609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17.100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SO</w:t>
            </w:r>
            <w:r>
              <w:rPr>
                <w:rFonts w:ascii="Times New Roman" w:hAnsi="Times New Roman" w:cs="Times New Roman"/>
                <w:smallCaps w:val="0"/>
                <w:color w:val="auto"/>
                <w:spacing w:val="0"/>
                <w:w w:val="100"/>
                <w:sz w:val="21"/>
                <w:szCs w:val="21"/>
                <w:highlight w:val="none"/>
                <w:vertAlign w:val="subscript"/>
              </w:rPr>
              <w:t>4</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-0.569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6.046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restart"/>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娄家岗子水井</w:t>
            </w: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K</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0.115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1.272 </w:t>
            </w:r>
          </w:p>
        </w:tc>
        <w:tc>
          <w:tcPr>
            <w:tcW w:w="1217"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9.012 </w:t>
            </w:r>
          </w:p>
        </w:tc>
        <w:tc>
          <w:tcPr>
            <w:tcW w:w="1217"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2.65 </w:t>
            </w:r>
          </w:p>
        </w:tc>
        <w:tc>
          <w:tcPr>
            <w:tcW w:w="1217"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0.71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Na</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4.109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45.593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Ca</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2.505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27.797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2.283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25.338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HCO</w:t>
            </w:r>
            <w:r>
              <w:rPr>
                <w:rFonts w:ascii="Times New Roman" w:hAnsi="Times New Roman" w:cs="Times New Roman"/>
                <w:smallCaps w:val="0"/>
                <w:color w:val="auto"/>
                <w:spacing w:val="0"/>
                <w:w w:val="100"/>
                <w:sz w:val="21"/>
                <w:szCs w:val="21"/>
                <w:highlight w:val="none"/>
                <w:vertAlign w:val="subscript"/>
              </w:rPr>
              <w:t>3</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-7.623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80.223 </w:t>
            </w:r>
          </w:p>
        </w:tc>
        <w:tc>
          <w:tcPr>
            <w:tcW w:w="1217" w:type="dxa"/>
            <w:vMerge w:val="restart"/>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-9.502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CO</w:t>
            </w:r>
            <w:r>
              <w:rPr>
                <w:rFonts w:ascii="Times New Roman" w:hAnsi="Times New Roman" w:cs="Times New Roman"/>
                <w:smallCaps w:val="0"/>
                <w:color w:val="auto"/>
                <w:spacing w:val="0"/>
                <w:w w:val="100"/>
                <w:sz w:val="21"/>
                <w:szCs w:val="21"/>
                <w:highlight w:val="none"/>
                <w:vertAlign w:val="subscript"/>
              </w:rPr>
              <w:t>3</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0.000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0.000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Cl</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-1.354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14.252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SO</w:t>
            </w:r>
            <w:r>
              <w:rPr>
                <w:rFonts w:ascii="Times New Roman" w:hAnsi="Times New Roman" w:cs="Times New Roman"/>
                <w:smallCaps w:val="0"/>
                <w:color w:val="auto"/>
                <w:spacing w:val="0"/>
                <w:w w:val="100"/>
                <w:sz w:val="21"/>
                <w:szCs w:val="21"/>
                <w:highlight w:val="none"/>
                <w:vertAlign w:val="subscript"/>
              </w:rPr>
              <w:t>4</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-0.525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5.525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restart"/>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三不管屯水井</w:t>
            </w: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K</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0.101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1.211 </w:t>
            </w:r>
          </w:p>
        </w:tc>
        <w:tc>
          <w:tcPr>
            <w:tcW w:w="1217"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8.301 </w:t>
            </w:r>
          </w:p>
        </w:tc>
        <w:tc>
          <w:tcPr>
            <w:tcW w:w="1217"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0.29 </w:t>
            </w:r>
          </w:p>
        </w:tc>
        <w:tc>
          <w:tcPr>
            <w:tcW w:w="1217"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0.62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Na</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3.839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46.247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Ca</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2.220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26.743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2.142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25.799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713"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HCO</w:t>
            </w:r>
            <w:r>
              <w:rPr>
                <w:rFonts w:ascii="Times New Roman" w:hAnsi="Times New Roman" w:cs="Times New Roman"/>
                <w:smallCaps w:val="0"/>
                <w:color w:val="auto"/>
                <w:spacing w:val="0"/>
                <w:w w:val="100"/>
                <w:sz w:val="21"/>
                <w:szCs w:val="21"/>
                <w:highlight w:val="none"/>
                <w:vertAlign w:val="subscript"/>
              </w:rPr>
              <w:t>3</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-6.410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77.660 </w:t>
            </w:r>
          </w:p>
        </w:tc>
        <w:tc>
          <w:tcPr>
            <w:tcW w:w="1217"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-8.254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CO</w:t>
            </w:r>
            <w:r>
              <w:rPr>
                <w:rFonts w:ascii="Times New Roman" w:hAnsi="Times New Roman" w:cs="Times New Roman"/>
                <w:smallCaps w:val="0"/>
                <w:color w:val="auto"/>
                <w:spacing w:val="0"/>
                <w:w w:val="100"/>
                <w:sz w:val="21"/>
                <w:szCs w:val="21"/>
                <w:highlight w:val="none"/>
                <w:vertAlign w:val="subscript"/>
              </w:rPr>
              <w:t>3</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0.000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0.000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Cl</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-1.331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16.131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SO</w:t>
            </w:r>
            <w:r>
              <w:rPr>
                <w:rFonts w:ascii="Times New Roman" w:hAnsi="Times New Roman" w:cs="Times New Roman"/>
                <w:smallCaps w:val="0"/>
                <w:color w:val="auto"/>
                <w:spacing w:val="0"/>
                <w:w w:val="100"/>
                <w:sz w:val="21"/>
                <w:szCs w:val="21"/>
                <w:highlight w:val="none"/>
                <w:vertAlign w:val="subscript"/>
              </w:rPr>
              <w:t>4</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-0.513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6.209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restart"/>
            <w:tcBorders>
              <w:tl2br w:val="nil"/>
              <w:tr2bl w:val="nil"/>
            </w:tcBorders>
            <w:vAlign w:val="center"/>
          </w:tcPr>
          <w:p>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平等村水井</w:t>
            </w: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K</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0.093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1.168 </w:t>
            </w:r>
          </w:p>
        </w:tc>
        <w:tc>
          <w:tcPr>
            <w:tcW w:w="1217"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7.991 </w:t>
            </w:r>
          </w:p>
        </w:tc>
        <w:tc>
          <w:tcPr>
            <w:tcW w:w="1217"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1.38 </w:t>
            </w:r>
          </w:p>
        </w:tc>
        <w:tc>
          <w:tcPr>
            <w:tcW w:w="1217"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0.62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Na</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3.726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46.628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Ca</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2.130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26.655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Mg</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2.042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25.549 </w:t>
            </w:r>
          </w:p>
        </w:tc>
        <w:tc>
          <w:tcPr>
            <w:tcW w:w="714" w:type="pct"/>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HCO</w:t>
            </w:r>
            <w:r>
              <w:rPr>
                <w:rFonts w:ascii="Times New Roman" w:hAnsi="Times New Roman" w:cs="Times New Roman"/>
                <w:smallCaps w:val="0"/>
                <w:color w:val="auto"/>
                <w:spacing w:val="0"/>
                <w:w w:val="100"/>
                <w:sz w:val="21"/>
                <w:szCs w:val="21"/>
                <w:highlight w:val="none"/>
                <w:vertAlign w:val="subscript"/>
              </w:rPr>
              <w:t>3</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-6.541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79.621 </w:t>
            </w:r>
          </w:p>
        </w:tc>
        <w:tc>
          <w:tcPr>
            <w:tcW w:w="1217"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 xml:space="preserve">-8.215 </w:t>
            </w: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CO</w:t>
            </w:r>
            <w:r>
              <w:rPr>
                <w:rFonts w:ascii="Times New Roman" w:hAnsi="Times New Roman" w:cs="Times New Roman"/>
                <w:smallCaps w:val="0"/>
                <w:color w:val="auto"/>
                <w:spacing w:val="0"/>
                <w:w w:val="100"/>
                <w:sz w:val="21"/>
                <w:szCs w:val="21"/>
                <w:highlight w:val="none"/>
                <w:vertAlign w:val="subscript"/>
              </w:rPr>
              <w:t>3</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0.000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0.000 </w:t>
            </w: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Cl</w:t>
            </w:r>
            <w:r>
              <w:rPr>
                <w:rFonts w:ascii="Times New Roman" w:hAnsi="Times New Roman" w:cs="Times New Roman"/>
                <w:smallCaps w:val="0"/>
                <w:color w:val="auto"/>
                <w:spacing w:val="0"/>
                <w:w w:val="100"/>
                <w:sz w:val="21"/>
                <w:szCs w:val="21"/>
                <w:highlight w:val="none"/>
                <w:vertAlign w:val="superscript"/>
              </w:rPr>
              <w:t>-</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-1.220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14.851 </w:t>
            </w: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13"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SO</w:t>
            </w:r>
            <w:r>
              <w:rPr>
                <w:rFonts w:ascii="Times New Roman" w:hAnsi="Times New Roman" w:cs="Times New Roman"/>
                <w:smallCaps w:val="0"/>
                <w:color w:val="auto"/>
                <w:spacing w:val="0"/>
                <w:w w:val="100"/>
                <w:sz w:val="21"/>
                <w:szCs w:val="21"/>
                <w:highlight w:val="none"/>
                <w:vertAlign w:val="subscript"/>
              </w:rPr>
              <w:t>4</w:t>
            </w:r>
            <w:r>
              <w:rPr>
                <w:rFonts w:ascii="Times New Roman" w:hAnsi="Times New Roman" w:cs="Times New Roman"/>
                <w:smallCaps w:val="0"/>
                <w:color w:val="auto"/>
                <w:spacing w:val="0"/>
                <w:w w:val="100"/>
                <w:sz w:val="21"/>
                <w:szCs w:val="21"/>
                <w:highlight w:val="none"/>
                <w:vertAlign w:val="superscript"/>
              </w:rPr>
              <w:t>2-</w:t>
            </w:r>
          </w:p>
        </w:tc>
        <w:tc>
          <w:tcPr>
            <w:tcW w:w="1216"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-0.454 </w:t>
            </w:r>
          </w:p>
        </w:tc>
        <w:tc>
          <w:tcPr>
            <w:tcW w:w="121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 xml:space="preserve">5.528 </w:t>
            </w: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714"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r>
    </w:tbl>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本项目各监测点位地下水阴阳离子相对误差均小于5%，说明监测数据可靠；矿化度0.</w:t>
      </w:r>
      <w:r>
        <w:rPr>
          <w:rFonts w:hint="eastAsia" w:ascii="Times New Roman" w:hAnsi="Times New Roman" w:eastAsia="宋体" w:cs="Times New Roman"/>
          <w:color w:val="auto"/>
          <w:spacing w:val="24"/>
          <w:sz w:val="24"/>
          <w:szCs w:val="24"/>
          <w:highlight w:val="none"/>
          <w:lang w:val="en-US" w:eastAsia="zh-CN"/>
        </w:rPr>
        <w:t>29</w:t>
      </w:r>
      <w:r>
        <w:rPr>
          <w:rFonts w:hint="default" w:ascii="Times New Roman" w:hAnsi="Times New Roman" w:eastAsia="宋体" w:cs="Times New Roman"/>
          <w:color w:val="auto"/>
          <w:spacing w:val="24"/>
          <w:sz w:val="24"/>
          <w:szCs w:val="24"/>
          <w:highlight w:val="none"/>
          <w:lang w:val="en-US" w:eastAsia="zh-CN"/>
        </w:rPr>
        <w:t>~</w:t>
      </w:r>
      <w:r>
        <w:rPr>
          <w:rFonts w:hint="eastAsia" w:ascii="Times New Roman" w:hAnsi="Times New Roman" w:eastAsia="宋体" w:cs="Times New Roman"/>
          <w:color w:val="auto"/>
          <w:spacing w:val="24"/>
          <w:sz w:val="24"/>
          <w:szCs w:val="24"/>
          <w:highlight w:val="none"/>
          <w:lang w:val="en-US" w:eastAsia="zh-CN"/>
        </w:rPr>
        <w:t>2</w:t>
      </w:r>
      <w:r>
        <w:rPr>
          <w:rFonts w:hint="default" w:ascii="Times New Roman" w:hAnsi="Times New Roman" w:eastAsia="宋体" w:cs="Times New Roman"/>
          <w:color w:val="auto"/>
          <w:spacing w:val="24"/>
          <w:sz w:val="24"/>
          <w:szCs w:val="24"/>
          <w:highlight w:val="none"/>
          <w:lang w:val="en-US" w:eastAsia="zh-CN"/>
        </w:rPr>
        <w:t>.65g/L，均小于1.5g/L，说明区域内地下水为淡水；地下水水质监测点位水型均为</w:t>
      </w:r>
      <w:r>
        <w:rPr>
          <w:rFonts w:hint="eastAsia" w:ascii="Times New Roman" w:hAnsi="Times New Roman" w:eastAsia="宋体" w:cs="Times New Roman"/>
          <w:color w:val="auto"/>
          <w:spacing w:val="24"/>
          <w:sz w:val="24"/>
          <w:szCs w:val="24"/>
          <w:highlight w:val="none"/>
          <w:lang w:val="en-US" w:eastAsia="zh-CN"/>
        </w:rPr>
        <w:t>5</w:t>
      </w:r>
      <w:r>
        <w:rPr>
          <w:rFonts w:hint="default" w:ascii="Times New Roman" w:hAnsi="Times New Roman" w:eastAsia="宋体" w:cs="Times New Roman"/>
          <w:color w:val="auto"/>
          <w:spacing w:val="24"/>
          <w:sz w:val="24"/>
          <w:szCs w:val="24"/>
          <w:highlight w:val="none"/>
          <w:lang w:val="en-US" w:eastAsia="zh-CN"/>
        </w:rPr>
        <w:t>-A型，即HCO3-Na+Ca</w:t>
      </w:r>
      <w:r>
        <w:rPr>
          <w:rFonts w:hint="eastAsia" w:ascii="Times New Roman" w:hAnsi="Times New Roman" w:eastAsia="宋体" w:cs="Times New Roman"/>
          <w:color w:val="auto"/>
          <w:spacing w:val="24"/>
          <w:sz w:val="24"/>
          <w:szCs w:val="24"/>
          <w:highlight w:val="none"/>
          <w:lang w:val="en-US" w:eastAsia="zh-CN"/>
        </w:rPr>
        <w:t>+Mg</w:t>
      </w:r>
      <w:r>
        <w:rPr>
          <w:rFonts w:hint="default" w:ascii="Times New Roman" w:hAnsi="Times New Roman" w:eastAsia="宋体" w:cs="Times New Roman"/>
          <w:color w:val="auto"/>
          <w:spacing w:val="24"/>
          <w:sz w:val="24"/>
          <w:szCs w:val="24"/>
          <w:highlight w:val="none"/>
          <w:lang w:val="en-US" w:eastAsia="zh-CN"/>
        </w:rPr>
        <w:t>型淡水。</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4.2.3声环境质量现状调查与评价</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（1）现状监测</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①监测布点</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本次仅对项目拟建项目厂址厂界噪声进行监测。</w:t>
      </w:r>
    </w:p>
    <w:p>
      <w:pPr>
        <w:widowControl/>
        <w:spacing w:line="360" w:lineRule="auto"/>
        <w:jc w:val="center"/>
        <w:rPr>
          <w:rFonts w:ascii="Times New Roman" w:hAnsi="Times New Roman" w:eastAsia="宋体" w:cs="Times New Roman"/>
          <w:b/>
          <w:bCs/>
          <w:smallCaps w:val="0"/>
          <w:color w:val="auto"/>
          <w:spacing w:val="0"/>
          <w:w w:val="100"/>
          <w:kern w:val="0"/>
          <w:sz w:val="24"/>
          <w:highlight w:val="none"/>
          <w:lang w:bidi="ar"/>
        </w:rPr>
      </w:pPr>
      <w:r>
        <w:rPr>
          <w:rFonts w:hint="eastAsia" w:ascii="Times New Roman" w:hAnsi="Times New Roman" w:eastAsia="宋体" w:cs="Times New Roman"/>
          <w:b/>
          <w:bCs/>
          <w:smallCaps w:val="0"/>
          <w:color w:val="auto"/>
          <w:spacing w:val="0"/>
          <w:w w:val="100"/>
          <w:kern w:val="0"/>
          <w:sz w:val="24"/>
          <w:highlight w:val="none"/>
          <w:lang w:bidi="ar"/>
        </w:rPr>
        <w:t>表</w:t>
      </w:r>
      <w:r>
        <w:rPr>
          <w:rFonts w:ascii="Times New Roman" w:hAnsi="Times New Roman" w:eastAsia="宋体" w:cs="Times New Roman"/>
          <w:b/>
          <w:bCs/>
          <w:smallCaps w:val="0"/>
          <w:color w:val="auto"/>
          <w:spacing w:val="0"/>
          <w:w w:val="100"/>
          <w:kern w:val="0"/>
          <w:sz w:val="24"/>
          <w:highlight w:val="none"/>
          <w:lang w:bidi="ar"/>
        </w:rPr>
        <w:t>4.</w:t>
      </w:r>
      <w:r>
        <w:rPr>
          <w:rFonts w:hint="eastAsia" w:ascii="Times New Roman" w:hAnsi="Times New Roman" w:eastAsia="宋体" w:cs="Times New Roman"/>
          <w:b/>
          <w:bCs/>
          <w:smallCaps w:val="0"/>
          <w:color w:val="auto"/>
          <w:spacing w:val="0"/>
          <w:w w:val="100"/>
          <w:kern w:val="0"/>
          <w:sz w:val="24"/>
          <w:highlight w:val="none"/>
          <w:lang w:bidi="ar"/>
        </w:rPr>
        <w:t>2-</w:t>
      </w:r>
      <w:r>
        <w:rPr>
          <w:rFonts w:ascii="Times New Roman" w:hAnsi="Times New Roman" w:eastAsia="宋体" w:cs="Times New Roman"/>
          <w:b/>
          <w:bCs/>
          <w:smallCaps w:val="0"/>
          <w:color w:val="auto"/>
          <w:spacing w:val="0"/>
          <w:w w:val="100"/>
          <w:kern w:val="0"/>
          <w:sz w:val="24"/>
          <w:highlight w:val="none"/>
          <w:lang w:bidi="ar"/>
        </w:rPr>
        <w:t>1</w:t>
      </w:r>
      <w:r>
        <w:rPr>
          <w:rFonts w:hint="eastAsia" w:ascii="Times New Roman" w:hAnsi="Times New Roman" w:eastAsia="宋体" w:cs="Times New Roman"/>
          <w:b/>
          <w:bCs/>
          <w:smallCaps w:val="0"/>
          <w:color w:val="auto"/>
          <w:spacing w:val="0"/>
          <w:w w:val="100"/>
          <w:kern w:val="0"/>
          <w:sz w:val="24"/>
          <w:highlight w:val="none"/>
          <w:lang w:val="en-US" w:eastAsia="zh-CN" w:bidi="ar"/>
        </w:rPr>
        <w:t>7</w:t>
      </w:r>
      <w:r>
        <w:rPr>
          <w:rFonts w:hint="eastAsia" w:ascii="Times New Roman" w:hAnsi="Times New Roman" w:eastAsia="宋体" w:cs="Times New Roman"/>
          <w:b/>
          <w:bCs/>
          <w:smallCaps w:val="0"/>
          <w:color w:val="auto"/>
          <w:spacing w:val="0"/>
          <w:w w:val="100"/>
          <w:kern w:val="0"/>
          <w:sz w:val="24"/>
          <w:highlight w:val="none"/>
          <w:lang w:bidi="ar"/>
        </w:rPr>
        <w:t>声环境监测点位置</w:t>
      </w:r>
    </w:p>
    <w:tbl>
      <w:tblPr>
        <w:tblStyle w:val="13"/>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98"/>
        <w:gridCol w:w="2386"/>
        <w:gridCol w:w="3227"/>
        <w:gridCol w:w="190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6" w:type="pct"/>
            <w:tcBorders>
              <w:tl2br w:val="nil"/>
              <w:tr2bl w:val="nil"/>
            </w:tcBorders>
            <w:vAlign w:val="center"/>
          </w:tcPr>
          <w:p>
            <w:pPr>
              <w:widowControl/>
              <w:spacing w:line="360" w:lineRule="exact"/>
              <w:jc w:val="center"/>
              <w:rPr>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序号</w:t>
            </w:r>
          </w:p>
        </w:tc>
        <w:tc>
          <w:tcPr>
            <w:tcW w:w="1401" w:type="pct"/>
            <w:tcBorders>
              <w:tl2br w:val="nil"/>
              <w:tr2bl w:val="nil"/>
            </w:tcBorders>
            <w:vAlign w:val="center"/>
          </w:tcPr>
          <w:p>
            <w:pPr>
              <w:widowControl/>
              <w:spacing w:line="360" w:lineRule="exact"/>
              <w:jc w:val="center"/>
              <w:rPr>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监测点</w:t>
            </w:r>
          </w:p>
        </w:tc>
        <w:tc>
          <w:tcPr>
            <w:tcW w:w="1895" w:type="pct"/>
            <w:tcBorders>
              <w:tl2br w:val="nil"/>
              <w:tr2bl w:val="nil"/>
            </w:tcBorders>
            <w:vAlign w:val="center"/>
          </w:tcPr>
          <w:p>
            <w:pPr>
              <w:widowControl/>
              <w:spacing w:line="360" w:lineRule="exact"/>
              <w:jc w:val="center"/>
              <w:rPr>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坐标</w:t>
            </w:r>
          </w:p>
        </w:tc>
        <w:tc>
          <w:tcPr>
            <w:tcW w:w="1117" w:type="pct"/>
            <w:tcBorders>
              <w:tl2br w:val="nil"/>
              <w:tr2bl w:val="nil"/>
            </w:tcBorders>
            <w:vAlign w:val="center"/>
          </w:tcPr>
          <w:p>
            <w:pPr>
              <w:widowControl/>
              <w:spacing w:line="360" w:lineRule="exact"/>
              <w:jc w:val="center"/>
              <w:rPr>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6" w:type="pct"/>
            <w:tcBorders>
              <w:tl2br w:val="nil"/>
              <w:tr2bl w:val="nil"/>
            </w:tcBorders>
            <w:vAlign w:val="center"/>
          </w:tcPr>
          <w:p>
            <w:pPr>
              <w:widowControl/>
              <w:spacing w:line="360" w:lineRule="exact"/>
              <w:jc w:val="center"/>
              <w:rPr>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Z1</w:t>
            </w:r>
          </w:p>
        </w:tc>
        <w:tc>
          <w:tcPr>
            <w:tcW w:w="1401" w:type="pct"/>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拟建湿地厂址北侧</w:t>
            </w:r>
          </w:p>
        </w:tc>
        <w:tc>
          <w:tcPr>
            <w:tcW w:w="1895"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eastAsia="zh-CN"/>
              </w:rPr>
            </w:pPr>
            <w:r>
              <w:rPr>
                <w:rFonts w:hint="eastAsia" w:ascii="Times New Roman" w:hAnsi="Times New Roman" w:cs="Times New Roman"/>
                <w:smallCaps w:val="0"/>
                <w:color w:val="auto"/>
                <w:spacing w:val="0"/>
                <w:w w:val="100"/>
                <w:sz w:val="21"/>
                <w:szCs w:val="21"/>
                <w:highlight w:val="none"/>
                <w:lang w:eastAsia="zh-CN"/>
              </w:rPr>
              <w:t>124.903450104,45.938526984</w:t>
            </w:r>
          </w:p>
        </w:tc>
        <w:tc>
          <w:tcPr>
            <w:tcW w:w="1117" w:type="pct"/>
            <w:vMerge w:val="restart"/>
            <w:tcBorders>
              <w:tl2br w:val="nil"/>
              <w:tr2bl w:val="nil"/>
            </w:tcBorders>
            <w:vAlign w:val="center"/>
          </w:tcPr>
          <w:p>
            <w:pPr>
              <w:widowControl/>
              <w:spacing w:line="360" w:lineRule="exact"/>
              <w:jc w:val="center"/>
              <w:rPr>
                <w:rFonts w:hint="default" w:eastAsiaTheme="minorEastAsia"/>
                <w:smallCaps w:val="0"/>
                <w:color w:val="auto"/>
                <w:spacing w:val="0"/>
                <w:w w:val="100"/>
                <w:sz w:val="21"/>
                <w:szCs w:val="21"/>
                <w:highlight w:val="none"/>
                <w:lang w:val="en-US" w:eastAsia="zh-CN"/>
              </w:rPr>
            </w:pPr>
            <w:r>
              <w:rPr>
                <w:rFonts w:hint="eastAsia"/>
                <w:smallCaps w:val="0"/>
                <w:color w:val="auto"/>
                <w:spacing w:val="0"/>
                <w:w w:val="100"/>
                <w:sz w:val="21"/>
                <w:szCs w:val="21"/>
                <w:highlight w:val="none"/>
                <w:lang w:val="en-US" w:eastAsia="zh-CN"/>
              </w:rPr>
              <w:t>拟建湿地厂址厂界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6" w:type="pct"/>
            <w:tcBorders>
              <w:tl2br w:val="nil"/>
              <w:tr2bl w:val="nil"/>
            </w:tcBorders>
            <w:vAlign w:val="center"/>
          </w:tcPr>
          <w:p>
            <w:pPr>
              <w:widowControl/>
              <w:spacing w:line="360" w:lineRule="exact"/>
              <w:jc w:val="center"/>
              <w:rPr>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Z2</w:t>
            </w:r>
          </w:p>
        </w:tc>
        <w:tc>
          <w:tcPr>
            <w:tcW w:w="1401"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拟建湿地厂址东侧</w:t>
            </w:r>
          </w:p>
        </w:tc>
        <w:tc>
          <w:tcPr>
            <w:tcW w:w="1895" w:type="pct"/>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default" w:ascii="Times New Roman" w:hAnsi="Times New Roman" w:cs="Times New Roman" w:eastAsiaTheme="minorEastAsia"/>
                <w:smallCaps w:val="0"/>
                <w:color w:val="auto"/>
                <w:spacing w:val="0"/>
                <w:w w:val="100"/>
                <w:sz w:val="21"/>
                <w:szCs w:val="21"/>
                <w:highlight w:val="none"/>
                <w:lang w:val="en-US" w:eastAsia="zh-CN"/>
              </w:rPr>
              <w:t>124.902012440,45.934042330</w:t>
            </w:r>
          </w:p>
        </w:tc>
        <w:tc>
          <w:tcPr>
            <w:tcW w:w="1117" w:type="pct"/>
            <w:vMerge w:val="continue"/>
            <w:tcBorders>
              <w:tl2br w:val="nil"/>
              <w:tr2bl w:val="nil"/>
            </w:tcBorders>
          </w:tcPr>
          <w:p>
            <w:pPr>
              <w:pStyle w:val="23"/>
              <w:spacing w:after="63"/>
              <w:rPr>
                <w:smallCaps w:val="0"/>
                <w:color w:val="auto"/>
                <w:spacing w:val="0"/>
                <w:w w:val="100"/>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6" w:type="pct"/>
            <w:tcBorders>
              <w:tl2br w:val="nil"/>
              <w:tr2bl w:val="nil"/>
            </w:tcBorders>
            <w:vAlign w:val="center"/>
          </w:tcPr>
          <w:p>
            <w:pPr>
              <w:widowControl/>
              <w:spacing w:line="360" w:lineRule="exact"/>
              <w:jc w:val="center"/>
              <w:rPr>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Z3</w:t>
            </w:r>
          </w:p>
        </w:tc>
        <w:tc>
          <w:tcPr>
            <w:tcW w:w="1401"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拟建湿地厂址南侧</w:t>
            </w:r>
          </w:p>
        </w:tc>
        <w:tc>
          <w:tcPr>
            <w:tcW w:w="1895"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124.899244400,45.925909873</w:t>
            </w:r>
          </w:p>
        </w:tc>
        <w:tc>
          <w:tcPr>
            <w:tcW w:w="1117" w:type="pct"/>
            <w:vMerge w:val="continue"/>
            <w:tcBorders>
              <w:tl2br w:val="nil"/>
              <w:tr2bl w:val="nil"/>
            </w:tcBorders>
          </w:tcPr>
          <w:p>
            <w:pPr>
              <w:pStyle w:val="23"/>
              <w:spacing w:after="63"/>
              <w:rPr>
                <w:smallCaps w:val="0"/>
                <w:color w:val="auto"/>
                <w:spacing w:val="0"/>
                <w:w w:val="100"/>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86" w:type="pct"/>
            <w:tcBorders>
              <w:tl2br w:val="nil"/>
              <w:tr2bl w:val="nil"/>
            </w:tcBorders>
            <w:vAlign w:val="center"/>
          </w:tcPr>
          <w:p>
            <w:pPr>
              <w:widowControl/>
              <w:spacing w:line="360" w:lineRule="exact"/>
              <w:jc w:val="center"/>
              <w:rPr>
                <w:rFonts w:hint="eastAsia"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rPr>
              <w:t>Z</w:t>
            </w:r>
            <w:r>
              <w:rPr>
                <w:rFonts w:hint="eastAsia" w:ascii="Times New Roman" w:hAnsi="Times New Roman" w:cs="Times New Roman"/>
                <w:smallCaps w:val="0"/>
                <w:color w:val="auto"/>
                <w:spacing w:val="0"/>
                <w:w w:val="100"/>
                <w:sz w:val="21"/>
                <w:szCs w:val="21"/>
                <w:highlight w:val="none"/>
                <w:lang w:val="en-US" w:eastAsia="zh-CN"/>
              </w:rPr>
              <w:t>4</w:t>
            </w:r>
          </w:p>
        </w:tc>
        <w:tc>
          <w:tcPr>
            <w:tcW w:w="1401"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eastAsia="zh-CN"/>
              </w:rPr>
            </w:pPr>
            <w:r>
              <w:rPr>
                <w:rFonts w:hint="eastAsia" w:ascii="Times New Roman" w:hAnsi="Times New Roman" w:cs="Times New Roman"/>
                <w:smallCaps w:val="0"/>
                <w:color w:val="auto"/>
                <w:spacing w:val="0"/>
                <w:w w:val="100"/>
                <w:sz w:val="21"/>
                <w:szCs w:val="21"/>
                <w:highlight w:val="none"/>
                <w:lang w:val="en-US" w:eastAsia="zh-CN"/>
              </w:rPr>
              <w:t>拟建湿地厂址西侧</w:t>
            </w:r>
          </w:p>
        </w:tc>
        <w:tc>
          <w:tcPr>
            <w:tcW w:w="1895"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rPr>
              <w:t>124.893858524,45.936059352</w:t>
            </w:r>
          </w:p>
        </w:tc>
        <w:tc>
          <w:tcPr>
            <w:tcW w:w="1117" w:type="pct"/>
            <w:vMerge w:val="continue"/>
            <w:tcBorders>
              <w:tl2br w:val="nil"/>
              <w:tr2bl w:val="nil"/>
            </w:tcBorders>
          </w:tcPr>
          <w:p>
            <w:pPr>
              <w:pStyle w:val="23"/>
              <w:spacing w:after="63"/>
              <w:rPr>
                <w:smallCaps w:val="0"/>
                <w:color w:val="auto"/>
                <w:spacing w:val="0"/>
                <w:w w:val="100"/>
                <w:highlight w:val="none"/>
              </w:rPr>
            </w:pPr>
          </w:p>
        </w:tc>
      </w:tr>
    </w:tbl>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②监测因子</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连续等效A声级。</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③监测时间</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2022年</w:t>
      </w:r>
      <w:r>
        <w:rPr>
          <w:rFonts w:hint="eastAsia" w:ascii="Times New Roman" w:hAnsi="Times New Roman" w:eastAsia="宋体" w:cs="Times New Roman"/>
          <w:color w:val="auto"/>
          <w:spacing w:val="24"/>
          <w:sz w:val="24"/>
          <w:szCs w:val="24"/>
          <w:highlight w:val="none"/>
          <w:lang w:val="en-US" w:eastAsia="zh-CN"/>
        </w:rPr>
        <w:t>11</w:t>
      </w:r>
      <w:r>
        <w:rPr>
          <w:rFonts w:hint="default" w:ascii="Times New Roman" w:hAnsi="Times New Roman" w:eastAsia="宋体" w:cs="Times New Roman"/>
          <w:color w:val="auto"/>
          <w:spacing w:val="24"/>
          <w:sz w:val="24"/>
          <w:szCs w:val="24"/>
          <w:highlight w:val="none"/>
          <w:lang w:val="en-US" w:eastAsia="zh-CN"/>
        </w:rPr>
        <w:t>月</w:t>
      </w:r>
      <w:r>
        <w:rPr>
          <w:rFonts w:hint="eastAsia" w:ascii="Times New Roman" w:hAnsi="Times New Roman" w:eastAsia="宋体" w:cs="Times New Roman"/>
          <w:color w:val="auto"/>
          <w:spacing w:val="24"/>
          <w:sz w:val="24"/>
          <w:szCs w:val="24"/>
          <w:highlight w:val="none"/>
          <w:lang w:val="en-US" w:eastAsia="zh-CN"/>
        </w:rPr>
        <w:t>15</w:t>
      </w:r>
      <w:r>
        <w:rPr>
          <w:rFonts w:hint="default" w:ascii="Times New Roman" w:hAnsi="Times New Roman" w:eastAsia="宋体" w:cs="Times New Roman"/>
          <w:color w:val="auto"/>
          <w:spacing w:val="24"/>
          <w:sz w:val="24"/>
          <w:szCs w:val="24"/>
          <w:highlight w:val="none"/>
          <w:lang w:val="en-US" w:eastAsia="zh-CN"/>
        </w:rPr>
        <w:t>日-</w:t>
      </w:r>
      <w:r>
        <w:rPr>
          <w:rFonts w:hint="eastAsia" w:ascii="Times New Roman" w:hAnsi="Times New Roman" w:eastAsia="宋体" w:cs="Times New Roman"/>
          <w:color w:val="auto"/>
          <w:spacing w:val="24"/>
          <w:sz w:val="24"/>
          <w:szCs w:val="24"/>
          <w:highlight w:val="none"/>
          <w:lang w:val="en-US" w:eastAsia="zh-CN"/>
        </w:rPr>
        <w:t>11</w:t>
      </w:r>
      <w:r>
        <w:rPr>
          <w:rFonts w:hint="default" w:ascii="Times New Roman" w:hAnsi="Times New Roman" w:eastAsia="宋体" w:cs="Times New Roman"/>
          <w:color w:val="auto"/>
          <w:spacing w:val="24"/>
          <w:sz w:val="24"/>
          <w:szCs w:val="24"/>
          <w:highlight w:val="none"/>
          <w:lang w:val="en-US" w:eastAsia="zh-CN"/>
        </w:rPr>
        <w:t>月</w:t>
      </w:r>
      <w:r>
        <w:rPr>
          <w:rFonts w:hint="eastAsia" w:ascii="Times New Roman" w:hAnsi="Times New Roman" w:eastAsia="宋体" w:cs="Times New Roman"/>
          <w:color w:val="auto"/>
          <w:spacing w:val="24"/>
          <w:sz w:val="24"/>
          <w:szCs w:val="24"/>
          <w:highlight w:val="none"/>
          <w:lang w:val="en-US" w:eastAsia="zh-CN"/>
        </w:rPr>
        <w:t>16</w:t>
      </w:r>
      <w:r>
        <w:rPr>
          <w:rFonts w:hint="default" w:ascii="Times New Roman" w:hAnsi="Times New Roman" w:eastAsia="宋体" w:cs="Times New Roman"/>
          <w:color w:val="auto"/>
          <w:spacing w:val="24"/>
          <w:sz w:val="24"/>
          <w:szCs w:val="24"/>
          <w:highlight w:val="none"/>
          <w:lang w:val="en-US" w:eastAsia="zh-CN"/>
        </w:rPr>
        <w:t>日进行监测，监测时间为两天，分昼间、夜间两个时段进行。</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（2）监测结果</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监测结果见表4.2-</w:t>
      </w:r>
      <w:r>
        <w:rPr>
          <w:rFonts w:hint="eastAsia" w:ascii="Times New Roman" w:hAnsi="Times New Roman" w:eastAsia="宋体" w:cs="Times New Roman"/>
          <w:color w:val="auto"/>
          <w:spacing w:val="24"/>
          <w:sz w:val="24"/>
          <w:szCs w:val="24"/>
          <w:highlight w:val="none"/>
          <w:lang w:val="en-US" w:eastAsia="zh-CN"/>
        </w:rPr>
        <w:t>18</w:t>
      </w:r>
      <w:r>
        <w:rPr>
          <w:rFonts w:hint="default" w:ascii="Times New Roman" w:hAnsi="Times New Roman" w:eastAsia="宋体" w:cs="Times New Roman"/>
          <w:color w:val="auto"/>
          <w:spacing w:val="24"/>
          <w:sz w:val="24"/>
          <w:szCs w:val="24"/>
          <w:highlight w:val="none"/>
          <w:lang w:val="en-US" w:eastAsia="zh-CN"/>
        </w:rPr>
        <w:t>。</w:t>
      </w:r>
    </w:p>
    <w:p>
      <w:pPr>
        <w:widowControl/>
        <w:spacing w:line="360" w:lineRule="auto"/>
        <w:jc w:val="center"/>
        <w:rPr>
          <w:rFonts w:ascii="Times New Roman" w:hAnsi="Times New Roman" w:eastAsia="宋体" w:cs="Times New Roman"/>
          <w:b/>
          <w:bCs/>
          <w:smallCaps w:val="0"/>
          <w:color w:val="auto"/>
          <w:spacing w:val="0"/>
          <w:w w:val="100"/>
          <w:kern w:val="0"/>
          <w:sz w:val="24"/>
          <w:highlight w:val="none"/>
          <w:lang w:bidi="ar"/>
        </w:rPr>
      </w:pPr>
      <w:r>
        <w:rPr>
          <w:rFonts w:hint="eastAsia" w:ascii="Times New Roman" w:hAnsi="Times New Roman" w:eastAsia="宋体" w:cs="Times New Roman"/>
          <w:b/>
          <w:bCs/>
          <w:smallCaps w:val="0"/>
          <w:color w:val="auto"/>
          <w:spacing w:val="0"/>
          <w:w w:val="100"/>
          <w:kern w:val="0"/>
          <w:sz w:val="24"/>
          <w:highlight w:val="none"/>
          <w:lang w:bidi="ar"/>
        </w:rPr>
        <w:t>表</w:t>
      </w:r>
      <w:r>
        <w:rPr>
          <w:rFonts w:ascii="Times New Roman" w:hAnsi="Times New Roman" w:eastAsia="宋体" w:cs="Times New Roman"/>
          <w:b/>
          <w:bCs/>
          <w:smallCaps w:val="0"/>
          <w:color w:val="auto"/>
          <w:spacing w:val="0"/>
          <w:w w:val="100"/>
          <w:kern w:val="0"/>
          <w:sz w:val="24"/>
          <w:highlight w:val="none"/>
          <w:lang w:bidi="ar"/>
        </w:rPr>
        <w:t>4.</w:t>
      </w:r>
      <w:r>
        <w:rPr>
          <w:rFonts w:hint="eastAsia" w:ascii="Times New Roman" w:hAnsi="Times New Roman" w:eastAsia="宋体" w:cs="Times New Roman"/>
          <w:b/>
          <w:bCs/>
          <w:smallCaps w:val="0"/>
          <w:color w:val="auto"/>
          <w:spacing w:val="0"/>
          <w:w w:val="100"/>
          <w:kern w:val="0"/>
          <w:sz w:val="24"/>
          <w:highlight w:val="none"/>
          <w:lang w:bidi="ar"/>
        </w:rPr>
        <w:t>2</w:t>
      </w:r>
      <w:r>
        <w:rPr>
          <w:rFonts w:ascii="Times New Roman" w:hAnsi="Times New Roman" w:eastAsia="宋体" w:cs="Times New Roman"/>
          <w:b/>
          <w:bCs/>
          <w:smallCaps w:val="0"/>
          <w:color w:val="auto"/>
          <w:spacing w:val="0"/>
          <w:w w:val="100"/>
          <w:kern w:val="0"/>
          <w:sz w:val="24"/>
          <w:highlight w:val="none"/>
          <w:lang w:bidi="ar"/>
        </w:rPr>
        <w:t>-1</w:t>
      </w:r>
      <w:r>
        <w:rPr>
          <w:rFonts w:hint="eastAsia" w:ascii="Times New Roman" w:hAnsi="Times New Roman" w:eastAsia="宋体" w:cs="Times New Roman"/>
          <w:b/>
          <w:bCs/>
          <w:smallCaps w:val="0"/>
          <w:color w:val="auto"/>
          <w:spacing w:val="0"/>
          <w:w w:val="100"/>
          <w:kern w:val="0"/>
          <w:sz w:val="24"/>
          <w:highlight w:val="none"/>
          <w:lang w:val="en-US" w:eastAsia="zh-CN" w:bidi="ar"/>
        </w:rPr>
        <w:t>8</w:t>
      </w:r>
      <w:r>
        <w:rPr>
          <w:rFonts w:hint="eastAsia" w:ascii="Times New Roman" w:hAnsi="Times New Roman" w:eastAsia="宋体" w:cs="Times New Roman"/>
          <w:b/>
          <w:bCs/>
          <w:smallCaps w:val="0"/>
          <w:color w:val="auto"/>
          <w:spacing w:val="0"/>
          <w:w w:val="100"/>
          <w:kern w:val="0"/>
          <w:sz w:val="24"/>
          <w:highlight w:val="none"/>
          <w:lang w:bidi="ar"/>
        </w:rPr>
        <w:t>噪声现状监测统计表  单位：</w:t>
      </w:r>
      <w:r>
        <w:rPr>
          <w:rFonts w:ascii="Times New Roman" w:hAnsi="Times New Roman" w:eastAsia="宋体" w:cs="Times New Roman"/>
          <w:b/>
          <w:bCs/>
          <w:smallCaps w:val="0"/>
          <w:color w:val="auto"/>
          <w:spacing w:val="0"/>
          <w:w w:val="100"/>
          <w:kern w:val="0"/>
          <w:sz w:val="24"/>
          <w:highlight w:val="none"/>
          <w:lang w:bidi="ar"/>
        </w:rPr>
        <w:t>[dB(A)]</w:t>
      </w:r>
    </w:p>
    <w:tbl>
      <w:tblPr>
        <w:tblStyle w:val="13"/>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223"/>
        <w:gridCol w:w="1365"/>
        <w:gridCol w:w="1520"/>
        <w:gridCol w:w="1702"/>
        <w:gridCol w:w="170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05" w:type="pct"/>
            <w:vMerge w:val="restar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监测点位</w:t>
            </w:r>
          </w:p>
        </w:tc>
        <w:tc>
          <w:tcPr>
            <w:tcW w:w="1693" w:type="pct"/>
            <w:gridSpan w:val="2"/>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昼间</w:t>
            </w:r>
          </w:p>
        </w:tc>
        <w:tc>
          <w:tcPr>
            <w:tcW w:w="2000" w:type="pct"/>
            <w:gridSpan w:val="2"/>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305"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3694" w:type="pct"/>
            <w:gridSpan w:val="4"/>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监测时间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05"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801" w:type="pct"/>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rPr>
              <w:t>2022</w:t>
            </w:r>
            <w:r>
              <w:rPr>
                <w:rFonts w:hint="eastAsia" w:ascii="Times New Roman" w:hAnsi="Times New Roman" w:cs="Times New Roman"/>
                <w:smallCaps w:val="0"/>
                <w:color w:val="auto"/>
                <w:spacing w:val="0"/>
                <w:w w:val="100"/>
                <w:sz w:val="21"/>
                <w:szCs w:val="21"/>
                <w:highlight w:val="none"/>
                <w:lang w:val="en-US" w:eastAsia="zh-CN"/>
              </w:rPr>
              <w:t>.11.15</w:t>
            </w:r>
          </w:p>
        </w:tc>
        <w:tc>
          <w:tcPr>
            <w:tcW w:w="892" w:type="pct"/>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rPr>
              <w:t>2022</w:t>
            </w:r>
            <w:r>
              <w:rPr>
                <w:rFonts w:hint="eastAsia" w:ascii="Times New Roman" w:hAnsi="Times New Roman" w:cs="Times New Roman"/>
                <w:smallCaps w:val="0"/>
                <w:color w:val="auto"/>
                <w:spacing w:val="0"/>
                <w:w w:val="100"/>
                <w:sz w:val="21"/>
                <w:szCs w:val="21"/>
                <w:highlight w:val="none"/>
                <w:lang w:val="en-US" w:eastAsia="zh-CN"/>
              </w:rPr>
              <w:t>.11.16</w:t>
            </w:r>
          </w:p>
        </w:tc>
        <w:tc>
          <w:tcPr>
            <w:tcW w:w="1702"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2022</w:t>
            </w:r>
            <w:r>
              <w:rPr>
                <w:rFonts w:hint="eastAsia" w:ascii="Times New Roman" w:hAnsi="Times New Roman" w:cs="Times New Roman"/>
                <w:smallCaps w:val="0"/>
                <w:color w:val="auto"/>
                <w:spacing w:val="0"/>
                <w:w w:val="100"/>
                <w:sz w:val="21"/>
                <w:szCs w:val="21"/>
                <w:highlight w:val="none"/>
                <w:lang w:val="en-US" w:eastAsia="zh-CN"/>
              </w:rPr>
              <w:t>.11.15</w:t>
            </w:r>
          </w:p>
        </w:tc>
        <w:tc>
          <w:tcPr>
            <w:tcW w:w="1707" w:type="dxa"/>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2022</w:t>
            </w:r>
            <w:r>
              <w:rPr>
                <w:rFonts w:hint="eastAsia" w:ascii="Times New Roman" w:hAnsi="Times New Roman" w:cs="Times New Roman"/>
                <w:smallCaps w:val="0"/>
                <w:color w:val="auto"/>
                <w:spacing w:val="0"/>
                <w:w w:val="100"/>
                <w:sz w:val="21"/>
                <w:szCs w:val="21"/>
                <w:highlight w:val="none"/>
                <w:lang w:val="en-US" w:eastAsia="zh-CN"/>
              </w:rPr>
              <w:t>.11.16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222"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rPr>
            </w:pPr>
            <w:r>
              <w:rPr>
                <w:rFonts w:hint="eastAsia" w:ascii="Times New Roman" w:hAnsi="Times New Roman" w:cs="Times New Roman"/>
                <w:smallCaps w:val="0"/>
                <w:color w:val="auto"/>
                <w:spacing w:val="0"/>
                <w:w w:val="100"/>
                <w:sz w:val="21"/>
                <w:szCs w:val="21"/>
                <w:highlight w:val="none"/>
                <w:lang w:val="en-US" w:eastAsia="zh-CN"/>
              </w:rPr>
              <w:t>拟建湿地厂址北侧</w:t>
            </w:r>
          </w:p>
        </w:tc>
        <w:tc>
          <w:tcPr>
            <w:tcW w:w="1365"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49.7</w:t>
            </w:r>
          </w:p>
        </w:tc>
        <w:tc>
          <w:tcPr>
            <w:tcW w:w="152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52.0</w:t>
            </w:r>
          </w:p>
        </w:tc>
        <w:tc>
          <w:tcPr>
            <w:tcW w:w="1702"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47.3</w:t>
            </w:r>
          </w:p>
        </w:tc>
        <w:tc>
          <w:tcPr>
            <w:tcW w:w="170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22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拟建湿地厂址东侧</w:t>
            </w:r>
          </w:p>
        </w:tc>
        <w:tc>
          <w:tcPr>
            <w:tcW w:w="1365"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50.3</w:t>
            </w:r>
          </w:p>
        </w:tc>
        <w:tc>
          <w:tcPr>
            <w:tcW w:w="152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49.9</w:t>
            </w:r>
          </w:p>
        </w:tc>
        <w:tc>
          <w:tcPr>
            <w:tcW w:w="1702"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46.1</w:t>
            </w:r>
          </w:p>
        </w:tc>
        <w:tc>
          <w:tcPr>
            <w:tcW w:w="170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22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拟建湿地厂址南侧</w:t>
            </w:r>
          </w:p>
        </w:tc>
        <w:tc>
          <w:tcPr>
            <w:tcW w:w="1365"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53.0</w:t>
            </w:r>
          </w:p>
        </w:tc>
        <w:tc>
          <w:tcPr>
            <w:tcW w:w="152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54.1</w:t>
            </w:r>
          </w:p>
        </w:tc>
        <w:tc>
          <w:tcPr>
            <w:tcW w:w="1702"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48.4</w:t>
            </w:r>
          </w:p>
        </w:tc>
        <w:tc>
          <w:tcPr>
            <w:tcW w:w="170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46.9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22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拟建湿地厂址西侧</w:t>
            </w:r>
          </w:p>
        </w:tc>
        <w:tc>
          <w:tcPr>
            <w:tcW w:w="1365"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50.8</w:t>
            </w:r>
          </w:p>
        </w:tc>
        <w:tc>
          <w:tcPr>
            <w:tcW w:w="152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51.1</w:t>
            </w:r>
          </w:p>
        </w:tc>
        <w:tc>
          <w:tcPr>
            <w:tcW w:w="1702"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46.6</w:t>
            </w:r>
          </w:p>
        </w:tc>
        <w:tc>
          <w:tcPr>
            <w:tcW w:w="170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47.2</w:t>
            </w:r>
          </w:p>
        </w:tc>
      </w:tr>
    </w:tbl>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（3）现状评价</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监测结果显示，</w:t>
      </w:r>
      <w:r>
        <w:rPr>
          <w:rFonts w:hint="eastAsia" w:ascii="Times New Roman" w:hAnsi="Times New Roman" w:eastAsia="宋体" w:cs="Times New Roman"/>
          <w:color w:val="auto"/>
          <w:spacing w:val="24"/>
          <w:sz w:val="24"/>
          <w:szCs w:val="24"/>
          <w:highlight w:val="none"/>
          <w:lang w:val="en-US" w:eastAsia="zh-CN"/>
        </w:rPr>
        <w:t>拟建湿地厂址厂界声环境均</w:t>
      </w:r>
      <w:r>
        <w:rPr>
          <w:rFonts w:hint="default" w:ascii="Times New Roman" w:hAnsi="Times New Roman" w:eastAsia="宋体" w:cs="Times New Roman"/>
          <w:color w:val="auto"/>
          <w:spacing w:val="24"/>
          <w:sz w:val="24"/>
          <w:szCs w:val="24"/>
          <w:highlight w:val="none"/>
          <w:lang w:val="en-US" w:eastAsia="zh-CN"/>
        </w:rPr>
        <w:t>能满足《声环境质量标准》（GB3096-2008）</w:t>
      </w:r>
      <w:r>
        <w:rPr>
          <w:rFonts w:hint="eastAsia" w:ascii="Times New Roman" w:hAnsi="Times New Roman" w:eastAsia="宋体" w:cs="Times New Roman"/>
          <w:color w:val="auto"/>
          <w:spacing w:val="24"/>
          <w:sz w:val="24"/>
          <w:szCs w:val="24"/>
          <w:highlight w:val="none"/>
          <w:lang w:val="en-US" w:eastAsia="zh-CN"/>
        </w:rPr>
        <w:t>2</w:t>
      </w:r>
      <w:r>
        <w:rPr>
          <w:rFonts w:hint="default" w:ascii="Times New Roman" w:hAnsi="Times New Roman" w:eastAsia="宋体" w:cs="Times New Roman"/>
          <w:color w:val="auto"/>
          <w:spacing w:val="24"/>
          <w:sz w:val="24"/>
          <w:szCs w:val="24"/>
          <w:highlight w:val="none"/>
          <w:lang w:val="en-US" w:eastAsia="zh-CN"/>
        </w:rPr>
        <w:t>类标准，现状良好。</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4.2.4土壤质量现状监测与评价</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（1）土壤理化特性调查</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根据土壤环境影响类型、建设项目特征与评价需要，有针对性地选择土壤理化特性调查内容，主要包括土体构型、土壤结构、土壤质地、阳离子交换量、氧化还原电位、饱和导水率、土壤容重、孔隙度等。</w:t>
      </w:r>
    </w:p>
    <w:p>
      <w:pPr>
        <w:widowControl/>
        <w:spacing w:line="360" w:lineRule="auto"/>
        <w:jc w:val="center"/>
        <w:rPr>
          <w:rFonts w:ascii="Times New Roman" w:hAnsi="Times New Roman" w:eastAsia="宋体" w:cs="Times New Roman"/>
          <w:b/>
          <w:bCs/>
          <w:smallCaps w:val="0"/>
          <w:color w:val="auto"/>
          <w:spacing w:val="0"/>
          <w:w w:val="100"/>
          <w:kern w:val="0"/>
          <w:sz w:val="24"/>
          <w:highlight w:val="none"/>
          <w:lang w:bidi="ar"/>
        </w:rPr>
      </w:pPr>
      <w:r>
        <w:rPr>
          <w:rFonts w:hint="eastAsia" w:ascii="Times New Roman" w:hAnsi="Times New Roman" w:eastAsia="宋体" w:cs="Times New Roman"/>
          <w:b/>
          <w:bCs/>
          <w:smallCaps w:val="0"/>
          <w:color w:val="auto"/>
          <w:spacing w:val="0"/>
          <w:w w:val="100"/>
          <w:kern w:val="0"/>
          <w:sz w:val="24"/>
          <w:highlight w:val="none"/>
          <w:lang w:bidi="ar"/>
        </w:rPr>
        <w:t>表4.2-1</w:t>
      </w:r>
      <w:r>
        <w:rPr>
          <w:rFonts w:hint="eastAsia" w:ascii="Times New Roman" w:hAnsi="Times New Roman" w:eastAsia="宋体" w:cs="Times New Roman"/>
          <w:b/>
          <w:bCs/>
          <w:smallCaps w:val="0"/>
          <w:color w:val="auto"/>
          <w:spacing w:val="0"/>
          <w:w w:val="100"/>
          <w:kern w:val="0"/>
          <w:sz w:val="24"/>
          <w:highlight w:val="none"/>
          <w:lang w:val="en-US" w:eastAsia="zh-CN" w:bidi="ar"/>
        </w:rPr>
        <w:t>9</w:t>
      </w:r>
      <w:r>
        <w:rPr>
          <w:rFonts w:hint="eastAsia" w:ascii="Times New Roman" w:hAnsi="Times New Roman" w:eastAsia="宋体" w:cs="Times New Roman"/>
          <w:b/>
          <w:bCs/>
          <w:smallCaps w:val="0"/>
          <w:color w:val="auto"/>
          <w:spacing w:val="0"/>
          <w:w w:val="100"/>
          <w:kern w:val="0"/>
          <w:sz w:val="24"/>
          <w:highlight w:val="none"/>
          <w:lang w:bidi="ar"/>
        </w:rPr>
        <w:t>土壤理化性质调查表</w:t>
      </w:r>
    </w:p>
    <w:tbl>
      <w:tblPr>
        <w:tblStyle w:val="12"/>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6"/>
        <w:gridCol w:w="2200"/>
        <w:gridCol w:w="1383"/>
        <w:gridCol w:w="1197"/>
        <w:gridCol w:w="1718"/>
        <w:gridCol w:w="158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2" w:hRule="atLeast"/>
        </w:trPr>
        <w:tc>
          <w:tcPr>
            <w:tcW w:w="1542" w:type="pct"/>
            <w:gridSpan w:val="2"/>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点号</w:t>
            </w:r>
          </w:p>
        </w:tc>
        <w:tc>
          <w:tcPr>
            <w:tcW w:w="1515" w:type="pct"/>
            <w:gridSpan w:val="2"/>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eastAsia="宋体" w:cs="Times New Roman"/>
                <w:bCs/>
                <w:color w:val="auto"/>
                <w:sz w:val="21"/>
                <w:szCs w:val="21"/>
                <w:highlight w:val="none"/>
                <w:lang w:val="en-US" w:eastAsia="zh-CN"/>
              </w:rPr>
              <w:t>拟建人工湿地占地内-生态稳定塘</w:t>
            </w:r>
          </w:p>
        </w:tc>
        <w:tc>
          <w:tcPr>
            <w:tcW w:w="1009"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时间</w:t>
            </w:r>
          </w:p>
        </w:tc>
        <w:tc>
          <w:tcPr>
            <w:tcW w:w="932" w:type="pct"/>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2022.11.11-2022.11.17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8" w:hRule="atLeast"/>
        </w:trPr>
        <w:tc>
          <w:tcPr>
            <w:tcW w:w="1542" w:type="pct"/>
            <w:gridSpan w:val="2"/>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坐标</w:t>
            </w:r>
          </w:p>
        </w:tc>
        <w:tc>
          <w:tcPr>
            <w:tcW w:w="3457" w:type="pct"/>
            <w:gridSpan w:val="4"/>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g124.90304947,45.9404219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8" w:hRule="atLeast"/>
        </w:trPr>
        <w:tc>
          <w:tcPr>
            <w:tcW w:w="1542" w:type="pct"/>
            <w:gridSpan w:val="2"/>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层次</w:t>
            </w:r>
          </w:p>
        </w:tc>
        <w:tc>
          <w:tcPr>
            <w:tcW w:w="81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cs="Times New Roman"/>
                <w:smallCaps w:val="0"/>
                <w:color w:val="auto"/>
                <w:spacing w:val="0"/>
                <w:w w:val="100"/>
                <w:sz w:val="21"/>
                <w:szCs w:val="21"/>
                <w:highlight w:val="none"/>
              </w:rPr>
              <w:t>0-0.5m</w:t>
            </w:r>
          </w:p>
        </w:tc>
        <w:tc>
          <w:tcPr>
            <w:tcW w:w="70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cs="Times New Roman"/>
                <w:smallCaps w:val="0"/>
                <w:color w:val="auto"/>
                <w:spacing w:val="0"/>
                <w:w w:val="100"/>
                <w:sz w:val="21"/>
                <w:szCs w:val="21"/>
                <w:highlight w:val="none"/>
              </w:rPr>
              <w:t>0.5-1.5m</w:t>
            </w:r>
          </w:p>
        </w:tc>
        <w:tc>
          <w:tcPr>
            <w:tcW w:w="1009"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cs="Times New Roman"/>
                <w:smallCaps w:val="0"/>
                <w:color w:val="auto"/>
                <w:spacing w:val="0"/>
                <w:w w:val="100"/>
                <w:sz w:val="21"/>
                <w:szCs w:val="21"/>
                <w:highlight w:val="none"/>
              </w:rPr>
              <w:t>1.5-3m</w:t>
            </w:r>
          </w:p>
        </w:tc>
        <w:tc>
          <w:tcPr>
            <w:tcW w:w="93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50" w:type="pct"/>
            <w:vMerge w:val="restar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现场记录</w:t>
            </w:r>
          </w:p>
        </w:tc>
        <w:tc>
          <w:tcPr>
            <w:tcW w:w="129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颜色</w:t>
            </w:r>
          </w:p>
        </w:tc>
        <w:tc>
          <w:tcPr>
            <w:tcW w:w="81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cs="Times New Roman"/>
                <w:smallCaps w:val="0"/>
                <w:color w:val="auto"/>
                <w:spacing w:val="0"/>
                <w:w w:val="100"/>
                <w:sz w:val="21"/>
                <w:szCs w:val="21"/>
                <w:highlight w:val="none"/>
              </w:rPr>
              <w:t>褐色</w:t>
            </w:r>
          </w:p>
        </w:tc>
        <w:tc>
          <w:tcPr>
            <w:tcW w:w="70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cs="Times New Roman"/>
                <w:smallCaps w:val="0"/>
                <w:color w:val="auto"/>
                <w:spacing w:val="0"/>
                <w:w w:val="100"/>
                <w:sz w:val="21"/>
                <w:szCs w:val="21"/>
                <w:highlight w:val="none"/>
              </w:rPr>
              <w:t>褐色</w:t>
            </w:r>
          </w:p>
        </w:tc>
        <w:tc>
          <w:tcPr>
            <w:tcW w:w="1009"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cs="Times New Roman"/>
                <w:smallCaps w:val="0"/>
                <w:color w:val="auto"/>
                <w:spacing w:val="0"/>
                <w:w w:val="100"/>
                <w:sz w:val="21"/>
                <w:szCs w:val="21"/>
                <w:highlight w:val="none"/>
              </w:rPr>
              <w:t>褐色</w:t>
            </w:r>
          </w:p>
        </w:tc>
        <w:tc>
          <w:tcPr>
            <w:tcW w:w="93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50"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129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结构</w:t>
            </w:r>
          </w:p>
        </w:tc>
        <w:tc>
          <w:tcPr>
            <w:tcW w:w="81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eastAsia="zh-CN"/>
              </w:rPr>
              <w:t>粘土</w:t>
            </w:r>
          </w:p>
        </w:tc>
        <w:tc>
          <w:tcPr>
            <w:tcW w:w="70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eastAsia="zh-CN"/>
              </w:rPr>
              <w:t>粘土</w:t>
            </w:r>
          </w:p>
        </w:tc>
        <w:tc>
          <w:tcPr>
            <w:tcW w:w="1009"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eastAsia="zh-CN"/>
              </w:rPr>
              <w:t>粘土</w:t>
            </w:r>
          </w:p>
        </w:tc>
        <w:tc>
          <w:tcPr>
            <w:tcW w:w="93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50"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129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质地</w:t>
            </w:r>
          </w:p>
        </w:tc>
        <w:tc>
          <w:tcPr>
            <w:tcW w:w="81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粒状</w:t>
            </w:r>
          </w:p>
        </w:tc>
        <w:tc>
          <w:tcPr>
            <w:tcW w:w="70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粒状</w:t>
            </w:r>
          </w:p>
        </w:tc>
        <w:tc>
          <w:tcPr>
            <w:tcW w:w="1009"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粒状</w:t>
            </w:r>
          </w:p>
        </w:tc>
        <w:tc>
          <w:tcPr>
            <w:tcW w:w="93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50"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129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沙粒含量</w:t>
            </w:r>
          </w:p>
        </w:tc>
        <w:tc>
          <w:tcPr>
            <w:tcW w:w="81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cs="Times New Roman"/>
                <w:smallCaps w:val="0"/>
                <w:color w:val="auto"/>
                <w:spacing w:val="0"/>
                <w:w w:val="100"/>
                <w:sz w:val="21"/>
                <w:szCs w:val="21"/>
                <w:highlight w:val="none"/>
              </w:rPr>
              <w:t>20.</w:t>
            </w:r>
            <w:r>
              <w:rPr>
                <w:rFonts w:hint="eastAsia" w:ascii="Times New Roman" w:hAnsi="Times New Roman" w:cs="Times New Roman"/>
                <w:smallCaps w:val="0"/>
                <w:color w:val="auto"/>
                <w:spacing w:val="0"/>
                <w:w w:val="100"/>
                <w:sz w:val="21"/>
                <w:szCs w:val="21"/>
                <w:highlight w:val="none"/>
                <w:lang w:val="en-US" w:eastAsia="zh-CN"/>
              </w:rPr>
              <w:t>1</w:t>
            </w:r>
          </w:p>
        </w:tc>
        <w:tc>
          <w:tcPr>
            <w:tcW w:w="70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cs="Times New Roman"/>
                <w:smallCaps w:val="0"/>
                <w:color w:val="auto"/>
                <w:spacing w:val="0"/>
                <w:w w:val="100"/>
                <w:sz w:val="21"/>
                <w:szCs w:val="21"/>
                <w:highlight w:val="none"/>
              </w:rPr>
              <w:t>18.</w:t>
            </w:r>
            <w:r>
              <w:rPr>
                <w:rFonts w:hint="eastAsia" w:ascii="Times New Roman" w:hAnsi="Times New Roman" w:cs="Times New Roman"/>
                <w:smallCaps w:val="0"/>
                <w:color w:val="auto"/>
                <w:spacing w:val="0"/>
                <w:w w:val="100"/>
                <w:sz w:val="21"/>
                <w:szCs w:val="21"/>
                <w:highlight w:val="none"/>
                <w:lang w:val="en-US" w:eastAsia="zh-CN"/>
              </w:rPr>
              <w:t>6</w:t>
            </w:r>
          </w:p>
        </w:tc>
        <w:tc>
          <w:tcPr>
            <w:tcW w:w="1009"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cs="Times New Roman"/>
                <w:smallCaps w:val="0"/>
                <w:color w:val="auto"/>
                <w:spacing w:val="0"/>
                <w:w w:val="100"/>
                <w:sz w:val="21"/>
                <w:szCs w:val="21"/>
                <w:highlight w:val="none"/>
              </w:rPr>
              <w:t>17.</w:t>
            </w:r>
            <w:r>
              <w:rPr>
                <w:rFonts w:hint="eastAsia" w:ascii="Times New Roman" w:hAnsi="Times New Roman" w:cs="Times New Roman"/>
                <w:smallCaps w:val="0"/>
                <w:color w:val="auto"/>
                <w:spacing w:val="0"/>
                <w:w w:val="100"/>
                <w:sz w:val="21"/>
                <w:szCs w:val="21"/>
                <w:highlight w:val="none"/>
                <w:lang w:val="en-US" w:eastAsia="zh-CN"/>
              </w:rPr>
              <w:t>4</w:t>
            </w:r>
          </w:p>
        </w:tc>
        <w:tc>
          <w:tcPr>
            <w:tcW w:w="93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50"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129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其他异物</w:t>
            </w:r>
          </w:p>
        </w:tc>
        <w:tc>
          <w:tcPr>
            <w:tcW w:w="81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无</w:t>
            </w:r>
          </w:p>
        </w:tc>
        <w:tc>
          <w:tcPr>
            <w:tcW w:w="70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无</w:t>
            </w:r>
          </w:p>
        </w:tc>
        <w:tc>
          <w:tcPr>
            <w:tcW w:w="1009"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无</w:t>
            </w:r>
          </w:p>
        </w:tc>
        <w:tc>
          <w:tcPr>
            <w:tcW w:w="93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50" w:type="pct"/>
            <w:vMerge w:val="restar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实验室测定</w:t>
            </w:r>
          </w:p>
        </w:tc>
        <w:tc>
          <w:tcPr>
            <w:tcW w:w="129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pH</w:t>
            </w:r>
          </w:p>
        </w:tc>
        <w:tc>
          <w:tcPr>
            <w:tcW w:w="81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8.0</w:t>
            </w:r>
          </w:p>
        </w:tc>
        <w:tc>
          <w:tcPr>
            <w:tcW w:w="70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7.8</w:t>
            </w:r>
          </w:p>
        </w:tc>
        <w:tc>
          <w:tcPr>
            <w:tcW w:w="1009"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7.6</w:t>
            </w:r>
          </w:p>
        </w:tc>
        <w:tc>
          <w:tcPr>
            <w:tcW w:w="93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50"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129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阳离子交换量(cmol+/kg)</w:t>
            </w:r>
          </w:p>
        </w:tc>
        <w:tc>
          <w:tcPr>
            <w:tcW w:w="81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19.1</w:t>
            </w:r>
          </w:p>
        </w:tc>
        <w:tc>
          <w:tcPr>
            <w:tcW w:w="70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19.7</w:t>
            </w:r>
          </w:p>
        </w:tc>
        <w:tc>
          <w:tcPr>
            <w:tcW w:w="1009"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19.5</w:t>
            </w:r>
          </w:p>
        </w:tc>
        <w:tc>
          <w:tcPr>
            <w:tcW w:w="93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50"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129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氧化还原电位（mv）</w:t>
            </w:r>
          </w:p>
        </w:tc>
        <w:tc>
          <w:tcPr>
            <w:tcW w:w="81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248</w:t>
            </w:r>
          </w:p>
        </w:tc>
        <w:tc>
          <w:tcPr>
            <w:tcW w:w="70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251</w:t>
            </w:r>
          </w:p>
        </w:tc>
        <w:tc>
          <w:tcPr>
            <w:tcW w:w="1009"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247</w:t>
            </w:r>
          </w:p>
        </w:tc>
        <w:tc>
          <w:tcPr>
            <w:tcW w:w="93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50"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129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饱和导水率(</w:t>
            </w:r>
            <w:r>
              <w:rPr>
                <w:rFonts w:hint="eastAsia" w:ascii="Times New Roman" w:hAnsi="Times New Roman" w:cs="Times New Roman"/>
                <w:smallCaps w:val="0"/>
                <w:color w:val="auto"/>
                <w:spacing w:val="0"/>
                <w:w w:val="100"/>
                <w:sz w:val="21"/>
                <w:szCs w:val="21"/>
                <w:highlight w:val="none"/>
                <w:lang w:val="en-US" w:eastAsia="zh-CN"/>
              </w:rPr>
              <w:t>c</w:t>
            </w:r>
            <w:r>
              <w:rPr>
                <w:rFonts w:hint="eastAsia" w:ascii="Times New Roman" w:hAnsi="Times New Roman" w:cs="Times New Roman"/>
                <w:smallCaps w:val="0"/>
                <w:color w:val="auto"/>
                <w:spacing w:val="0"/>
                <w:w w:val="100"/>
                <w:sz w:val="21"/>
                <w:szCs w:val="21"/>
                <w:highlight w:val="none"/>
              </w:rPr>
              <w:t>m/s)</w:t>
            </w:r>
          </w:p>
        </w:tc>
        <w:tc>
          <w:tcPr>
            <w:tcW w:w="81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0.10</w:t>
            </w:r>
          </w:p>
        </w:tc>
        <w:tc>
          <w:tcPr>
            <w:tcW w:w="70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0.12</w:t>
            </w:r>
          </w:p>
        </w:tc>
        <w:tc>
          <w:tcPr>
            <w:tcW w:w="1009"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0.11</w:t>
            </w:r>
          </w:p>
        </w:tc>
        <w:tc>
          <w:tcPr>
            <w:tcW w:w="93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50"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129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土壤容重(</w:t>
            </w:r>
            <w:r>
              <w:rPr>
                <w:rFonts w:hint="eastAsia" w:ascii="Times New Roman" w:hAnsi="Times New Roman" w:cs="Times New Roman"/>
                <w:smallCaps w:val="0"/>
                <w:color w:val="auto"/>
                <w:spacing w:val="0"/>
                <w:w w:val="100"/>
                <w:sz w:val="21"/>
                <w:szCs w:val="21"/>
                <w:highlight w:val="none"/>
                <w:lang w:val="en-US" w:eastAsia="zh-CN"/>
              </w:rPr>
              <w:t>kg</w:t>
            </w:r>
            <w:r>
              <w:rPr>
                <w:rFonts w:hint="eastAsia" w:ascii="Times New Roman" w:hAnsi="Times New Roman" w:cs="Times New Roman"/>
                <w:smallCaps w:val="0"/>
                <w:color w:val="auto"/>
                <w:spacing w:val="0"/>
                <w:w w:val="100"/>
                <w:sz w:val="21"/>
                <w:szCs w:val="21"/>
                <w:highlight w:val="none"/>
              </w:rPr>
              <w:t>/cm</w:t>
            </w:r>
            <w:r>
              <w:rPr>
                <w:rFonts w:hint="eastAsia" w:ascii="Times New Roman" w:hAnsi="Times New Roman" w:cs="Times New Roman"/>
                <w:smallCaps w:val="0"/>
                <w:color w:val="auto"/>
                <w:spacing w:val="0"/>
                <w:w w:val="100"/>
                <w:sz w:val="21"/>
                <w:szCs w:val="21"/>
                <w:highlight w:val="none"/>
                <w:vertAlign w:val="superscript"/>
              </w:rPr>
              <w:t>3</w:t>
            </w:r>
            <w:r>
              <w:rPr>
                <w:rFonts w:hint="eastAsia" w:ascii="Times New Roman" w:hAnsi="Times New Roman" w:cs="Times New Roman"/>
                <w:smallCaps w:val="0"/>
                <w:color w:val="auto"/>
                <w:spacing w:val="0"/>
                <w:w w:val="100"/>
                <w:sz w:val="21"/>
                <w:szCs w:val="21"/>
                <w:highlight w:val="none"/>
              </w:rPr>
              <w:t>)</w:t>
            </w:r>
          </w:p>
        </w:tc>
        <w:tc>
          <w:tcPr>
            <w:tcW w:w="81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cs="Times New Roman"/>
                <w:smallCaps w:val="0"/>
                <w:color w:val="auto"/>
                <w:spacing w:val="0"/>
                <w:w w:val="100"/>
                <w:sz w:val="21"/>
                <w:szCs w:val="21"/>
                <w:highlight w:val="none"/>
              </w:rPr>
              <w:t>1.</w:t>
            </w:r>
            <w:r>
              <w:rPr>
                <w:rFonts w:hint="eastAsia" w:ascii="Times New Roman" w:hAnsi="Times New Roman" w:cs="Times New Roman"/>
                <w:smallCaps w:val="0"/>
                <w:color w:val="auto"/>
                <w:spacing w:val="0"/>
                <w:w w:val="100"/>
                <w:sz w:val="21"/>
                <w:szCs w:val="21"/>
                <w:highlight w:val="none"/>
                <w:lang w:val="en-US" w:eastAsia="zh-CN"/>
              </w:rPr>
              <w:t>22</w:t>
            </w:r>
          </w:p>
        </w:tc>
        <w:tc>
          <w:tcPr>
            <w:tcW w:w="70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cs="Times New Roman"/>
                <w:smallCaps w:val="0"/>
                <w:color w:val="auto"/>
                <w:spacing w:val="0"/>
                <w:w w:val="100"/>
                <w:sz w:val="21"/>
                <w:szCs w:val="21"/>
                <w:highlight w:val="none"/>
              </w:rPr>
              <w:t>1.</w:t>
            </w:r>
            <w:r>
              <w:rPr>
                <w:rFonts w:hint="eastAsia" w:ascii="Times New Roman" w:hAnsi="Times New Roman" w:cs="Times New Roman"/>
                <w:smallCaps w:val="0"/>
                <w:color w:val="auto"/>
                <w:spacing w:val="0"/>
                <w:w w:val="100"/>
                <w:sz w:val="21"/>
                <w:szCs w:val="21"/>
                <w:highlight w:val="none"/>
                <w:lang w:val="en-US" w:eastAsia="zh-CN"/>
              </w:rPr>
              <w:t>19</w:t>
            </w:r>
          </w:p>
        </w:tc>
        <w:tc>
          <w:tcPr>
            <w:tcW w:w="1009"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default" w:ascii="Times New Roman" w:hAnsi="Times New Roman" w:cs="Times New Roman"/>
                <w:smallCaps w:val="0"/>
                <w:color w:val="auto"/>
                <w:spacing w:val="0"/>
                <w:w w:val="100"/>
                <w:sz w:val="21"/>
                <w:szCs w:val="21"/>
                <w:highlight w:val="none"/>
              </w:rPr>
              <w:t>1.</w:t>
            </w:r>
            <w:r>
              <w:rPr>
                <w:rFonts w:hint="eastAsia" w:ascii="Times New Roman" w:hAnsi="Times New Roman" w:cs="Times New Roman"/>
                <w:smallCaps w:val="0"/>
                <w:color w:val="auto"/>
                <w:spacing w:val="0"/>
                <w:w w:val="100"/>
                <w:sz w:val="21"/>
                <w:szCs w:val="21"/>
                <w:highlight w:val="none"/>
                <w:lang w:val="en-US" w:eastAsia="zh-CN"/>
              </w:rPr>
              <w:t>18</w:t>
            </w:r>
          </w:p>
        </w:tc>
        <w:tc>
          <w:tcPr>
            <w:tcW w:w="93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3" w:hRule="atLeast"/>
        </w:trPr>
        <w:tc>
          <w:tcPr>
            <w:tcW w:w="250" w:type="pct"/>
            <w:vMerge w:val="continue"/>
            <w:tcBorders>
              <w:tl2br w:val="nil"/>
              <w:tr2bl w:val="nil"/>
            </w:tcBorders>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129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孔隙度(%)</w:t>
            </w:r>
          </w:p>
        </w:tc>
        <w:tc>
          <w:tcPr>
            <w:tcW w:w="81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49.3</w:t>
            </w:r>
          </w:p>
        </w:tc>
        <w:tc>
          <w:tcPr>
            <w:tcW w:w="702"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49.6</w:t>
            </w:r>
          </w:p>
        </w:tc>
        <w:tc>
          <w:tcPr>
            <w:tcW w:w="1009"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lang w:val="en-US" w:eastAsia="zh-CN"/>
              </w:rPr>
              <w:t>49.0</w:t>
            </w:r>
          </w:p>
        </w:tc>
        <w:tc>
          <w:tcPr>
            <w:tcW w:w="932"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w:t>
            </w:r>
          </w:p>
        </w:tc>
      </w:tr>
    </w:tbl>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（2）现状监测</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①监测布点</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根据《环境影响评价技术导则 土壤》（HJ964-2018）导则规定及本项目占地土壤类型、土地利用类型，本项目布设6个土壤监测点，3个柱状样</w:t>
      </w:r>
      <w:r>
        <w:rPr>
          <w:rFonts w:hint="eastAsia" w:ascii="Times New Roman" w:hAnsi="Times New Roman" w:eastAsia="宋体" w:cs="Times New Roman"/>
          <w:color w:val="auto"/>
          <w:spacing w:val="24"/>
          <w:sz w:val="24"/>
          <w:szCs w:val="24"/>
          <w:highlight w:val="none"/>
          <w:lang w:val="en-US" w:eastAsia="zh-CN"/>
        </w:rPr>
        <w:t>，</w:t>
      </w:r>
      <w:r>
        <w:rPr>
          <w:rFonts w:hint="default" w:ascii="Times New Roman" w:hAnsi="Times New Roman" w:eastAsia="宋体" w:cs="Times New Roman"/>
          <w:color w:val="auto"/>
          <w:spacing w:val="24"/>
          <w:sz w:val="24"/>
          <w:szCs w:val="24"/>
          <w:highlight w:val="none"/>
          <w:lang w:val="en-US" w:eastAsia="zh-CN"/>
        </w:rPr>
        <w:t>3个表层样。</w:t>
      </w:r>
    </w:p>
    <w:p>
      <w:pPr>
        <w:widowControl/>
        <w:spacing w:line="360" w:lineRule="auto"/>
        <w:jc w:val="center"/>
        <w:rPr>
          <w:rFonts w:ascii="Times New Roman" w:hAnsi="Times New Roman" w:eastAsia="宋体" w:cs="Times New Roman"/>
          <w:b/>
          <w:bCs/>
          <w:smallCaps w:val="0"/>
          <w:color w:val="auto"/>
          <w:spacing w:val="0"/>
          <w:w w:val="100"/>
          <w:kern w:val="0"/>
          <w:sz w:val="24"/>
          <w:highlight w:val="none"/>
          <w:lang w:bidi="ar"/>
        </w:rPr>
      </w:pPr>
      <w:r>
        <w:rPr>
          <w:rFonts w:ascii="Times New Roman" w:hAnsi="Times New Roman" w:eastAsia="宋体" w:cs="Times New Roman"/>
          <w:b/>
          <w:bCs/>
          <w:smallCaps w:val="0"/>
          <w:color w:val="auto"/>
          <w:spacing w:val="0"/>
          <w:w w:val="100"/>
          <w:kern w:val="0"/>
          <w:sz w:val="24"/>
          <w:highlight w:val="none"/>
          <w:lang w:bidi="ar"/>
        </w:rPr>
        <w:t>表4.2-</w:t>
      </w:r>
      <w:r>
        <w:rPr>
          <w:rFonts w:hint="eastAsia" w:ascii="Times New Roman" w:hAnsi="Times New Roman" w:eastAsia="宋体" w:cs="Times New Roman"/>
          <w:b/>
          <w:bCs/>
          <w:smallCaps w:val="0"/>
          <w:color w:val="auto"/>
          <w:spacing w:val="0"/>
          <w:w w:val="100"/>
          <w:kern w:val="0"/>
          <w:sz w:val="24"/>
          <w:highlight w:val="none"/>
          <w:lang w:val="en-US" w:eastAsia="zh-CN" w:bidi="ar"/>
        </w:rPr>
        <w:t>20</w:t>
      </w:r>
      <w:r>
        <w:rPr>
          <w:rFonts w:ascii="Times New Roman" w:hAnsi="Times New Roman" w:eastAsia="宋体" w:cs="Times New Roman"/>
          <w:b/>
          <w:bCs/>
          <w:smallCaps w:val="0"/>
          <w:color w:val="auto"/>
          <w:spacing w:val="0"/>
          <w:w w:val="100"/>
          <w:kern w:val="0"/>
          <w:sz w:val="24"/>
          <w:highlight w:val="none"/>
          <w:lang w:bidi="ar"/>
        </w:rPr>
        <w:t>土壤监测点位表</w:t>
      </w:r>
    </w:p>
    <w:tbl>
      <w:tblPr>
        <w:tblStyle w:val="12"/>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598"/>
        <w:gridCol w:w="1447"/>
        <w:gridCol w:w="2207"/>
        <w:gridCol w:w="2042"/>
        <w:gridCol w:w="221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1"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编号</w:t>
            </w:r>
          </w:p>
        </w:tc>
        <w:tc>
          <w:tcPr>
            <w:tcW w:w="849"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监测点</w:t>
            </w:r>
          </w:p>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名称</w:t>
            </w:r>
          </w:p>
        </w:tc>
        <w:tc>
          <w:tcPr>
            <w:tcW w:w="1296"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坐标</w:t>
            </w:r>
          </w:p>
        </w:tc>
        <w:tc>
          <w:tcPr>
            <w:tcW w:w="1199"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执行标准</w:t>
            </w:r>
          </w:p>
        </w:tc>
        <w:tc>
          <w:tcPr>
            <w:tcW w:w="1303"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备注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1"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S</w:t>
            </w:r>
            <w:r>
              <w:rPr>
                <w:rFonts w:ascii="Times New Roman" w:hAnsi="Times New Roman" w:cs="Times New Roman"/>
                <w:smallCaps w:val="0"/>
                <w:color w:val="auto"/>
                <w:spacing w:val="0"/>
                <w:w w:val="100"/>
                <w:sz w:val="21"/>
                <w:szCs w:val="21"/>
                <w:highlight w:val="none"/>
              </w:rPr>
              <w:t>1</w:t>
            </w:r>
          </w:p>
        </w:tc>
        <w:tc>
          <w:tcPr>
            <w:tcW w:w="849" w:type="pct"/>
            <w:tcBorders>
              <w:tl2br w:val="nil"/>
              <w:tr2bl w:val="nil"/>
            </w:tcBorders>
            <w:vAlign w:val="center"/>
          </w:tcPr>
          <w:p>
            <w:pPr>
              <w:spacing w:line="300" w:lineRule="exact"/>
              <w:ind w:firstLine="10" w:firstLineChars="5"/>
              <w:jc w:val="both"/>
              <w:rPr>
                <w:rFonts w:ascii="Times New Roman" w:hAnsi="Times New Roman" w:cs="Times New Roman"/>
                <w:smallCaps w:val="0"/>
                <w:color w:val="auto"/>
                <w:spacing w:val="0"/>
                <w:w w:val="100"/>
                <w:sz w:val="21"/>
                <w:szCs w:val="21"/>
                <w:highlight w:val="none"/>
              </w:rPr>
            </w:pPr>
            <w:r>
              <w:rPr>
                <w:rFonts w:hint="eastAsia" w:ascii="Times New Roman"/>
                <w:color w:val="auto"/>
                <w:sz w:val="21"/>
                <w:szCs w:val="21"/>
                <w:highlight w:val="none"/>
                <w:lang w:val="en-US" w:eastAsia="zh-CN"/>
              </w:rPr>
              <w:t>拟建人工湿地占地内-生态稳定塘</w:t>
            </w:r>
          </w:p>
        </w:tc>
        <w:tc>
          <w:tcPr>
            <w:tcW w:w="1296" w:type="pct"/>
            <w:tcBorders>
              <w:tl2br w:val="nil"/>
              <w:tr2bl w:val="nil"/>
            </w:tcBorders>
            <w:vAlign w:val="center"/>
          </w:tcPr>
          <w:p>
            <w:pPr>
              <w:widowControl/>
              <w:spacing w:line="360" w:lineRule="exact"/>
              <w:jc w:val="both"/>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g124.90304947,45.9404219</w:t>
            </w:r>
          </w:p>
        </w:tc>
        <w:tc>
          <w:tcPr>
            <w:tcW w:w="1199" w:type="pct"/>
            <w:vMerge w:val="restart"/>
            <w:tcBorders>
              <w:tl2br w:val="nil"/>
              <w:tr2bl w:val="nil"/>
            </w:tcBorders>
            <w:vAlign w:val="center"/>
          </w:tcPr>
          <w:p>
            <w:pPr>
              <w:widowControl/>
              <w:spacing w:line="360" w:lineRule="exact"/>
              <w:rPr>
                <w:rFonts w:ascii="Times New Roman" w:hAnsi="Times New Roman" w:cs="Times New Roman"/>
                <w:smallCaps w:val="0"/>
                <w:color w:val="auto"/>
                <w:spacing w:val="0"/>
                <w:w w:val="100"/>
                <w:sz w:val="21"/>
                <w:szCs w:val="21"/>
                <w:highlight w:val="none"/>
              </w:rPr>
            </w:pPr>
            <w:r>
              <w:rPr>
                <w:rFonts w:ascii="Times New Roman" w:hAnsi="Times New Roman" w:cs="Times New Roman"/>
                <w:smallCaps w:val="0"/>
                <w:color w:val="auto"/>
                <w:spacing w:val="0"/>
                <w:w w:val="100"/>
                <w:sz w:val="21"/>
                <w:szCs w:val="21"/>
                <w:highlight w:val="none"/>
              </w:rPr>
              <w:t>《土壤环境质量 建设用地土壤污染风险管控标准（试行）》（GB36600-2018）第</w:t>
            </w:r>
            <w:r>
              <w:rPr>
                <w:rFonts w:hint="eastAsia" w:ascii="Times New Roman" w:hAnsi="Times New Roman" w:cs="Times New Roman"/>
                <w:smallCaps w:val="0"/>
                <w:color w:val="auto"/>
                <w:spacing w:val="0"/>
                <w:w w:val="100"/>
                <w:sz w:val="21"/>
                <w:szCs w:val="21"/>
                <w:highlight w:val="none"/>
                <w:lang w:val="en-US" w:eastAsia="zh-CN"/>
              </w:rPr>
              <w:t>二</w:t>
            </w:r>
            <w:r>
              <w:rPr>
                <w:rFonts w:ascii="Times New Roman" w:hAnsi="Times New Roman" w:cs="Times New Roman"/>
                <w:smallCaps w:val="0"/>
                <w:color w:val="auto"/>
                <w:spacing w:val="0"/>
                <w:w w:val="100"/>
                <w:sz w:val="21"/>
                <w:szCs w:val="21"/>
                <w:highlight w:val="none"/>
              </w:rPr>
              <w:t>类土壤污染风险筛选值</w:t>
            </w:r>
          </w:p>
        </w:tc>
        <w:tc>
          <w:tcPr>
            <w:tcW w:w="1303" w:type="pct"/>
            <w:tcBorders>
              <w:tl2br w:val="nil"/>
              <w:tr2bl w:val="nil"/>
            </w:tcBorders>
            <w:vAlign w:val="center"/>
          </w:tcPr>
          <w:p>
            <w:pPr>
              <w:widowControl/>
              <w:spacing w:line="360" w:lineRule="exact"/>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采取柱状样，在0~0.5m、0.5~1.5m、1.5~3m分别取样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1"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S</w:t>
            </w:r>
            <w:r>
              <w:rPr>
                <w:rFonts w:ascii="Times New Roman" w:hAnsi="Times New Roman" w:cs="Times New Roman"/>
                <w:smallCaps w:val="0"/>
                <w:color w:val="auto"/>
                <w:spacing w:val="0"/>
                <w:w w:val="100"/>
                <w:sz w:val="21"/>
                <w:szCs w:val="21"/>
                <w:highlight w:val="none"/>
              </w:rPr>
              <w:t>2</w:t>
            </w:r>
          </w:p>
        </w:tc>
        <w:tc>
          <w:tcPr>
            <w:tcW w:w="849" w:type="pct"/>
            <w:tcBorders>
              <w:tl2br w:val="nil"/>
              <w:tr2bl w:val="nil"/>
            </w:tcBorders>
            <w:vAlign w:val="center"/>
          </w:tcPr>
          <w:p>
            <w:pPr>
              <w:spacing w:line="300" w:lineRule="exact"/>
              <w:ind w:firstLine="10" w:firstLineChars="5"/>
              <w:jc w:val="both"/>
              <w:rPr>
                <w:rFonts w:hint="eastAsia" w:ascii="Times New Roman" w:hAnsi="Times New Roman" w:cs="Times New Roman"/>
                <w:smallCaps w:val="0"/>
                <w:color w:val="auto"/>
                <w:spacing w:val="0"/>
                <w:w w:val="100"/>
                <w:sz w:val="21"/>
                <w:szCs w:val="21"/>
                <w:highlight w:val="none"/>
                <w:lang w:eastAsia="zh-CN"/>
              </w:rPr>
            </w:pPr>
            <w:r>
              <w:rPr>
                <w:rFonts w:hint="eastAsia" w:ascii="Times New Roman"/>
                <w:color w:val="auto"/>
                <w:sz w:val="21"/>
                <w:szCs w:val="21"/>
                <w:highlight w:val="none"/>
                <w:lang w:val="en-US" w:eastAsia="zh-CN"/>
              </w:rPr>
              <w:t>拟建人工湿地占地内-</w:t>
            </w:r>
            <w:r>
              <w:rPr>
                <w:rFonts w:hint="default" w:ascii="Times New Roman"/>
                <w:color w:val="auto"/>
                <w:sz w:val="21"/>
                <w:szCs w:val="21"/>
                <w:highlight w:val="none"/>
                <w:lang w:val="en-US" w:eastAsia="zh-CN"/>
              </w:rPr>
              <w:t>潜流湿地</w:t>
            </w:r>
          </w:p>
        </w:tc>
        <w:tc>
          <w:tcPr>
            <w:tcW w:w="1296" w:type="pct"/>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lang w:eastAsia="zh-CN"/>
              </w:rPr>
            </w:pPr>
            <w:r>
              <w:rPr>
                <w:rFonts w:hint="eastAsia" w:ascii="Times New Roman" w:hAnsi="Times New Roman" w:cs="Times New Roman"/>
                <w:smallCaps w:val="0"/>
                <w:color w:val="auto"/>
                <w:spacing w:val="0"/>
                <w:w w:val="100"/>
                <w:sz w:val="21"/>
                <w:szCs w:val="21"/>
                <w:highlight w:val="none"/>
                <w:lang w:eastAsia="zh-CN"/>
              </w:rPr>
              <w:t>g124.90103245,45.93616908</w:t>
            </w:r>
          </w:p>
        </w:tc>
        <w:tc>
          <w:tcPr>
            <w:tcW w:w="1199"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1303" w:type="pct"/>
            <w:tcBorders>
              <w:tl2br w:val="nil"/>
              <w:tr2bl w:val="nil"/>
            </w:tcBorders>
            <w:vAlign w:val="center"/>
          </w:tcPr>
          <w:p>
            <w:pPr>
              <w:widowControl/>
              <w:spacing w:line="360" w:lineRule="exact"/>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采取柱状样，在0~0.5m、0.5~1.5m、1.5~3m分别取样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1"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S</w:t>
            </w:r>
            <w:r>
              <w:rPr>
                <w:rFonts w:ascii="Times New Roman" w:hAnsi="Times New Roman" w:cs="Times New Roman"/>
                <w:smallCaps w:val="0"/>
                <w:color w:val="auto"/>
                <w:spacing w:val="0"/>
                <w:w w:val="100"/>
                <w:sz w:val="21"/>
                <w:szCs w:val="21"/>
                <w:highlight w:val="none"/>
              </w:rPr>
              <w:t>3</w:t>
            </w:r>
          </w:p>
        </w:tc>
        <w:tc>
          <w:tcPr>
            <w:tcW w:w="849" w:type="pct"/>
            <w:tcBorders>
              <w:tl2br w:val="nil"/>
              <w:tr2bl w:val="nil"/>
            </w:tcBorders>
            <w:vAlign w:val="center"/>
          </w:tcPr>
          <w:p>
            <w:pPr>
              <w:spacing w:line="300" w:lineRule="exact"/>
              <w:ind w:firstLine="10" w:firstLineChars="5"/>
              <w:jc w:val="both"/>
              <w:rPr>
                <w:rFonts w:ascii="Times New Roman" w:hAnsi="Times New Roman" w:cs="Times New Roman"/>
                <w:smallCaps w:val="0"/>
                <w:color w:val="auto"/>
                <w:spacing w:val="0"/>
                <w:w w:val="100"/>
                <w:sz w:val="21"/>
                <w:szCs w:val="21"/>
                <w:highlight w:val="none"/>
              </w:rPr>
            </w:pPr>
            <w:r>
              <w:rPr>
                <w:rFonts w:hint="eastAsia" w:ascii="Times New Roman"/>
                <w:color w:val="auto"/>
                <w:sz w:val="21"/>
                <w:szCs w:val="21"/>
                <w:highlight w:val="none"/>
                <w:lang w:val="en-US" w:eastAsia="zh-CN"/>
              </w:rPr>
              <w:t>拟建人工湿地占地内-锅炉房</w:t>
            </w:r>
          </w:p>
        </w:tc>
        <w:tc>
          <w:tcPr>
            <w:tcW w:w="1296" w:type="pct"/>
            <w:tcBorders>
              <w:tl2br w:val="nil"/>
              <w:tr2bl w:val="nil"/>
            </w:tcBorders>
            <w:vAlign w:val="center"/>
          </w:tcPr>
          <w:p>
            <w:pPr>
              <w:widowControl/>
              <w:spacing w:line="360" w:lineRule="exact"/>
              <w:jc w:val="both"/>
              <w:rPr>
                <w:rFonts w:hint="eastAsia" w:ascii="Times New Roman" w:hAnsi="Times New Roman" w:cs="Times New Roman" w:eastAsiaTheme="minorEastAsia"/>
                <w:smallCaps w:val="0"/>
                <w:color w:val="auto"/>
                <w:spacing w:val="0"/>
                <w:w w:val="100"/>
                <w:sz w:val="21"/>
                <w:szCs w:val="21"/>
                <w:highlight w:val="none"/>
                <w:lang w:eastAsia="zh-CN"/>
              </w:rPr>
            </w:pPr>
            <w:r>
              <w:rPr>
                <w:rFonts w:hint="eastAsia" w:ascii="Times New Roman" w:hAnsi="Times New Roman" w:cs="Times New Roman" w:eastAsiaTheme="minorEastAsia"/>
                <w:smallCaps w:val="0"/>
                <w:color w:val="auto"/>
                <w:spacing w:val="0"/>
                <w:w w:val="100"/>
                <w:sz w:val="21"/>
                <w:szCs w:val="21"/>
                <w:highlight w:val="none"/>
                <w:lang w:eastAsia="zh-CN"/>
              </w:rPr>
              <w:t>g124.90225554,45.93237852</w:t>
            </w:r>
          </w:p>
        </w:tc>
        <w:tc>
          <w:tcPr>
            <w:tcW w:w="1199" w:type="pct"/>
            <w:vMerge w:val="continue"/>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p>
        </w:tc>
        <w:tc>
          <w:tcPr>
            <w:tcW w:w="1303" w:type="pct"/>
            <w:tcBorders>
              <w:tl2br w:val="nil"/>
              <w:tr2bl w:val="nil"/>
            </w:tcBorders>
            <w:vAlign w:val="center"/>
          </w:tcPr>
          <w:p>
            <w:pPr>
              <w:widowControl/>
              <w:spacing w:line="360" w:lineRule="exact"/>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采取柱状样，在0~0.5m、0.5~1.5m、1.5~3m分别取样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1" w:type="pct"/>
            <w:tcBorders>
              <w:tl2br w:val="nil"/>
              <w:tr2bl w:val="nil"/>
            </w:tcBorders>
            <w:vAlign w:val="center"/>
          </w:tcPr>
          <w:p>
            <w:pPr>
              <w:widowControl/>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S4</w:t>
            </w:r>
          </w:p>
        </w:tc>
        <w:tc>
          <w:tcPr>
            <w:tcW w:w="849" w:type="pct"/>
            <w:tcBorders>
              <w:tl2br w:val="nil"/>
              <w:tr2bl w:val="nil"/>
            </w:tcBorders>
            <w:vAlign w:val="center"/>
          </w:tcPr>
          <w:p>
            <w:pPr>
              <w:spacing w:line="300" w:lineRule="exact"/>
              <w:ind w:firstLine="10" w:firstLineChars="5"/>
              <w:jc w:val="both"/>
              <w:rPr>
                <w:rFonts w:ascii="Times New Roman" w:hAnsi="Times New Roman" w:cs="Times New Roman"/>
                <w:smallCaps w:val="0"/>
                <w:color w:val="auto"/>
                <w:spacing w:val="0"/>
                <w:w w:val="100"/>
                <w:sz w:val="21"/>
                <w:szCs w:val="21"/>
                <w:highlight w:val="none"/>
              </w:rPr>
            </w:pPr>
            <w:r>
              <w:rPr>
                <w:rFonts w:hint="eastAsia" w:ascii="Times New Roman"/>
                <w:color w:val="auto"/>
                <w:sz w:val="21"/>
                <w:szCs w:val="21"/>
                <w:highlight w:val="none"/>
                <w:lang w:val="en-US" w:eastAsia="zh-CN"/>
              </w:rPr>
              <w:t>拟建人工湿地占地内-半自然湿地3#</w:t>
            </w:r>
          </w:p>
        </w:tc>
        <w:tc>
          <w:tcPr>
            <w:tcW w:w="1296" w:type="pct"/>
            <w:tcBorders>
              <w:tl2br w:val="nil"/>
              <w:tr2bl w:val="nil"/>
            </w:tcBorders>
            <w:vAlign w:val="center"/>
          </w:tcPr>
          <w:p>
            <w:pPr>
              <w:widowControl/>
              <w:spacing w:line="360" w:lineRule="exact"/>
              <w:jc w:val="both"/>
              <w:rPr>
                <w:rFonts w:hint="eastAsia" w:ascii="Times New Roman" w:hAnsi="Times New Roman" w:cs="Times New Roman" w:eastAsiaTheme="minorEastAsia"/>
                <w:smallCaps w:val="0"/>
                <w:color w:val="auto"/>
                <w:spacing w:val="0"/>
                <w:w w:val="100"/>
                <w:sz w:val="21"/>
                <w:szCs w:val="21"/>
                <w:highlight w:val="none"/>
                <w:lang w:eastAsia="zh-CN"/>
              </w:rPr>
            </w:pPr>
            <w:r>
              <w:rPr>
                <w:rFonts w:hint="eastAsia" w:ascii="Times New Roman" w:hAnsi="Times New Roman" w:cs="Times New Roman" w:eastAsiaTheme="minorEastAsia"/>
                <w:smallCaps w:val="0"/>
                <w:color w:val="auto"/>
                <w:spacing w:val="0"/>
                <w:w w:val="100"/>
                <w:sz w:val="21"/>
                <w:szCs w:val="21"/>
                <w:highlight w:val="none"/>
                <w:lang w:eastAsia="zh-CN"/>
              </w:rPr>
              <w:t>g124.90738392,45.93636308</w:t>
            </w:r>
          </w:p>
        </w:tc>
        <w:tc>
          <w:tcPr>
            <w:tcW w:w="1199" w:type="pct"/>
            <w:vMerge w:val="continue"/>
            <w:tcBorders>
              <w:tl2br w:val="nil"/>
              <w:tr2bl w:val="nil"/>
            </w:tcBorders>
            <w:vAlign w:val="center"/>
          </w:tcPr>
          <w:p>
            <w:pPr>
              <w:widowControl/>
              <w:spacing w:line="360" w:lineRule="exact"/>
              <w:rPr>
                <w:rFonts w:ascii="Times New Roman" w:hAnsi="Times New Roman" w:cs="Times New Roman"/>
                <w:smallCaps w:val="0"/>
                <w:color w:val="auto"/>
                <w:spacing w:val="0"/>
                <w:w w:val="100"/>
                <w:sz w:val="21"/>
                <w:szCs w:val="21"/>
                <w:highlight w:val="none"/>
              </w:rPr>
            </w:pPr>
          </w:p>
        </w:tc>
        <w:tc>
          <w:tcPr>
            <w:tcW w:w="1303" w:type="pct"/>
            <w:tcBorders>
              <w:tl2br w:val="nil"/>
              <w:tr2bl w:val="nil"/>
            </w:tcBorders>
            <w:vAlign w:val="center"/>
          </w:tcPr>
          <w:p>
            <w:pPr>
              <w:widowControl/>
              <w:spacing w:line="360" w:lineRule="exact"/>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采取表层样，在0~0.2m取样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1" w:type="pct"/>
            <w:tcBorders>
              <w:tl2br w:val="nil"/>
              <w:tr2bl w:val="nil"/>
            </w:tcBorders>
            <w:vAlign w:val="center"/>
          </w:tcPr>
          <w:p>
            <w:pPr>
              <w:widowControl/>
              <w:spacing w:line="360" w:lineRule="exact"/>
              <w:jc w:val="center"/>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S</w:t>
            </w:r>
            <w:r>
              <w:rPr>
                <w:rFonts w:ascii="Times New Roman" w:hAnsi="Times New Roman" w:cs="Times New Roman"/>
                <w:smallCaps w:val="0"/>
                <w:color w:val="auto"/>
                <w:spacing w:val="0"/>
                <w:w w:val="100"/>
                <w:sz w:val="21"/>
                <w:szCs w:val="21"/>
                <w:highlight w:val="none"/>
              </w:rPr>
              <w:t>5</w:t>
            </w:r>
          </w:p>
        </w:tc>
        <w:tc>
          <w:tcPr>
            <w:tcW w:w="849" w:type="pct"/>
            <w:tcBorders>
              <w:tl2br w:val="nil"/>
              <w:tr2bl w:val="nil"/>
            </w:tcBorders>
            <w:vAlign w:val="center"/>
          </w:tcPr>
          <w:p>
            <w:pPr>
              <w:spacing w:line="300" w:lineRule="exact"/>
              <w:ind w:firstLine="10" w:firstLineChars="5"/>
              <w:jc w:val="both"/>
              <w:rPr>
                <w:rFonts w:hint="eastAsia" w:ascii="Times New Roman" w:hAnsi="Times New Roman" w:cs="Times New Roman"/>
                <w:smallCaps w:val="0"/>
                <w:color w:val="auto"/>
                <w:spacing w:val="0"/>
                <w:w w:val="100"/>
                <w:sz w:val="21"/>
                <w:szCs w:val="21"/>
                <w:highlight w:val="none"/>
                <w:lang w:eastAsia="zh-CN"/>
              </w:rPr>
            </w:pPr>
            <w:r>
              <w:rPr>
                <w:rFonts w:hint="eastAsia" w:ascii="Times New Roman"/>
                <w:color w:val="auto"/>
                <w:sz w:val="21"/>
                <w:szCs w:val="21"/>
                <w:highlight w:val="none"/>
                <w:lang w:val="en-US" w:eastAsia="zh-CN"/>
              </w:rPr>
              <w:t>拟建人工湿地占地外上游</w:t>
            </w:r>
          </w:p>
        </w:tc>
        <w:tc>
          <w:tcPr>
            <w:tcW w:w="1296" w:type="pct"/>
            <w:tcBorders>
              <w:tl2br w:val="nil"/>
              <w:tr2bl w:val="nil"/>
            </w:tcBorders>
            <w:vAlign w:val="center"/>
          </w:tcPr>
          <w:p>
            <w:pPr>
              <w:widowControl/>
              <w:spacing w:line="360" w:lineRule="exact"/>
              <w:jc w:val="both"/>
              <w:rPr>
                <w:rFonts w:hint="eastAsia" w:ascii="Times New Roman" w:hAnsi="Times New Roman" w:cs="Times New Roman" w:eastAsiaTheme="minorEastAsia"/>
                <w:smallCaps w:val="0"/>
                <w:color w:val="auto"/>
                <w:spacing w:val="0"/>
                <w:w w:val="100"/>
                <w:sz w:val="21"/>
                <w:szCs w:val="21"/>
                <w:highlight w:val="none"/>
                <w:lang w:eastAsia="zh-CN"/>
              </w:rPr>
            </w:pPr>
            <w:r>
              <w:rPr>
                <w:rFonts w:hint="eastAsia" w:ascii="Times New Roman" w:hAnsi="Times New Roman" w:cs="Times New Roman" w:eastAsiaTheme="minorEastAsia"/>
                <w:smallCaps w:val="0"/>
                <w:color w:val="auto"/>
                <w:spacing w:val="0"/>
                <w:w w:val="100"/>
                <w:sz w:val="21"/>
                <w:szCs w:val="21"/>
                <w:highlight w:val="none"/>
                <w:lang w:eastAsia="zh-CN"/>
              </w:rPr>
              <w:t>g124.91116047,45.94277955</w:t>
            </w:r>
          </w:p>
        </w:tc>
        <w:tc>
          <w:tcPr>
            <w:tcW w:w="1199" w:type="pct"/>
            <w:vMerge w:val="continue"/>
            <w:tcBorders>
              <w:tl2br w:val="nil"/>
              <w:tr2bl w:val="nil"/>
            </w:tcBorders>
            <w:vAlign w:val="center"/>
          </w:tcPr>
          <w:p>
            <w:pPr>
              <w:widowControl/>
              <w:spacing w:line="360" w:lineRule="exact"/>
              <w:rPr>
                <w:rFonts w:ascii="Times New Roman" w:hAnsi="Times New Roman" w:cs="Times New Roman"/>
                <w:smallCaps w:val="0"/>
                <w:color w:val="auto"/>
                <w:spacing w:val="0"/>
                <w:w w:val="100"/>
                <w:sz w:val="21"/>
                <w:szCs w:val="21"/>
                <w:highlight w:val="none"/>
              </w:rPr>
            </w:pPr>
          </w:p>
        </w:tc>
        <w:tc>
          <w:tcPr>
            <w:tcW w:w="1303" w:type="pct"/>
            <w:tcBorders>
              <w:tl2br w:val="nil"/>
              <w:tr2bl w:val="nil"/>
            </w:tcBorders>
            <w:vAlign w:val="center"/>
          </w:tcPr>
          <w:p>
            <w:pPr>
              <w:widowControl/>
              <w:spacing w:line="360" w:lineRule="exact"/>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采取表层样，在0~0.2m取样</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1" w:type="pc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S</w:t>
            </w:r>
            <w:r>
              <w:rPr>
                <w:rFonts w:ascii="Times New Roman" w:hAnsi="Times New Roman" w:cs="Times New Roman"/>
                <w:smallCaps w:val="0"/>
                <w:color w:val="auto"/>
                <w:spacing w:val="0"/>
                <w:w w:val="100"/>
                <w:sz w:val="21"/>
                <w:szCs w:val="21"/>
                <w:highlight w:val="none"/>
              </w:rPr>
              <w:t>6</w:t>
            </w:r>
          </w:p>
        </w:tc>
        <w:tc>
          <w:tcPr>
            <w:tcW w:w="849" w:type="pct"/>
            <w:tcBorders>
              <w:tl2br w:val="nil"/>
              <w:tr2bl w:val="nil"/>
            </w:tcBorders>
            <w:vAlign w:val="center"/>
          </w:tcPr>
          <w:p>
            <w:pPr>
              <w:spacing w:line="300" w:lineRule="exact"/>
              <w:ind w:firstLine="10" w:firstLineChars="5"/>
              <w:jc w:val="both"/>
              <w:rPr>
                <w:rFonts w:hint="eastAsia" w:ascii="Times New Roman" w:hAnsi="Times New Roman" w:cs="Times New Roman"/>
                <w:smallCaps w:val="0"/>
                <w:color w:val="auto"/>
                <w:spacing w:val="0"/>
                <w:w w:val="100"/>
                <w:sz w:val="21"/>
                <w:szCs w:val="21"/>
                <w:highlight w:val="none"/>
                <w:lang w:eastAsia="zh-CN"/>
              </w:rPr>
            </w:pPr>
            <w:r>
              <w:rPr>
                <w:rFonts w:hint="eastAsia" w:ascii="Times New Roman"/>
                <w:color w:val="auto"/>
                <w:sz w:val="21"/>
                <w:szCs w:val="21"/>
                <w:highlight w:val="none"/>
                <w:lang w:val="en-US" w:eastAsia="zh-CN"/>
              </w:rPr>
              <w:t>拟建人工湿地占地外下游</w:t>
            </w:r>
          </w:p>
        </w:tc>
        <w:tc>
          <w:tcPr>
            <w:tcW w:w="1296" w:type="pct"/>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lang w:eastAsia="zh-CN"/>
              </w:rPr>
            </w:pPr>
            <w:r>
              <w:rPr>
                <w:rFonts w:hint="eastAsia" w:ascii="Times New Roman" w:hAnsi="Times New Roman" w:cs="Times New Roman"/>
                <w:smallCaps w:val="0"/>
                <w:color w:val="auto"/>
                <w:spacing w:val="0"/>
                <w:w w:val="100"/>
                <w:sz w:val="21"/>
                <w:szCs w:val="21"/>
                <w:highlight w:val="none"/>
                <w:lang w:eastAsia="zh-CN"/>
              </w:rPr>
              <w:t>g124.90536690,45.92699071</w:t>
            </w:r>
          </w:p>
        </w:tc>
        <w:tc>
          <w:tcPr>
            <w:tcW w:w="1199" w:type="pct"/>
            <w:vMerge w:val="continue"/>
            <w:tcBorders>
              <w:tl2br w:val="nil"/>
              <w:tr2bl w:val="nil"/>
            </w:tcBorders>
            <w:vAlign w:val="center"/>
          </w:tcPr>
          <w:p>
            <w:pPr>
              <w:widowControl/>
              <w:spacing w:line="360" w:lineRule="exact"/>
              <w:rPr>
                <w:rFonts w:ascii="Times New Roman" w:hAnsi="Times New Roman" w:cs="Times New Roman"/>
                <w:smallCaps w:val="0"/>
                <w:color w:val="auto"/>
                <w:spacing w:val="0"/>
                <w:w w:val="100"/>
                <w:sz w:val="21"/>
                <w:szCs w:val="21"/>
                <w:highlight w:val="none"/>
              </w:rPr>
            </w:pPr>
          </w:p>
        </w:tc>
        <w:tc>
          <w:tcPr>
            <w:tcW w:w="1303" w:type="pct"/>
            <w:tcBorders>
              <w:tl2br w:val="nil"/>
              <w:tr2bl w:val="nil"/>
            </w:tcBorders>
            <w:vAlign w:val="center"/>
          </w:tcPr>
          <w:p>
            <w:pPr>
              <w:widowControl/>
              <w:spacing w:line="360" w:lineRule="exact"/>
              <w:rPr>
                <w:rFonts w:ascii="Times New Roman" w:hAnsi="Times New Roman" w:cs="Times New Roman"/>
                <w:smallCaps w:val="0"/>
                <w:color w:val="auto"/>
                <w:spacing w:val="0"/>
                <w:w w:val="100"/>
                <w:sz w:val="21"/>
                <w:szCs w:val="21"/>
                <w:highlight w:val="none"/>
              </w:rPr>
            </w:pPr>
            <w:r>
              <w:rPr>
                <w:rFonts w:hint="eastAsia" w:ascii="Times New Roman" w:hAnsi="Times New Roman" w:cs="Times New Roman"/>
                <w:smallCaps w:val="0"/>
                <w:color w:val="auto"/>
                <w:spacing w:val="0"/>
                <w:w w:val="100"/>
                <w:sz w:val="21"/>
                <w:szCs w:val="21"/>
                <w:highlight w:val="none"/>
              </w:rPr>
              <w:t>采取表层样，在0~0.2m取样</w:t>
            </w:r>
          </w:p>
        </w:tc>
      </w:tr>
    </w:tbl>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②监测因子</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pH、Cd、Hg、As、Pb、Cr（六价）、Cu、Ni、苯、甲苯、乙苯、氯苯、苯乙烯、间二甲苯+对二甲苯、邻二甲苯、氯乙烯、1,2-二氯苯、1,4-二氯苯、四氯化碳、氯仿、氯甲烷、1,1-二氯乙烷、1,2-二氯乙烷、1,1-二氯乙烯、顺-1,2-二氯乙烯、反-1,2-二氯乙烯、二氯甲烷、1,2-二氯丙烷、1,1,1,2-四氯乙烷、1,1,2,2-四氯乙烷、四氯乙烯、1,1,1-三氯乙烷、1,1,2-三氯乙烷、三氯乙烯、1,2,3- 三氯丙烷、硝基苯、苯胺、2-氯酚、䓛、萘、苯并（a）蒽、苯并（b）荧蒽、苯并（k）荧蒽、苯并(a)芘、茚并（1，2，3-cd）芘、二苯并（a,h）蒽、石油烃（C</w:t>
      </w:r>
      <w:r>
        <w:rPr>
          <w:rFonts w:hint="default" w:ascii="Times New Roman" w:hAnsi="Times New Roman" w:eastAsia="宋体" w:cs="Times New Roman"/>
          <w:color w:val="auto"/>
          <w:spacing w:val="24"/>
          <w:sz w:val="24"/>
          <w:szCs w:val="24"/>
          <w:highlight w:val="none"/>
          <w:vertAlign w:val="subscript"/>
          <w:lang w:val="en-US" w:eastAsia="zh-CN"/>
        </w:rPr>
        <w:t>10</w:t>
      </w:r>
      <w:r>
        <w:rPr>
          <w:rFonts w:hint="default" w:ascii="Times New Roman" w:hAnsi="Times New Roman" w:eastAsia="宋体" w:cs="Times New Roman"/>
          <w:color w:val="auto"/>
          <w:spacing w:val="24"/>
          <w:sz w:val="24"/>
          <w:szCs w:val="24"/>
          <w:highlight w:val="none"/>
          <w:lang w:val="en-US" w:eastAsia="zh-CN"/>
        </w:rPr>
        <w:t>-C</w:t>
      </w:r>
      <w:r>
        <w:rPr>
          <w:rFonts w:hint="default" w:ascii="Times New Roman" w:hAnsi="Times New Roman" w:eastAsia="宋体" w:cs="Times New Roman"/>
          <w:color w:val="auto"/>
          <w:spacing w:val="24"/>
          <w:sz w:val="24"/>
          <w:szCs w:val="24"/>
          <w:highlight w:val="none"/>
          <w:vertAlign w:val="subscript"/>
          <w:lang w:val="en-US" w:eastAsia="zh-CN"/>
        </w:rPr>
        <w:t>40</w:t>
      </w:r>
      <w:r>
        <w:rPr>
          <w:rFonts w:hint="default" w:ascii="Times New Roman" w:hAnsi="Times New Roman" w:eastAsia="宋体" w:cs="Times New Roman"/>
          <w:color w:val="auto"/>
          <w:spacing w:val="24"/>
          <w:sz w:val="24"/>
          <w:szCs w:val="24"/>
          <w:highlight w:val="none"/>
          <w:lang w:val="en-US" w:eastAsia="zh-CN"/>
        </w:rPr>
        <w:t>）；</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③监测时间及频率</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2022年</w:t>
      </w:r>
      <w:r>
        <w:rPr>
          <w:rFonts w:hint="eastAsia" w:ascii="Times New Roman" w:hAnsi="Times New Roman" w:eastAsia="宋体" w:cs="Times New Roman"/>
          <w:color w:val="auto"/>
          <w:spacing w:val="24"/>
          <w:sz w:val="24"/>
          <w:szCs w:val="24"/>
          <w:highlight w:val="none"/>
          <w:lang w:val="en-US" w:eastAsia="zh-CN"/>
        </w:rPr>
        <w:t>11</w:t>
      </w:r>
      <w:r>
        <w:rPr>
          <w:rFonts w:hint="default" w:ascii="Times New Roman" w:hAnsi="Times New Roman" w:eastAsia="宋体" w:cs="Times New Roman"/>
          <w:color w:val="auto"/>
          <w:spacing w:val="24"/>
          <w:sz w:val="24"/>
          <w:szCs w:val="24"/>
          <w:highlight w:val="none"/>
          <w:lang w:val="en-US" w:eastAsia="zh-CN"/>
        </w:rPr>
        <w:t>月</w:t>
      </w:r>
      <w:r>
        <w:rPr>
          <w:rFonts w:hint="eastAsia" w:ascii="Times New Roman" w:hAnsi="Times New Roman" w:eastAsia="宋体" w:cs="Times New Roman"/>
          <w:color w:val="auto"/>
          <w:spacing w:val="24"/>
          <w:sz w:val="24"/>
          <w:szCs w:val="24"/>
          <w:highlight w:val="none"/>
          <w:lang w:val="en-US" w:eastAsia="zh-CN"/>
        </w:rPr>
        <w:t>11</w:t>
      </w:r>
      <w:r>
        <w:rPr>
          <w:rFonts w:hint="default" w:ascii="Times New Roman" w:hAnsi="Times New Roman" w:eastAsia="宋体" w:cs="Times New Roman"/>
          <w:color w:val="auto"/>
          <w:spacing w:val="24"/>
          <w:sz w:val="24"/>
          <w:szCs w:val="24"/>
          <w:highlight w:val="none"/>
          <w:lang w:val="en-US" w:eastAsia="zh-CN"/>
        </w:rPr>
        <w:t>日一次性采样。</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④监测结果</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监测结果见表4.2-</w:t>
      </w:r>
      <w:r>
        <w:rPr>
          <w:rFonts w:hint="eastAsia" w:ascii="Times New Roman" w:hAnsi="Times New Roman" w:eastAsia="宋体" w:cs="Times New Roman"/>
          <w:color w:val="auto"/>
          <w:spacing w:val="24"/>
          <w:sz w:val="24"/>
          <w:szCs w:val="24"/>
          <w:highlight w:val="none"/>
          <w:lang w:val="en-US" w:eastAsia="zh-CN"/>
        </w:rPr>
        <w:t>21</w:t>
      </w:r>
      <w:r>
        <w:rPr>
          <w:rFonts w:hint="default" w:ascii="Times New Roman" w:hAnsi="Times New Roman" w:eastAsia="宋体" w:cs="Times New Roman"/>
          <w:color w:val="auto"/>
          <w:spacing w:val="24"/>
          <w:sz w:val="24"/>
          <w:szCs w:val="24"/>
          <w:highlight w:val="none"/>
          <w:lang w:val="en-US" w:eastAsia="zh-CN"/>
        </w:rPr>
        <w:t>，监测报告见附件。</w:t>
      </w:r>
    </w:p>
    <w:p>
      <w:pPr>
        <w:rPr>
          <w:rFonts w:hint="default" w:ascii="Times New Roman" w:hAnsi="Times New Roman" w:eastAsia="宋体" w:cs="Times New Roman"/>
          <w:color w:val="auto"/>
          <w:spacing w:val="24"/>
          <w:sz w:val="24"/>
          <w:szCs w:val="24"/>
          <w:highlight w:val="none"/>
          <w:lang w:val="en-US" w:eastAsia="zh-CN"/>
        </w:rPr>
      </w:pPr>
    </w:p>
    <w:p>
      <w:pPr>
        <w:rPr>
          <w:rFonts w:hint="default" w:ascii="Times New Roman" w:hAnsi="Times New Roman" w:eastAsia="宋体" w:cs="Times New Roman"/>
          <w:color w:val="auto"/>
          <w:spacing w:val="24"/>
          <w:sz w:val="24"/>
          <w:szCs w:val="24"/>
          <w:highlight w:val="none"/>
          <w:lang w:val="en-US" w:eastAsia="zh-CN"/>
        </w:rPr>
      </w:pPr>
    </w:p>
    <w:p>
      <w:pPr>
        <w:rPr>
          <w:rFonts w:hint="default" w:ascii="Times New Roman" w:hAnsi="Times New Roman" w:eastAsia="宋体" w:cs="Times New Roman"/>
          <w:color w:val="auto"/>
          <w:spacing w:val="24"/>
          <w:sz w:val="24"/>
          <w:szCs w:val="24"/>
          <w:highlight w:val="none"/>
          <w:lang w:val="en-US" w:eastAsia="zh-CN"/>
        </w:rPr>
      </w:pPr>
    </w:p>
    <w:p>
      <w:pPr>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br w:type="page"/>
      </w:r>
    </w:p>
    <w:p>
      <w:pPr>
        <w:pStyle w:val="8"/>
        <w:ind w:left="0" w:leftChars="0" w:firstLine="0" w:firstLineChars="0"/>
        <w:rPr>
          <w:rFonts w:hint="default"/>
          <w:color w:val="auto"/>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jc w:val="center"/>
        <w:rPr>
          <w:rFonts w:hint="default"/>
          <w:b/>
          <w:bCs/>
          <w:color w:val="auto"/>
          <w:highlight w:val="none"/>
          <w:lang w:val="en-US" w:eastAsia="zh-CN"/>
        </w:rPr>
      </w:pPr>
      <w:r>
        <w:rPr>
          <w:rFonts w:hint="default" w:ascii="Times New Roman" w:hAnsi="Times New Roman" w:eastAsia="宋体" w:cs="Times New Roman"/>
          <w:b/>
          <w:bCs/>
          <w:color w:val="auto"/>
          <w:spacing w:val="24"/>
          <w:sz w:val="24"/>
          <w:szCs w:val="24"/>
          <w:highlight w:val="none"/>
          <w:lang w:val="en-US" w:eastAsia="zh-CN"/>
        </w:rPr>
        <w:t>表4.2-</w:t>
      </w:r>
      <w:r>
        <w:rPr>
          <w:rFonts w:hint="eastAsia" w:ascii="Times New Roman" w:hAnsi="Times New Roman" w:eastAsia="宋体" w:cs="Times New Roman"/>
          <w:b/>
          <w:bCs/>
          <w:color w:val="auto"/>
          <w:spacing w:val="24"/>
          <w:sz w:val="24"/>
          <w:szCs w:val="24"/>
          <w:highlight w:val="none"/>
          <w:lang w:val="en-US" w:eastAsia="zh-CN"/>
        </w:rPr>
        <w:t>21土壤监测数据一览表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148"/>
        <w:gridCol w:w="997"/>
        <w:gridCol w:w="742"/>
        <w:gridCol w:w="941"/>
        <w:gridCol w:w="941"/>
        <w:gridCol w:w="941"/>
        <w:gridCol w:w="941"/>
        <w:gridCol w:w="941"/>
        <w:gridCol w:w="942"/>
        <w:gridCol w:w="942"/>
        <w:gridCol w:w="942"/>
        <w:gridCol w:w="942"/>
        <w:gridCol w:w="1311"/>
        <w:gridCol w:w="150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监测</w:t>
            </w:r>
            <w:r>
              <w:rPr>
                <w:rFonts w:hint="default" w:ascii="Times New Roman" w:hAnsi="Times New Roman" w:cs="Times New Roman"/>
                <w:smallCaps w:val="0"/>
                <w:color w:val="auto"/>
                <w:spacing w:val="0"/>
                <w:w w:val="100"/>
                <w:sz w:val="21"/>
                <w:szCs w:val="21"/>
                <w:highlight w:val="none"/>
                <w:lang w:eastAsia="zh-CN"/>
              </w:rPr>
              <w:t>点位</w:t>
            </w:r>
          </w:p>
        </w:tc>
        <w:tc>
          <w:tcPr>
            <w:tcW w:w="2680" w:type="dxa"/>
            <w:gridSpan w:val="3"/>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拟建人工湿地占地内-生态稳定塘</w:t>
            </w:r>
          </w:p>
        </w:tc>
        <w:tc>
          <w:tcPr>
            <w:tcW w:w="2823" w:type="dxa"/>
            <w:gridSpan w:val="3"/>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拟建人工湿地占地内-</w:t>
            </w:r>
            <w:r>
              <w:rPr>
                <w:rFonts w:hint="default" w:ascii="Times New Roman" w:hAnsi="Times New Roman" w:cs="Times New Roman"/>
                <w:smallCaps w:val="0"/>
                <w:color w:val="auto"/>
                <w:spacing w:val="0"/>
                <w:w w:val="100"/>
                <w:sz w:val="21"/>
                <w:szCs w:val="21"/>
                <w:highlight w:val="none"/>
                <w:lang w:val="en-US" w:eastAsia="zh-CN"/>
              </w:rPr>
              <w:t>潜流湿地</w:t>
            </w:r>
          </w:p>
        </w:tc>
        <w:tc>
          <w:tcPr>
            <w:tcW w:w="2825" w:type="dxa"/>
            <w:gridSpan w:val="3"/>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拟建人工湿地占地内-锅炉房</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拟建人工湿地占地内-半自然湿地</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拟建人工湿地占地外上游</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拟建人工湿地占地外下游</w:t>
            </w:r>
          </w:p>
        </w:tc>
        <w:tc>
          <w:tcPr>
            <w:tcW w:w="1503" w:type="dxa"/>
            <w:vMerge w:val="restart"/>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《土壤环境质量 建设用地土壤污染风险管控标准》(GB36600-2018)第</w:t>
            </w:r>
            <w:r>
              <w:rPr>
                <w:rFonts w:hint="eastAsia" w:ascii="Times New Roman" w:hAnsi="Times New Roman" w:cs="Times New Roman"/>
                <w:smallCaps w:val="0"/>
                <w:color w:val="auto"/>
                <w:spacing w:val="0"/>
                <w:w w:val="100"/>
                <w:sz w:val="21"/>
                <w:szCs w:val="21"/>
                <w:highlight w:val="none"/>
                <w:lang w:val="en-US" w:eastAsia="zh-CN"/>
              </w:rPr>
              <w:t>二</w:t>
            </w:r>
            <w:r>
              <w:rPr>
                <w:rFonts w:hint="default" w:ascii="Times New Roman" w:hAnsi="Times New Roman" w:cs="Times New Roman"/>
                <w:smallCaps w:val="0"/>
                <w:color w:val="auto"/>
                <w:spacing w:val="0"/>
                <w:w w:val="100"/>
                <w:sz w:val="21"/>
                <w:szCs w:val="21"/>
                <w:highlight w:val="none"/>
                <w:lang w:val="en-US" w:eastAsia="zh-CN"/>
              </w:rPr>
              <w:t>类用地筛选值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采样时间</w:t>
            </w:r>
          </w:p>
        </w:tc>
        <w:tc>
          <w:tcPr>
            <w:tcW w:w="11523" w:type="dxa"/>
            <w:gridSpan w:val="12"/>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2022.11.11</w:t>
            </w:r>
          </w:p>
        </w:tc>
        <w:tc>
          <w:tcPr>
            <w:tcW w:w="1503"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采样深度（m）</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0-0.</w:t>
            </w:r>
            <w:r>
              <w:rPr>
                <w:rFonts w:hint="eastAsia" w:ascii="Times New Roman" w:hAnsi="Times New Roman" w:cs="Times New Roman"/>
                <w:smallCaps w:val="0"/>
                <w:color w:val="auto"/>
                <w:spacing w:val="0"/>
                <w:w w:val="100"/>
                <w:sz w:val="21"/>
                <w:szCs w:val="21"/>
                <w:highlight w:val="none"/>
                <w:lang w:val="en-US" w:eastAsia="zh-CN"/>
              </w:rPr>
              <w:t>5</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0.5-1.5</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1.5-3</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0-0.</w:t>
            </w:r>
            <w:r>
              <w:rPr>
                <w:rFonts w:hint="eastAsia" w:ascii="Times New Roman" w:hAnsi="Times New Roman" w:cs="Times New Roman"/>
                <w:smallCaps w:val="0"/>
                <w:color w:val="auto"/>
                <w:spacing w:val="0"/>
                <w:w w:val="100"/>
                <w:sz w:val="21"/>
                <w:szCs w:val="21"/>
                <w:highlight w:val="none"/>
                <w:lang w:val="en-US" w:eastAsia="zh-CN"/>
              </w:rPr>
              <w:t>5</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0.5-1.5</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1.5-3</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0-0.</w:t>
            </w:r>
            <w:r>
              <w:rPr>
                <w:rFonts w:hint="eastAsia" w:ascii="Times New Roman" w:hAnsi="Times New Roman" w:cs="Times New Roman"/>
                <w:smallCaps w:val="0"/>
                <w:color w:val="auto"/>
                <w:spacing w:val="0"/>
                <w:w w:val="100"/>
                <w:sz w:val="21"/>
                <w:szCs w:val="21"/>
                <w:highlight w:val="none"/>
                <w:lang w:val="en-US" w:eastAsia="zh-CN"/>
              </w:rPr>
              <w:t>5</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0.5-1.5</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1.5-3</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w:t>
            </w:r>
            <w:r>
              <w:rPr>
                <w:rFonts w:hint="eastAsia" w:ascii="Times New Roman" w:hAnsi="Times New Roman" w:cs="Times New Roman"/>
                <w:smallCaps w:val="0"/>
                <w:color w:val="auto"/>
                <w:spacing w:val="0"/>
                <w:w w:val="100"/>
                <w:sz w:val="21"/>
                <w:szCs w:val="21"/>
                <w:highlight w:val="none"/>
                <w:lang w:val="en-US" w:eastAsia="zh-CN"/>
              </w:rPr>
              <w:t>2</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w:t>
            </w:r>
            <w:r>
              <w:rPr>
                <w:rFonts w:hint="eastAsia" w:ascii="Times New Roman" w:hAnsi="Times New Roman" w:cs="Times New Roman"/>
                <w:smallCaps w:val="0"/>
                <w:color w:val="auto"/>
                <w:spacing w:val="0"/>
                <w:w w:val="100"/>
                <w:sz w:val="21"/>
                <w:szCs w:val="21"/>
                <w:highlight w:val="none"/>
                <w:lang w:val="en-US" w:eastAsia="zh-CN"/>
              </w:rPr>
              <w:t>2</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w:t>
            </w:r>
            <w:r>
              <w:rPr>
                <w:rFonts w:hint="eastAsia" w:ascii="Times New Roman" w:hAnsi="Times New Roman" w:cs="Times New Roman"/>
                <w:smallCaps w:val="0"/>
                <w:color w:val="auto"/>
                <w:spacing w:val="0"/>
                <w:w w:val="100"/>
                <w:sz w:val="21"/>
                <w:szCs w:val="21"/>
                <w:highlight w:val="none"/>
                <w:lang w:val="en-US" w:eastAsia="zh-CN"/>
              </w:rPr>
              <w:t>2</w:t>
            </w:r>
          </w:p>
        </w:tc>
        <w:tc>
          <w:tcPr>
            <w:tcW w:w="1503"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pH</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7.8</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8.0</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7.7</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7.9</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8.1</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7.6</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7.8</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7.9</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7.5</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8.3</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8.0</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8.1</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汞</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0.033</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0.028</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0.021</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0.018</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0.019</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0.016</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0.045</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0.048</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0.051</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0.055</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0.045</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0.061</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砷</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4.41</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4.23</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4.12</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4.27</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4.13</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4.06</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5.17</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5.09</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4.92</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4.52</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4.61</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4.73</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铜</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45</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42</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40</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39</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41</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45</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38</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44</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36</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34</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37</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40</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18000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六价铬</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0.5L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0.5L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0.5L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0.5L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0.5L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0.5L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0.5L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0.5L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0.5L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0.5L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0.5L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0.5L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镉</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0.21</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0.20</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0.17</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0.19</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0.15</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0.11</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0.32</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0.28</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0.25</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0.22</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0.25</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0.29</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65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镍</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37</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36</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34</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31</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27</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24</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46</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41</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38</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40</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42</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39</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900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铅</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21.7</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19.8</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18.4</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18.6</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16.3</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15.7</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22.4</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19.8</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23.6</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29.2</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31.4</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32.6</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800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四氯化碳</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氯仿</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氯甲烷</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37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1-二氯乙烷</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2-二氯乙烷</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1-二氯乙烯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66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顺-1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2-二氯乙烯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596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反-1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2-二氯乙烯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二氯甲烷</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616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2-二氯丙烷</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2-四氯乙烷</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2-四氯乙烷</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6.8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四氯乙烯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1.4</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53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1-三氯乙烷</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840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2-三氯乙烷</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三氯乙烯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3-三氯丙烷</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氯乙烯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1.0</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1.9</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1.9</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1.9</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1.9</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1.9</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1.9</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1.9</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1.9</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1.9</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1.9</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1.9</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1.9</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氯苯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270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2-二氯苯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560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4-二氯苯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乙苯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28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苯乙烯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1.1</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甲苯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1.3</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间+对二甲苯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570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邻二甲苯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w:t>
            </w:r>
            <w:r>
              <w:rPr>
                <w:rFonts w:hint="default" w:ascii="Times New Roman" w:hAnsi="Times New Roman" w:cs="Times New Roman"/>
                <w:smallCaps w:val="0"/>
                <w:color w:val="auto"/>
                <w:spacing w:val="0"/>
                <w:w w:val="100"/>
                <w:sz w:val="21"/>
                <w:szCs w:val="21"/>
                <w:highlight w:val="none"/>
              </w:rPr>
              <w:t>×</w:t>
            </w:r>
            <w:r>
              <w:rPr>
                <w:rFonts w:hint="default" w:ascii="Times New Roman" w:hAnsi="Times New Roman" w:cs="Times New Roman"/>
                <w:smallCaps w:val="0"/>
                <w:color w:val="auto"/>
                <w:spacing w:val="0"/>
                <w:w w:val="100"/>
                <w:sz w:val="21"/>
                <w:szCs w:val="21"/>
                <w:highlight w:val="none"/>
                <w:lang w:val="en-US" w:eastAsia="zh-CN"/>
              </w:rPr>
              <w:t>10-3L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640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硝基苯</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苯胺</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260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2-氯酚</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0.04L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0.04L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0.04L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0.04L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0.04L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0.04L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0.04L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0.04L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0.04L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0.04L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0.04L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0.04L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2256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苯并[a]蒽</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苯并[a]芘</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苯并[b]荧蒽</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0.2L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0.2L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0.2L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0.2L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0.2L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0.2L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0.2L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0.2L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0.2L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0.2L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0.2L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0.2L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苯并[k]荧蒽</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䓛</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1293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二苯并[a，h]蒽</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茚苯并[1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3-</w:t>
            </w:r>
            <w:r>
              <w:rPr>
                <w:rFonts w:hint="default" w:ascii="Times New Roman" w:hAnsi="Times New Roman" w:cs="Times New Roman"/>
                <w:smallCaps w:val="0"/>
                <w:color w:val="auto"/>
                <w:spacing w:val="0"/>
                <w:w w:val="100"/>
                <w:sz w:val="21"/>
                <w:szCs w:val="21"/>
                <w:highlight w:val="none"/>
                <w:lang w:val="en-US" w:eastAsia="zh-CN"/>
              </w:rPr>
              <w:t>c,d</w:t>
            </w:r>
            <w:r>
              <w:rPr>
                <w:rFonts w:hint="default" w:ascii="Times New Roman" w:hAnsi="Times New Roman" w:cs="Times New Roman"/>
                <w:smallCaps w:val="0"/>
                <w:color w:val="auto"/>
                <w:spacing w:val="0"/>
                <w:w w:val="100"/>
                <w:sz w:val="21"/>
                <w:szCs w:val="21"/>
                <w:highlight w:val="none"/>
              </w:rPr>
              <w:t>]芘</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0.1L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萘</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0.09L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4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石油烃</w:t>
            </w:r>
          </w:p>
        </w:tc>
        <w:tc>
          <w:tcPr>
            <w:tcW w:w="99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6L</w:t>
            </w:r>
          </w:p>
        </w:tc>
        <w:tc>
          <w:tcPr>
            <w:tcW w:w="7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6L</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6L</w:t>
            </w:r>
          </w:p>
        </w:tc>
        <w:tc>
          <w:tcPr>
            <w:tcW w:w="94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6L</w:t>
            </w:r>
          </w:p>
        </w:tc>
        <w:tc>
          <w:tcPr>
            <w:tcW w:w="131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6L</w:t>
            </w:r>
          </w:p>
        </w:tc>
        <w:tc>
          <w:tcPr>
            <w:tcW w:w="1503"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4500</w:t>
            </w:r>
          </w:p>
        </w:tc>
      </w:tr>
    </w:tbl>
    <w:p>
      <w:pPr>
        <w:rPr>
          <w:rFonts w:hint="default"/>
          <w:color w:val="auto"/>
          <w:highlight w:val="none"/>
          <w:lang w:val="en-US" w:eastAsia="zh-CN"/>
        </w:rPr>
      </w:pPr>
      <w:r>
        <w:rPr>
          <w:rFonts w:hint="default"/>
          <w:color w:val="auto"/>
          <w:highlight w:val="none"/>
          <w:lang w:val="en-US" w:eastAsia="zh-CN"/>
        </w:rPr>
        <w:br w:type="page"/>
      </w:r>
    </w:p>
    <w:p>
      <w:pPr>
        <w:rPr>
          <w:rFonts w:hint="eastAsia"/>
          <w:color w:val="auto"/>
          <w:highlight w:val="none"/>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③现状评价</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1</w:t>
      </w:r>
      <w:r>
        <w:rPr>
          <w:rFonts w:hint="eastAsia" w:ascii="Times New Roman" w:hAnsi="Times New Roman" w:eastAsia="宋体" w:cs="Times New Roman"/>
          <w:color w:val="auto"/>
          <w:spacing w:val="24"/>
          <w:sz w:val="24"/>
          <w:szCs w:val="24"/>
          <w:highlight w:val="none"/>
          <w:lang w:val="en-US" w:eastAsia="zh-CN"/>
        </w:rPr>
        <w:t>）评价方法</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采用指数法进行土壤环境质量现状评价，即通过指数的大小来反映土壤环境受污染的程度，指数小于1即为达标。公式为：</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Ki=Xi/Xoi</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式中：</w:t>
      </w:r>
      <w:r>
        <w:rPr>
          <w:rFonts w:hint="default" w:ascii="Times New Roman" w:hAnsi="Times New Roman" w:eastAsia="宋体" w:cs="Times New Roman"/>
          <w:color w:val="auto"/>
          <w:spacing w:val="24"/>
          <w:sz w:val="24"/>
          <w:szCs w:val="24"/>
          <w:highlight w:val="none"/>
          <w:lang w:val="en-US" w:eastAsia="zh-CN"/>
        </w:rPr>
        <w:t>Ki</w:t>
      </w:r>
      <w:r>
        <w:rPr>
          <w:rFonts w:hint="eastAsia" w:ascii="Times New Roman" w:hAnsi="Times New Roman" w:eastAsia="宋体" w:cs="Times New Roman"/>
          <w:color w:val="auto"/>
          <w:spacing w:val="24"/>
          <w:sz w:val="24"/>
          <w:szCs w:val="24"/>
          <w:highlight w:val="none"/>
          <w:lang w:val="en-US" w:eastAsia="zh-CN"/>
        </w:rPr>
        <w:t>：第</w:t>
      </w:r>
      <w:r>
        <w:rPr>
          <w:rFonts w:hint="default" w:ascii="Times New Roman" w:hAnsi="Times New Roman" w:eastAsia="宋体" w:cs="Times New Roman"/>
          <w:color w:val="auto"/>
          <w:spacing w:val="24"/>
          <w:sz w:val="24"/>
          <w:szCs w:val="24"/>
          <w:highlight w:val="none"/>
          <w:lang w:val="en-US" w:eastAsia="zh-CN"/>
        </w:rPr>
        <w:t>i</w:t>
      </w:r>
      <w:r>
        <w:rPr>
          <w:rFonts w:hint="eastAsia" w:ascii="Times New Roman" w:hAnsi="Times New Roman" w:eastAsia="宋体" w:cs="Times New Roman"/>
          <w:color w:val="auto"/>
          <w:spacing w:val="24"/>
          <w:sz w:val="24"/>
          <w:szCs w:val="24"/>
          <w:highlight w:val="none"/>
          <w:lang w:val="en-US" w:eastAsia="zh-CN"/>
        </w:rPr>
        <w:t>项分指数；</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Xi</w:t>
      </w:r>
      <w:r>
        <w:rPr>
          <w:rFonts w:hint="eastAsia" w:ascii="Times New Roman" w:hAnsi="Times New Roman" w:eastAsia="宋体" w:cs="Times New Roman"/>
          <w:color w:val="auto"/>
          <w:spacing w:val="24"/>
          <w:sz w:val="24"/>
          <w:szCs w:val="24"/>
          <w:highlight w:val="none"/>
          <w:lang w:val="en-US" w:eastAsia="zh-CN"/>
        </w:rPr>
        <w:t>：土壤中</w:t>
      </w:r>
      <w:r>
        <w:rPr>
          <w:rFonts w:hint="default" w:ascii="Times New Roman" w:hAnsi="Times New Roman" w:eastAsia="宋体" w:cs="Times New Roman"/>
          <w:color w:val="auto"/>
          <w:spacing w:val="24"/>
          <w:sz w:val="24"/>
          <w:szCs w:val="24"/>
          <w:highlight w:val="none"/>
          <w:lang w:val="en-US" w:eastAsia="zh-CN"/>
        </w:rPr>
        <w:t>i</w:t>
      </w:r>
      <w:r>
        <w:rPr>
          <w:rFonts w:hint="eastAsia" w:ascii="Times New Roman" w:hAnsi="Times New Roman" w:eastAsia="宋体" w:cs="Times New Roman"/>
          <w:color w:val="auto"/>
          <w:spacing w:val="24"/>
          <w:sz w:val="24"/>
          <w:szCs w:val="24"/>
          <w:highlight w:val="none"/>
          <w:lang w:val="en-US" w:eastAsia="zh-CN"/>
        </w:rPr>
        <w:t>污染物的实测含量</w:t>
      </w:r>
      <w:r>
        <w:rPr>
          <w:rFonts w:hint="default" w:ascii="Times New Roman" w:hAnsi="Times New Roman" w:eastAsia="宋体" w:cs="Times New Roman"/>
          <w:color w:val="auto"/>
          <w:spacing w:val="24"/>
          <w:sz w:val="24"/>
          <w:szCs w:val="24"/>
          <w:highlight w:val="none"/>
          <w:lang w:val="en-US" w:eastAsia="zh-CN"/>
        </w:rPr>
        <w:t>mg/kg</w:t>
      </w:r>
      <w:r>
        <w:rPr>
          <w:rFonts w:hint="eastAsia" w:ascii="Times New Roman" w:hAnsi="Times New Roman" w:eastAsia="宋体" w:cs="Times New Roman"/>
          <w:color w:val="auto"/>
          <w:spacing w:val="24"/>
          <w:sz w:val="24"/>
          <w:szCs w:val="24"/>
          <w:highlight w:val="none"/>
          <w:lang w:val="en-US" w:eastAsia="zh-CN"/>
        </w:rPr>
        <w:t>；</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Xoi</w:t>
      </w:r>
      <w:r>
        <w:rPr>
          <w:rFonts w:hint="eastAsia" w:ascii="Times New Roman" w:hAnsi="Times New Roman" w:eastAsia="宋体" w:cs="Times New Roman"/>
          <w:color w:val="auto"/>
          <w:spacing w:val="24"/>
          <w:sz w:val="24"/>
          <w:szCs w:val="24"/>
          <w:highlight w:val="none"/>
          <w:lang w:val="en-US" w:eastAsia="zh-CN"/>
        </w:rPr>
        <w:t>：土壤中</w:t>
      </w:r>
      <w:r>
        <w:rPr>
          <w:rFonts w:hint="default" w:ascii="Times New Roman" w:hAnsi="Times New Roman" w:eastAsia="宋体" w:cs="Times New Roman"/>
          <w:color w:val="auto"/>
          <w:spacing w:val="24"/>
          <w:sz w:val="24"/>
          <w:szCs w:val="24"/>
          <w:highlight w:val="none"/>
          <w:lang w:val="en-US" w:eastAsia="zh-CN"/>
        </w:rPr>
        <w:t>i</w:t>
      </w:r>
      <w:r>
        <w:rPr>
          <w:rFonts w:hint="eastAsia" w:ascii="Times New Roman" w:hAnsi="Times New Roman" w:eastAsia="宋体" w:cs="Times New Roman"/>
          <w:color w:val="auto"/>
          <w:spacing w:val="24"/>
          <w:sz w:val="24"/>
          <w:szCs w:val="24"/>
          <w:highlight w:val="none"/>
          <w:lang w:val="en-US" w:eastAsia="zh-CN"/>
        </w:rPr>
        <w:t>污染物的标准值</w:t>
      </w:r>
      <w:r>
        <w:rPr>
          <w:rFonts w:hint="default" w:ascii="Times New Roman" w:hAnsi="Times New Roman" w:eastAsia="宋体" w:cs="Times New Roman"/>
          <w:color w:val="auto"/>
          <w:spacing w:val="24"/>
          <w:sz w:val="24"/>
          <w:szCs w:val="24"/>
          <w:highlight w:val="none"/>
          <w:lang w:val="en-US" w:eastAsia="zh-CN"/>
        </w:rPr>
        <w:t>mg/kg</w:t>
      </w:r>
      <w:r>
        <w:rPr>
          <w:rFonts w:hint="eastAsia" w:ascii="Times New Roman" w:hAnsi="Times New Roman" w:eastAsia="宋体" w:cs="Times New Roman"/>
          <w:color w:val="auto"/>
          <w:spacing w:val="24"/>
          <w:sz w:val="24"/>
          <w:szCs w:val="24"/>
          <w:highlight w:val="none"/>
          <w:lang w:val="en-US" w:eastAsia="zh-CN"/>
        </w:rPr>
        <w:t>。</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bookmarkStart w:id="684" w:name="_Toc11062"/>
      <w:r>
        <w:rPr>
          <w:rFonts w:hint="default" w:ascii="Times New Roman" w:hAnsi="Times New Roman" w:eastAsia="宋体" w:cs="Times New Roman"/>
          <w:color w:val="auto"/>
          <w:spacing w:val="24"/>
          <w:sz w:val="24"/>
          <w:szCs w:val="24"/>
          <w:highlight w:val="none"/>
          <w:lang w:val="en-US" w:eastAsia="zh-CN"/>
        </w:rPr>
        <w:t>2）评价标准</w:t>
      </w:r>
      <w:bookmarkEnd w:id="684"/>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项目</w:t>
      </w:r>
      <w:r>
        <w:rPr>
          <w:rFonts w:hint="default" w:ascii="Times New Roman" w:hAnsi="Times New Roman" w:eastAsia="宋体" w:cs="Times New Roman"/>
          <w:color w:val="auto"/>
          <w:spacing w:val="24"/>
          <w:sz w:val="24"/>
          <w:szCs w:val="24"/>
          <w:highlight w:val="none"/>
          <w:lang w:val="en-US" w:eastAsia="zh-CN"/>
        </w:rPr>
        <w:t>占地</w:t>
      </w:r>
      <w:r>
        <w:rPr>
          <w:rFonts w:hint="eastAsia" w:ascii="Times New Roman" w:hAnsi="Times New Roman" w:eastAsia="宋体" w:cs="Times New Roman"/>
          <w:color w:val="auto"/>
          <w:spacing w:val="24"/>
          <w:sz w:val="24"/>
          <w:szCs w:val="24"/>
          <w:highlight w:val="none"/>
          <w:lang w:val="en-US" w:eastAsia="zh-CN"/>
        </w:rPr>
        <w:t>内</w:t>
      </w:r>
      <w:r>
        <w:rPr>
          <w:rFonts w:hint="default" w:ascii="Times New Roman" w:hAnsi="Times New Roman" w:eastAsia="宋体" w:cs="Times New Roman"/>
          <w:color w:val="auto"/>
          <w:spacing w:val="24"/>
          <w:sz w:val="24"/>
          <w:szCs w:val="24"/>
          <w:highlight w:val="none"/>
          <w:lang w:val="en-US" w:eastAsia="zh-CN"/>
        </w:rPr>
        <w:t>土壤质量采用《土壤环境质量建设用地土壤污染风险管控标准（试行）（GB36600-2018）中第</w:t>
      </w:r>
      <w:r>
        <w:rPr>
          <w:rFonts w:hint="eastAsia" w:ascii="Times New Roman" w:hAnsi="Times New Roman" w:eastAsia="宋体" w:cs="Times New Roman"/>
          <w:color w:val="auto"/>
          <w:spacing w:val="24"/>
          <w:sz w:val="24"/>
          <w:szCs w:val="24"/>
          <w:highlight w:val="none"/>
          <w:lang w:val="en-US" w:eastAsia="zh-CN"/>
        </w:rPr>
        <w:t>二</w:t>
      </w:r>
      <w:r>
        <w:rPr>
          <w:rFonts w:hint="default" w:ascii="Times New Roman" w:hAnsi="Times New Roman" w:eastAsia="宋体" w:cs="Times New Roman"/>
          <w:color w:val="auto"/>
          <w:spacing w:val="24"/>
          <w:sz w:val="24"/>
          <w:szCs w:val="24"/>
          <w:highlight w:val="none"/>
          <w:lang w:val="en-US" w:eastAsia="zh-CN"/>
        </w:rPr>
        <w:t>类土壤污染风险筛选值对各个参数进行评价。</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3）评价结果</w:t>
      </w:r>
    </w:p>
    <w:p>
      <w:pPr>
        <w:numPr>
          <w:ilvl w:val="0"/>
          <w:numId w:val="0"/>
        </w:numPr>
        <w:spacing w:before="2" w:line="385" w:lineRule="auto"/>
        <w:ind w:right="70" w:rightChars="0" w:firstLine="576" w:firstLineChars="2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区域内土壤现状环境评价结果见表</w:t>
      </w:r>
      <w:r>
        <w:rPr>
          <w:rFonts w:hint="default" w:ascii="Times New Roman" w:hAnsi="Times New Roman" w:eastAsia="宋体" w:cs="Times New Roman"/>
          <w:color w:val="auto"/>
          <w:spacing w:val="24"/>
          <w:sz w:val="24"/>
          <w:szCs w:val="24"/>
          <w:highlight w:val="none"/>
          <w:lang w:val="en-US" w:eastAsia="zh-CN"/>
        </w:rPr>
        <w:t>4.</w:t>
      </w:r>
      <w:r>
        <w:rPr>
          <w:rFonts w:hint="eastAsia" w:ascii="Times New Roman" w:hAnsi="Times New Roman" w:eastAsia="宋体" w:cs="Times New Roman"/>
          <w:color w:val="auto"/>
          <w:spacing w:val="24"/>
          <w:sz w:val="24"/>
          <w:szCs w:val="24"/>
          <w:highlight w:val="none"/>
          <w:lang w:val="en-US" w:eastAsia="zh-CN"/>
        </w:rPr>
        <w:t>2</w:t>
      </w:r>
      <w:r>
        <w:rPr>
          <w:rFonts w:hint="default" w:ascii="Times New Roman" w:hAnsi="Times New Roman" w:eastAsia="宋体" w:cs="Times New Roman"/>
          <w:color w:val="auto"/>
          <w:spacing w:val="24"/>
          <w:sz w:val="24"/>
          <w:szCs w:val="24"/>
          <w:highlight w:val="none"/>
          <w:lang w:val="en-US" w:eastAsia="zh-CN"/>
        </w:rPr>
        <w:t>-</w:t>
      </w:r>
      <w:r>
        <w:rPr>
          <w:rFonts w:hint="eastAsia" w:ascii="Times New Roman" w:hAnsi="Times New Roman" w:eastAsia="宋体" w:cs="Times New Roman"/>
          <w:color w:val="auto"/>
          <w:spacing w:val="24"/>
          <w:sz w:val="24"/>
          <w:szCs w:val="24"/>
          <w:highlight w:val="none"/>
          <w:lang w:val="en-US" w:eastAsia="zh-CN"/>
        </w:rPr>
        <w:t>22。</w:t>
      </w:r>
    </w:p>
    <w:p>
      <w:pPr>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br w:type="page"/>
      </w:r>
    </w:p>
    <w:p>
      <w:pPr>
        <w:rPr>
          <w:rFonts w:hint="eastAsia"/>
          <w:color w:val="auto"/>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jc w:val="center"/>
        <w:rPr>
          <w:rFonts w:hint="eastAsia"/>
          <w:b/>
          <w:bCs/>
          <w:color w:val="auto"/>
          <w:highlight w:val="none"/>
          <w:lang w:val="en-US" w:eastAsia="zh-CN"/>
        </w:rPr>
      </w:pPr>
      <w:r>
        <w:rPr>
          <w:rFonts w:hint="eastAsia" w:ascii="Times New Roman" w:hAnsi="Times New Roman" w:eastAsia="宋体" w:cs="Times New Roman"/>
          <w:b/>
          <w:bCs/>
          <w:color w:val="auto"/>
          <w:spacing w:val="24"/>
          <w:sz w:val="24"/>
          <w:szCs w:val="24"/>
          <w:highlight w:val="none"/>
          <w:lang w:val="en-US" w:eastAsia="zh-CN"/>
        </w:rPr>
        <w:t>表4.2-22土壤现状环境评价</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71"/>
        <w:gridCol w:w="1427"/>
        <w:gridCol w:w="1005"/>
        <w:gridCol w:w="1008"/>
        <w:gridCol w:w="1005"/>
        <w:gridCol w:w="1005"/>
        <w:gridCol w:w="1008"/>
        <w:gridCol w:w="1005"/>
        <w:gridCol w:w="1006"/>
        <w:gridCol w:w="1009"/>
        <w:gridCol w:w="1006"/>
        <w:gridCol w:w="1006"/>
        <w:gridCol w:w="1006"/>
        <w:gridCol w:w="100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vMerge w:val="restart"/>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序号</w:t>
            </w:r>
          </w:p>
        </w:tc>
        <w:tc>
          <w:tcPr>
            <w:tcW w:w="1427" w:type="dxa"/>
            <w:vMerge w:val="restart"/>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lang w:val="en-US" w:eastAsia="zh-CN"/>
              </w:rPr>
              <w:t>污染物项目</w:t>
            </w:r>
          </w:p>
        </w:tc>
        <w:tc>
          <w:tcPr>
            <w:tcW w:w="12076" w:type="dxa"/>
            <w:gridSpan w:val="12"/>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监测点位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1427"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3018" w:type="dxa"/>
            <w:gridSpan w:val="3"/>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拟建人工湿地占地内-生态稳定塘</w:t>
            </w:r>
          </w:p>
        </w:tc>
        <w:tc>
          <w:tcPr>
            <w:tcW w:w="3018" w:type="dxa"/>
            <w:gridSpan w:val="3"/>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拟建人工湿地占地内-</w:t>
            </w:r>
            <w:r>
              <w:rPr>
                <w:rFonts w:hint="default" w:ascii="Times New Roman" w:hAnsi="Times New Roman" w:cs="Times New Roman"/>
                <w:smallCaps w:val="0"/>
                <w:color w:val="auto"/>
                <w:spacing w:val="0"/>
                <w:w w:val="100"/>
                <w:sz w:val="21"/>
                <w:szCs w:val="21"/>
                <w:highlight w:val="none"/>
                <w:lang w:val="en-US" w:eastAsia="zh-CN"/>
              </w:rPr>
              <w:t>潜流湿地</w:t>
            </w:r>
          </w:p>
        </w:tc>
        <w:tc>
          <w:tcPr>
            <w:tcW w:w="3021" w:type="dxa"/>
            <w:gridSpan w:val="3"/>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拟建人工湿地占地内-锅炉房</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拟建人工湿地占地内-半自然湿地</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拟建人工湿地占地外上游</w:t>
            </w:r>
          </w:p>
        </w:tc>
        <w:tc>
          <w:tcPr>
            <w:tcW w:w="100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拟建人工湿地占地外下游</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1427"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0-0.</w:t>
            </w:r>
            <w:r>
              <w:rPr>
                <w:rFonts w:hint="eastAsia" w:ascii="Times New Roman" w:hAnsi="Times New Roman" w:cs="Times New Roman"/>
                <w:smallCaps w:val="0"/>
                <w:color w:val="auto"/>
                <w:spacing w:val="0"/>
                <w:w w:val="100"/>
                <w:sz w:val="21"/>
                <w:szCs w:val="21"/>
                <w:highlight w:val="none"/>
                <w:lang w:val="en-US" w:eastAsia="zh-CN"/>
              </w:rPr>
              <w:t>5</w:t>
            </w:r>
          </w:p>
        </w:tc>
        <w:tc>
          <w:tcPr>
            <w:tcW w:w="100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0.5-1.5</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1.5-3</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0-0.</w:t>
            </w:r>
            <w:r>
              <w:rPr>
                <w:rFonts w:hint="eastAsia" w:ascii="Times New Roman" w:hAnsi="Times New Roman" w:cs="Times New Roman"/>
                <w:smallCaps w:val="0"/>
                <w:color w:val="auto"/>
                <w:spacing w:val="0"/>
                <w:w w:val="100"/>
                <w:sz w:val="21"/>
                <w:szCs w:val="21"/>
                <w:highlight w:val="none"/>
                <w:lang w:val="en-US" w:eastAsia="zh-CN"/>
              </w:rPr>
              <w:t>5</w:t>
            </w:r>
          </w:p>
        </w:tc>
        <w:tc>
          <w:tcPr>
            <w:tcW w:w="1008"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0.5-1.5</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1.5-3</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0-0.</w:t>
            </w:r>
            <w:r>
              <w:rPr>
                <w:rFonts w:hint="eastAsia" w:ascii="Times New Roman" w:hAnsi="Times New Roman" w:cs="Times New Roman"/>
                <w:smallCaps w:val="0"/>
                <w:color w:val="auto"/>
                <w:spacing w:val="0"/>
                <w:w w:val="100"/>
                <w:sz w:val="21"/>
                <w:szCs w:val="21"/>
                <w:highlight w:val="none"/>
                <w:lang w:val="en-US" w:eastAsia="zh-CN"/>
              </w:rPr>
              <w:t>5</w:t>
            </w:r>
          </w:p>
        </w:tc>
        <w:tc>
          <w:tcPr>
            <w:tcW w:w="100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0.5-1.5</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rPr>
              <w:t>1.5-3</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w:t>
            </w:r>
            <w:r>
              <w:rPr>
                <w:rFonts w:hint="eastAsia" w:ascii="Times New Roman" w:hAnsi="Times New Roman" w:cs="Times New Roman"/>
                <w:smallCaps w:val="0"/>
                <w:color w:val="auto"/>
                <w:spacing w:val="0"/>
                <w:w w:val="100"/>
                <w:sz w:val="21"/>
                <w:szCs w:val="21"/>
                <w:highlight w:val="none"/>
                <w:lang w:val="en-US" w:eastAsia="zh-CN"/>
              </w:rPr>
              <w:t>2</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w:t>
            </w:r>
            <w:r>
              <w:rPr>
                <w:rFonts w:hint="eastAsia" w:ascii="Times New Roman" w:hAnsi="Times New Roman" w:cs="Times New Roman"/>
                <w:smallCaps w:val="0"/>
                <w:color w:val="auto"/>
                <w:spacing w:val="0"/>
                <w:w w:val="100"/>
                <w:sz w:val="21"/>
                <w:szCs w:val="21"/>
                <w:highlight w:val="none"/>
                <w:lang w:val="en-US" w:eastAsia="zh-CN"/>
              </w:rPr>
              <w:t>2</w:t>
            </w:r>
          </w:p>
        </w:tc>
        <w:tc>
          <w:tcPr>
            <w:tcW w:w="100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0-0.</w:t>
            </w:r>
            <w:r>
              <w:rPr>
                <w:rFonts w:hint="eastAsia" w:ascii="Times New Roman" w:hAnsi="Times New Roman" w:cs="Times New Roman"/>
                <w:smallCaps w:val="0"/>
                <w:color w:val="auto"/>
                <w:spacing w:val="0"/>
                <w:w w:val="100"/>
                <w:sz w:val="21"/>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1</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pH</w:t>
            </w:r>
          </w:p>
        </w:tc>
        <w:tc>
          <w:tcPr>
            <w:tcW w:w="1005" w:type="dxa"/>
            <w:tcBorders>
              <w:tl2br w:val="nil"/>
              <w:tr2bl w:val="nil"/>
            </w:tcBorders>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2</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汞</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ascii="Times New Roman" w:hAnsi="Times New Roman" w:eastAsia="宋体" w:cs="Times New Roman"/>
                <w:i w:val="0"/>
                <w:iCs w:val="0"/>
                <w:color w:val="auto"/>
                <w:kern w:val="0"/>
                <w:sz w:val="21"/>
                <w:szCs w:val="21"/>
                <w:highlight w:val="none"/>
                <w:u w:val="none"/>
                <w:lang w:val="en-US" w:eastAsia="zh-CN" w:bidi="ar"/>
              </w:rPr>
              <w:t>9</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ascii="Times New Roman" w:hAnsi="Times New Roman" w:eastAsia="宋体" w:cs="Times New Roman"/>
                <w:i w:val="0"/>
                <w:iCs w:val="0"/>
                <w:color w:val="auto"/>
                <w:kern w:val="0"/>
                <w:sz w:val="21"/>
                <w:szCs w:val="21"/>
                <w:highlight w:val="none"/>
                <w:u w:val="none"/>
                <w:lang w:val="en-US" w:eastAsia="zh-CN" w:bidi="ar"/>
              </w:rPr>
              <w:t>8</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ascii="Times New Roman" w:hAnsi="Times New Roman" w:eastAsia="宋体" w:cs="Times New Roman"/>
                <w:i w:val="0"/>
                <w:iCs w:val="0"/>
                <w:color w:val="auto"/>
                <w:kern w:val="0"/>
                <w:sz w:val="21"/>
                <w:szCs w:val="21"/>
                <w:highlight w:val="none"/>
                <w:u w:val="none"/>
                <w:lang w:val="en-US" w:eastAsia="zh-CN" w:bidi="ar"/>
              </w:rPr>
              <w:t>6</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w:t>
            </w:r>
            <w:r>
              <w:rPr>
                <w:rFonts w:hint="eastAsia" w:ascii="Times New Roman" w:hAnsi="Times New Roman" w:eastAsia="宋体" w:cs="Times New Roman"/>
                <w:i w:val="0"/>
                <w:iCs w:val="0"/>
                <w:color w:val="auto"/>
                <w:kern w:val="0"/>
                <w:sz w:val="21"/>
                <w:szCs w:val="21"/>
                <w:highlight w:val="none"/>
                <w:u w:val="none"/>
                <w:lang w:val="en-US" w:eastAsia="zh-CN" w:bidi="ar"/>
              </w:rPr>
              <w:t>5</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0.0005</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0.0004</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0.0011</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0.001</w:t>
            </w:r>
            <w:r>
              <w:rPr>
                <w:rFonts w:hint="eastAsia" w:ascii="Times New Roman" w:hAnsi="Times New Roman" w:eastAsia="宋体" w:cs="Times New Roman"/>
                <w:i w:val="0"/>
                <w:iCs w:val="0"/>
                <w:color w:val="auto"/>
                <w:kern w:val="0"/>
                <w:sz w:val="21"/>
                <w:szCs w:val="21"/>
                <w:highlight w:val="none"/>
                <w:u w:val="none"/>
                <w:lang w:val="en-US" w:eastAsia="zh-CN" w:bidi="ar"/>
              </w:rPr>
              <w:t>3</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0.0013</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0.0014</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0.001</w:t>
            </w:r>
            <w:r>
              <w:rPr>
                <w:rFonts w:hint="eastAsia" w:ascii="Times New Roman" w:hAnsi="Times New Roman" w:eastAsia="宋体" w:cs="Times New Roman"/>
                <w:i w:val="0"/>
                <w:iCs w:val="0"/>
                <w:color w:val="auto"/>
                <w:kern w:val="0"/>
                <w:sz w:val="21"/>
                <w:szCs w:val="21"/>
                <w:highlight w:val="none"/>
                <w:u w:val="none"/>
                <w:lang w:val="en-US" w:eastAsia="zh-CN" w:bidi="ar"/>
              </w:rPr>
              <w:t>2</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3</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砷</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0.0735</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0.0705</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0.0687</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0.071</w:t>
            </w:r>
            <w:r>
              <w:rPr>
                <w:rFonts w:hint="eastAsia" w:ascii="Times New Roman" w:hAnsi="Times New Roman" w:eastAsia="宋体" w:cs="Times New Roman"/>
                <w:i w:val="0"/>
                <w:iCs w:val="0"/>
                <w:color w:val="auto"/>
                <w:kern w:val="0"/>
                <w:sz w:val="21"/>
                <w:szCs w:val="21"/>
                <w:highlight w:val="none"/>
                <w:u w:val="none"/>
                <w:lang w:val="en-US" w:eastAsia="zh-CN" w:bidi="ar"/>
              </w:rPr>
              <w:t>2</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0.0688</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0.0677</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0.086</w:t>
            </w:r>
            <w:r>
              <w:rPr>
                <w:rFonts w:hint="eastAsia" w:ascii="Times New Roman" w:hAnsi="Times New Roman" w:eastAsia="宋体" w:cs="Times New Roman"/>
                <w:i w:val="0"/>
                <w:iCs w:val="0"/>
                <w:color w:val="auto"/>
                <w:kern w:val="0"/>
                <w:sz w:val="21"/>
                <w:szCs w:val="21"/>
                <w:highlight w:val="none"/>
                <w:u w:val="none"/>
                <w:lang w:val="en-US" w:eastAsia="zh-CN" w:bidi="ar"/>
              </w:rPr>
              <w:t>2</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0.0848</w:t>
            </w:r>
          </w:p>
        </w:tc>
        <w:tc>
          <w:tcPr>
            <w:tcW w:w="100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0.082</w:t>
            </w: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0.0753</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0.0768</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0.0788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4</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铜</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0.0025</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0.0023</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0.0022</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w:t>
            </w:r>
            <w:r>
              <w:rPr>
                <w:rFonts w:hint="eastAsia" w:ascii="Times New Roman" w:hAnsi="Times New Roman" w:eastAsia="宋体" w:cs="Times New Roman"/>
                <w:i w:val="0"/>
                <w:iCs w:val="0"/>
                <w:color w:val="auto"/>
                <w:kern w:val="0"/>
                <w:sz w:val="21"/>
                <w:szCs w:val="21"/>
                <w:highlight w:val="none"/>
                <w:u w:val="none"/>
                <w:lang w:val="en-US" w:eastAsia="zh-CN" w:bidi="ar"/>
              </w:rPr>
              <w:t>2</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0.0022</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0.0025</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0.0021</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0.0024</w:t>
            </w:r>
          </w:p>
        </w:tc>
        <w:tc>
          <w:tcPr>
            <w:tcW w:w="100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w:t>
            </w: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0.0019</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w:t>
            </w: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5</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六价铬</w:t>
            </w:r>
          </w:p>
        </w:tc>
        <w:tc>
          <w:tcPr>
            <w:tcW w:w="1005" w:type="dxa"/>
            <w:tcBorders>
              <w:tl2br w:val="nil"/>
              <w:tr2bl w:val="nil"/>
            </w:tcBorders>
            <w:vAlign w:val="top"/>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top"/>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6</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镉</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0.0032</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0.003</w:t>
            </w: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0.0026</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0.0029</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0.0023</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0.001</w:t>
            </w:r>
            <w:r>
              <w:rPr>
                <w:rFonts w:hint="eastAsia" w:ascii="Times New Roman" w:hAnsi="Times New Roman" w:eastAsia="宋体" w:cs="Times New Roman"/>
                <w:i w:val="0"/>
                <w:iCs w:val="0"/>
                <w:color w:val="auto"/>
                <w:kern w:val="0"/>
                <w:sz w:val="21"/>
                <w:szCs w:val="21"/>
                <w:highlight w:val="none"/>
                <w:u w:val="none"/>
                <w:lang w:val="en-US" w:eastAsia="zh-CN" w:bidi="ar"/>
              </w:rPr>
              <w:t>7</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0.0049</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0.0043</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0.0038</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0.003</w:t>
            </w:r>
            <w:r>
              <w:rPr>
                <w:rFonts w:hint="eastAsia" w:ascii="Times New Roman" w:hAnsi="Times New Roman" w:eastAsia="宋体" w:cs="Times New Roman"/>
                <w:i w:val="0"/>
                <w:iCs w:val="0"/>
                <w:color w:val="auto"/>
                <w:kern w:val="0"/>
                <w:sz w:val="21"/>
                <w:szCs w:val="21"/>
                <w:highlight w:val="none"/>
                <w:u w:val="none"/>
                <w:lang w:val="en-US" w:eastAsia="zh-CN" w:bidi="ar"/>
              </w:rPr>
              <w:t>4</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0.0038</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w:t>
            </w:r>
            <w:r>
              <w:rPr>
                <w:rFonts w:hint="eastAsia" w:ascii="Times New Roman" w:hAnsi="Times New Roman" w:eastAsia="宋体" w:cs="Times New Roman"/>
                <w:i w:val="0"/>
                <w:iCs w:val="0"/>
                <w:color w:val="auto"/>
                <w:kern w:val="0"/>
                <w:sz w:val="21"/>
                <w:szCs w:val="21"/>
                <w:highlight w:val="none"/>
                <w:u w:val="none"/>
                <w:lang w:val="en-US" w:eastAsia="zh-CN" w:bidi="ar"/>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7</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镍</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0.0411</w:t>
            </w:r>
          </w:p>
        </w:tc>
        <w:tc>
          <w:tcPr>
            <w:tcW w:w="100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w:t>
            </w:r>
            <w:r>
              <w:rPr>
                <w:rFonts w:hint="eastAsia" w:ascii="Times New Roman" w:hAnsi="Times New Roman" w:eastAsia="宋体" w:cs="Times New Roman"/>
                <w:i w:val="0"/>
                <w:iCs w:val="0"/>
                <w:color w:val="auto"/>
                <w:kern w:val="0"/>
                <w:sz w:val="21"/>
                <w:szCs w:val="21"/>
                <w:highlight w:val="none"/>
                <w:u w:val="none"/>
                <w:lang w:val="en-US" w:eastAsia="zh-CN" w:bidi="ar"/>
              </w:rPr>
              <w:t>00</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0.0378</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0.0344</w:t>
            </w:r>
          </w:p>
        </w:tc>
        <w:tc>
          <w:tcPr>
            <w:tcW w:w="1008"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w:t>
            </w:r>
            <w:r>
              <w:rPr>
                <w:rFonts w:hint="eastAsia" w:ascii="Times New Roman" w:hAnsi="Times New Roman" w:eastAsia="宋体" w:cs="Times New Roman"/>
                <w:i w:val="0"/>
                <w:iCs w:val="0"/>
                <w:color w:val="auto"/>
                <w:kern w:val="0"/>
                <w:sz w:val="21"/>
                <w:szCs w:val="21"/>
                <w:highlight w:val="none"/>
                <w:u w:val="none"/>
                <w:lang w:val="en-US" w:eastAsia="zh-CN" w:bidi="ar"/>
              </w:rPr>
              <w:t>00</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0.0267</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0.0511</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0.0456</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0.0422</w:t>
            </w:r>
          </w:p>
        </w:tc>
        <w:tc>
          <w:tcPr>
            <w:tcW w:w="100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0.044</w:t>
            </w:r>
            <w:r>
              <w:rPr>
                <w:rFonts w:hint="eastAsia" w:ascii="Times New Roman" w:hAnsi="Times New Roman" w:eastAsia="宋体" w:cs="Times New Roman"/>
                <w:i w:val="0"/>
                <w:iCs w:val="0"/>
                <w:color w:val="auto"/>
                <w:kern w:val="0"/>
                <w:sz w:val="21"/>
                <w:szCs w:val="21"/>
                <w:highlight w:val="none"/>
                <w:u w:val="none"/>
                <w:lang w:val="en-US" w:eastAsia="zh-CN" w:bidi="ar"/>
              </w:rPr>
              <w:t>4</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0.0467</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8</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lang w:val="en-US" w:eastAsia="zh-CN"/>
              </w:rPr>
              <w:t>铅</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0.027</w:t>
            </w:r>
            <w:r>
              <w:rPr>
                <w:rFonts w:hint="eastAsia" w:ascii="Times New Roman" w:hAnsi="Times New Roman" w:eastAsia="宋体" w:cs="Times New Roman"/>
                <w:i w:val="0"/>
                <w:iCs w:val="0"/>
                <w:color w:val="auto"/>
                <w:kern w:val="0"/>
                <w:sz w:val="21"/>
                <w:szCs w:val="21"/>
                <w:highlight w:val="none"/>
                <w:u w:val="none"/>
                <w:lang w:val="en-US" w:eastAsia="zh-CN" w:bidi="ar"/>
              </w:rPr>
              <w:t>3</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0.024</w:t>
            </w:r>
            <w:r>
              <w:rPr>
                <w:rFonts w:hint="eastAsia" w:ascii="Times New Roman" w:hAnsi="Times New Roman" w:eastAsia="宋体" w:cs="Times New Roman"/>
                <w:i w:val="0"/>
                <w:iCs w:val="0"/>
                <w:color w:val="auto"/>
                <w:kern w:val="0"/>
                <w:sz w:val="21"/>
                <w:szCs w:val="21"/>
                <w:highlight w:val="none"/>
                <w:u w:val="none"/>
                <w:lang w:val="en-US" w:eastAsia="zh-CN" w:bidi="ar"/>
              </w:rPr>
              <w:t>8</w:t>
            </w:r>
          </w:p>
        </w:tc>
        <w:tc>
          <w:tcPr>
            <w:tcW w:w="100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0.023</w:t>
            </w: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0.023</w:t>
            </w:r>
            <w:r>
              <w:rPr>
                <w:rFonts w:hint="eastAsia" w:ascii="Times New Roman" w:hAnsi="Times New Roman" w:eastAsia="宋体" w:cs="Times New Roman"/>
                <w:i w:val="0"/>
                <w:iCs w:val="0"/>
                <w:color w:val="auto"/>
                <w:kern w:val="0"/>
                <w:sz w:val="21"/>
                <w:szCs w:val="21"/>
                <w:highlight w:val="none"/>
                <w:u w:val="none"/>
                <w:lang w:val="en-US" w:eastAsia="zh-CN" w:bidi="ar"/>
              </w:rPr>
              <w:t>3</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0.020</w:t>
            </w:r>
            <w:r>
              <w:rPr>
                <w:rFonts w:hint="eastAsia" w:ascii="Times New Roman" w:hAnsi="Times New Roman" w:eastAsia="宋体" w:cs="Times New Roman"/>
                <w:i w:val="0"/>
                <w:iCs w:val="0"/>
                <w:color w:val="auto"/>
                <w:kern w:val="0"/>
                <w:sz w:val="21"/>
                <w:szCs w:val="21"/>
                <w:highlight w:val="none"/>
                <w:u w:val="none"/>
                <w:lang w:val="en-US" w:eastAsia="zh-CN" w:bidi="ar"/>
              </w:rPr>
              <w:t>4</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0.0196</w:t>
            </w:r>
          </w:p>
        </w:tc>
        <w:tc>
          <w:tcPr>
            <w:tcW w:w="100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0.028</w:t>
            </w:r>
            <w:r>
              <w:rPr>
                <w:rFonts w:hint="eastAsia" w:ascii="Times New Roman" w:hAnsi="Times New Roman" w:eastAsia="宋体" w:cs="Times New Roman"/>
                <w:i w:val="0"/>
                <w:iCs w:val="0"/>
                <w:color w:val="auto"/>
                <w:kern w:val="0"/>
                <w:sz w:val="21"/>
                <w:szCs w:val="21"/>
                <w:highlight w:val="none"/>
                <w:u w:val="none"/>
                <w:lang w:val="en-US" w:eastAsia="zh-CN" w:bidi="ar"/>
              </w:rPr>
              <w:t>0</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0.024</w:t>
            </w:r>
            <w:r>
              <w:rPr>
                <w:rFonts w:hint="eastAsia" w:ascii="Times New Roman" w:hAnsi="Times New Roman" w:eastAsia="宋体" w:cs="Times New Roman"/>
                <w:i w:val="0"/>
                <w:iCs w:val="0"/>
                <w:color w:val="auto"/>
                <w:kern w:val="0"/>
                <w:sz w:val="21"/>
                <w:szCs w:val="21"/>
                <w:highlight w:val="none"/>
                <w:u w:val="none"/>
                <w:lang w:val="en-US" w:eastAsia="zh-CN" w:bidi="ar"/>
              </w:rPr>
              <w:t>8</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0.0295</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0.0365</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0.039</w:t>
            </w:r>
            <w:r>
              <w:rPr>
                <w:rFonts w:hint="eastAsia" w:ascii="Times New Roman" w:hAnsi="Times New Roman" w:eastAsia="宋体" w:cs="Times New Roman"/>
                <w:i w:val="0"/>
                <w:iCs w:val="0"/>
                <w:color w:val="auto"/>
                <w:kern w:val="0"/>
                <w:sz w:val="21"/>
                <w:szCs w:val="21"/>
                <w:highlight w:val="none"/>
                <w:u w:val="none"/>
                <w:lang w:val="en-US" w:eastAsia="zh-CN" w:bidi="ar"/>
              </w:rPr>
              <w:t>3</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0.040</w:t>
            </w:r>
            <w:r>
              <w:rPr>
                <w:rFonts w:hint="eastAsia" w:ascii="Times New Roman" w:hAnsi="Times New Roman" w:eastAsia="宋体" w:cs="Times New Roman"/>
                <w:i w:val="0"/>
                <w:iCs w:val="0"/>
                <w:color w:val="auto"/>
                <w:kern w:val="0"/>
                <w:sz w:val="21"/>
                <w:szCs w:val="21"/>
                <w:highlight w:val="none"/>
                <w:u w:val="none"/>
                <w:lang w:val="en-US" w:eastAsia="zh-CN" w:bidi="ar"/>
              </w:rPr>
              <w:t>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9</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四氯化碳</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10</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氯仿</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11</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氯甲烷</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12</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1-二氯乙烷</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13</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2-二氯乙烷</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14</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1-二氯乙烯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15</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顺-1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2-二氯乙烯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16</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反-1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2-二氯乙烯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17</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二氯甲烷</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18</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2-二氯丙烷</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19</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2-四氯乙烷</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20</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2-四氯乙烷</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21</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四氯乙烯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22</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1-三氯乙烷</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23</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2-三氯乙烷</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24</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三氯乙烯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25</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3-三氯丙烷</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26</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氯乙烯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27</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28</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氯苯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29</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2-二氯苯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30</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4-二氯苯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31</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乙苯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32</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苯乙烯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33</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甲苯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34</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间+对二甲苯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35</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邻二甲苯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36</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硝基苯</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37</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苯胺</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38</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2-氯酚</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39</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苯并[a]蒽</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40</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苯并[a]芘</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41</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苯并[b]荧蒽</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42</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苯并[k]荧蒽</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43</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䓛</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44</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二苯并[a，h]蒽</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45</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茚苯并[1</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2</w:t>
            </w:r>
            <w:r>
              <w:rPr>
                <w:rFonts w:hint="default" w:ascii="Times New Roman" w:hAnsi="Times New Roman" w:cs="Times New Roman"/>
                <w:smallCaps w:val="0"/>
                <w:color w:val="auto"/>
                <w:spacing w:val="0"/>
                <w:w w:val="100"/>
                <w:sz w:val="21"/>
                <w:szCs w:val="21"/>
                <w:highlight w:val="none"/>
                <w:lang w:val="en-US" w:eastAsia="zh-CN"/>
              </w:rPr>
              <w:t>,</w:t>
            </w:r>
            <w:r>
              <w:rPr>
                <w:rFonts w:hint="default" w:ascii="Times New Roman" w:hAnsi="Times New Roman" w:cs="Times New Roman"/>
                <w:smallCaps w:val="0"/>
                <w:color w:val="auto"/>
                <w:spacing w:val="0"/>
                <w:w w:val="100"/>
                <w:sz w:val="21"/>
                <w:szCs w:val="21"/>
                <w:highlight w:val="none"/>
              </w:rPr>
              <w:t>3-</w:t>
            </w:r>
            <w:r>
              <w:rPr>
                <w:rFonts w:hint="default" w:ascii="Times New Roman" w:hAnsi="Times New Roman" w:cs="Times New Roman"/>
                <w:smallCaps w:val="0"/>
                <w:color w:val="auto"/>
                <w:spacing w:val="0"/>
                <w:w w:val="100"/>
                <w:sz w:val="21"/>
                <w:szCs w:val="21"/>
                <w:highlight w:val="none"/>
                <w:lang w:val="en-US" w:eastAsia="zh-CN"/>
              </w:rPr>
              <w:t>c,d</w:t>
            </w:r>
            <w:r>
              <w:rPr>
                <w:rFonts w:hint="default" w:ascii="Times New Roman" w:hAnsi="Times New Roman" w:cs="Times New Roman"/>
                <w:smallCaps w:val="0"/>
                <w:color w:val="auto"/>
                <w:spacing w:val="0"/>
                <w:w w:val="100"/>
                <w:sz w:val="21"/>
                <w:szCs w:val="21"/>
                <w:highlight w:val="none"/>
              </w:rPr>
              <w:t>]芘</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rPr>
              <w:t>46</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default" w:ascii="Times New Roman" w:hAnsi="Times New Roman" w:cs="Times New Roman"/>
                <w:smallCaps w:val="0"/>
                <w:color w:val="auto"/>
                <w:spacing w:val="0"/>
                <w:w w:val="100"/>
                <w:sz w:val="21"/>
                <w:szCs w:val="21"/>
                <w:highlight w:val="none"/>
              </w:rPr>
              <w:t>萘</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71" w:type="dxa"/>
            <w:tcBorders>
              <w:tl2br w:val="nil"/>
              <w:tr2bl w:val="nil"/>
            </w:tcBorders>
            <w:vAlign w:val="center"/>
          </w:tcPr>
          <w:p>
            <w:pPr>
              <w:spacing w:line="360" w:lineRule="exact"/>
              <w:jc w:val="center"/>
              <w:rPr>
                <w:rFonts w:hint="default" w:ascii="Times New Roman" w:hAnsi="Times New Roman" w:cs="Times New Roman" w:eastAsiaTheme="minorEastAsia"/>
                <w:smallCaps w:val="0"/>
                <w:color w:val="auto"/>
                <w:spacing w:val="0"/>
                <w:w w:val="100"/>
                <w:sz w:val="21"/>
                <w:szCs w:val="21"/>
                <w:highlight w:val="none"/>
                <w:lang w:val="en-US" w:eastAsia="zh-CN"/>
              </w:rPr>
            </w:pPr>
            <w:r>
              <w:rPr>
                <w:rFonts w:hint="eastAsia" w:ascii="Times New Roman" w:hAnsi="Times New Roman" w:eastAsia="宋体" w:cs="Times New Roman"/>
                <w:smallCaps w:val="0"/>
                <w:color w:val="auto"/>
                <w:spacing w:val="0"/>
                <w:w w:val="100"/>
                <w:sz w:val="21"/>
                <w:szCs w:val="21"/>
                <w:highlight w:val="none"/>
                <w:lang w:val="en-US" w:eastAsia="zh-CN"/>
              </w:rPr>
              <w:t>47</w:t>
            </w:r>
          </w:p>
        </w:tc>
        <w:tc>
          <w:tcPr>
            <w:tcW w:w="142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石油烃</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8"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5"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9"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6"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c>
          <w:tcPr>
            <w:tcW w:w="1007" w:type="dxa"/>
            <w:tcBorders>
              <w:tl2br w:val="nil"/>
              <w:tr2bl w:val="nil"/>
            </w:tcBorders>
            <w:vAlign w:val="center"/>
          </w:tcPr>
          <w:p>
            <w:pPr>
              <w:keepNext w:val="0"/>
              <w:keepLines w:val="0"/>
              <w:widowControl/>
              <w:suppressLineNumbers w:val="0"/>
              <w:jc w:val="center"/>
              <w:textAlignment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w:t>
            </w:r>
          </w:p>
        </w:tc>
      </w:tr>
    </w:tbl>
    <w:p>
      <w:pPr>
        <w:rPr>
          <w:rFonts w:hint="eastAsia"/>
          <w:color w:val="auto"/>
          <w:highlight w:val="none"/>
          <w:lang w:val="en-US" w:eastAsia="zh-CN"/>
        </w:rPr>
      </w:pPr>
      <w:r>
        <w:rPr>
          <w:rFonts w:hint="eastAsia"/>
          <w:color w:val="auto"/>
          <w:highlight w:val="none"/>
          <w:lang w:val="en-US" w:eastAsia="zh-CN"/>
        </w:rPr>
        <w:br w:type="page"/>
      </w:r>
    </w:p>
    <w:p>
      <w:pPr>
        <w:numPr>
          <w:ilvl w:val="0"/>
          <w:numId w:val="0"/>
        </w:numPr>
        <w:spacing w:before="2" w:line="385" w:lineRule="auto"/>
        <w:ind w:right="70" w:rightChars="0"/>
        <w:jc w:val="both"/>
        <w:rPr>
          <w:rFonts w:hint="eastAsia" w:ascii="Times New Roman" w:hAnsi="Times New Roman" w:eastAsia="宋体" w:cs="Times New Roman"/>
          <w:color w:val="auto"/>
          <w:spacing w:val="24"/>
          <w:sz w:val="24"/>
          <w:szCs w:val="24"/>
          <w:highlight w:val="none"/>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numPr>
          <w:ilvl w:val="0"/>
          <w:numId w:val="0"/>
        </w:numPr>
        <w:spacing w:before="2" w:line="385" w:lineRule="auto"/>
        <w:ind w:right="70" w:rightChars="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④评价结论</w:t>
      </w:r>
    </w:p>
    <w:p>
      <w:pPr>
        <w:numPr>
          <w:ilvl w:val="0"/>
          <w:numId w:val="0"/>
        </w:numPr>
        <w:spacing w:before="2" w:line="385" w:lineRule="auto"/>
        <w:ind w:right="70" w:rightChars="0" w:firstLine="576" w:firstLineChars="2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根据监测结果可知，拟建项目占地内及占地外土壤环境质量均满足《土壤环境质量 建设用地土壤污染风险管控标准（试行）》（GB36600-2018）中第二类土壤污染风险筛选值，评价指数均＜1。土壤环境质量状况良好。</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bookmarkStart w:id="685" w:name="_Toc13101"/>
      <w:bookmarkStart w:id="686" w:name="_Toc706"/>
      <w:bookmarkStart w:id="687" w:name="_Toc18261"/>
      <w:bookmarkStart w:id="688" w:name="_Toc49174837"/>
      <w:bookmarkStart w:id="689" w:name="_Toc25425"/>
      <w:bookmarkStart w:id="690" w:name="_Toc30532"/>
      <w:bookmarkStart w:id="691" w:name="_Toc19729"/>
      <w:bookmarkStart w:id="692" w:name="_Toc49175012"/>
      <w:bookmarkStart w:id="693" w:name="_Toc23829"/>
      <w:bookmarkStart w:id="694" w:name="_Toc2316"/>
      <w:bookmarkStart w:id="695" w:name="_Toc15398"/>
      <w:bookmarkStart w:id="696" w:name="_Toc7965"/>
      <w:r>
        <w:rPr>
          <w:rFonts w:hint="default" w:ascii="Times New Roman" w:hAnsi="Times New Roman" w:eastAsia="宋体" w:cs="Times New Roman"/>
          <w:color w:val="auto"/>
          <w:spacing w:val="24"/>
          <w:sz w:val="24"/>
          <w:szCs w:val="24"/>
          <w:highlight w:val="none"/>
          <w:lang w:val="en-US" w:eastAsia="zh-CN"/>
        </w:rPr>
        <w:t>4.2.</w:t>
      </w:r>
      <w:r>
        <w:rPr>
          <w:rFonts w:hint="eastAsia" w:ascii="Times New Roman" w:hAnsi="Times New Roman" w:eastAsia="宋体" w:cs="Times New Roman"/>
          <w:color w:val="auto"/>
          <w:spacing w:val="24"/>
          <w:sz w:val="24"/>
          <w:szCs w:val="24"/>
          <w:highlight w:val="none"/>
          <w:lang w:val="en-US" w:eastAsia="zh-CN"/>
        </w:rPr>
        <w:t>5</w:t>
      </w:r>
      <w:r>
        <w:rPr>
          <w:rFonts w:hint="default" w:ascii="Times New Roman" w:hAnsi="Times New Roman" w:eastAsia="宋体" w:cs="Times New Roman"/>
          <w:color w:val="auto"/>
          <w:spacing w:val="24"/>
          <w:sz w:val="24"/>
          <w:szCs w:val="24"/>
          <w:highlight w:val="none"/>
          <w:lang w:val="en-US" w:eastAsia="zh-CN"/>
        </w:rPr>
        <w:t>生态环境现状调查与评价</w:t>
      </w:r>
      <w:bookmarkEnd w:id="685"/>
      <w:bookmarkEnd w:id="686"/>
      <w:bookmarkEnd w:id="687"/>
      <w:bookmarkEnd w:id="688"/>
      <w:bookmarkEnd w:id="689"/>
      <w:bookmarkEnd w:id="690"/>
      <w:bookmarkEnd w:id="691"/>
      <w:bookmarkEnd w:id="692"/>
      <w:bookmarkEnd w:id="693"/>
      <w:bookmarkEnd w:id="694"/>
      <w:bookmarkEnd w:id="695"/>
      <w:bookmarkEnd w:id="696"/>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本项目生态评价等级为三级，项目建设不占用自然公园（森林公园、地质公园、海洋公园等）、基本草原、重要湿地、天然林，重点保护野生动物栖息地，重点保护野生植物生长繁殖地，重要水生生物的自然产卵场、索饵场、越冬场和洄游通道，天然渔场，沙化土地封禁保护区、封闭及半封闭海域，也不在生态保护红线内，因此本次生态现状调查以现场调查及收集资料为主。</w:t>
      </w:r>
    </w:p>
    <w:p>
      <w:pPr>
        <w:numPr>
          <w:ilvl w:val="0"/>
          <w:numId w:val="0"/>
        </w:numPr>
        <w:spacing w:before="2" w:line="385" w:lineRule="auto"/>
        <w:ind w:right="70" w:rightChars="0" w:firstLine="576" w:firstLineChars="2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（1）调查评价因子</w:t>
      </w:r>
    </w:p>
    <w:p>
      <w:pPr>
        <w:numPr>
          <w:ilvl w:val="0"/>
          <w:numId w:val="0"/>
        </w:numPr>
        <w:spacing w:before="2" w:line="385" w:lineRule="auto"/>
        <w:ind w:right="70" w:rightChars="0" w:firstLine="576" w:firstLineChars="200"/>
        <w:jc w:val="both"/>
        <w:rPr>
          <w:rFonts w:hint="eastAsia" w:ascii="Times New Roman" w:hAnsi="Times New Roman" w:eastAsia="宋体" w:cs="Times New Roman"/>
          <w:b/>
          <w:bCs/>
          <w:smallCaps w:val="0"/>
          <w:color w:val="auto"/>
          <w:spacing w:val="0"/>
          <w:w w:val="100"/>
          <w:kern w:val="0"/>
          <w:sz w:val="24"/>
          <w:highlight w:val="none"/>
          <w:lang w:val="en-US" w:eastAsia="zh-CN" w:bidi="ar"/>
        </w:rPr>
      </w:pPr>
      <w:r>
        <w:rPr>
          <w:rFonts w:hint="eastAsia" w:ascii="Times New Roman" w:hAnsi="Times New Roman" w:eastAsia="宋体" w:cs="Times New Roman"/>
          <w:color w:val="auto"/>
          <w:spacing w:val="24"/>
          <w:sz w:val="24"/>
          <w:szCs w:val="24"/>
          <w:highlight w:val="none"/>
          <w:lang w:val="en-US" w:eastAsia="zh-CN"/>
        </w:rPr>
        <w:t>根据《环境影响评价技术导则 生态影响》（HJ19-2022）附录A，结合当地生态环境特征，主要现状调查评价因子见下表。</w:t>
      </w:r>
    </w:p>
    <w:p>
      <w:pPr>
        <w:widowControl/>
        <w:spacing w:line="360" w:lineRule="auto"/>
        <w:jc w:val="center"/>
        <w:rPr>
          <w:rFonts w:hint="default" w:ascii="Times New Roman" w:hAnsi="Times New Roman" w:eastAsia="宋体" w:cs="Times New Roman"/>
          <w:b/>
          <w:bCs/>
          <w:smallCaps w:val="0"/>
          <w:color w:val="auto"/>
          <w:spacing w:val="0"/>
          <w:w w:val="100"/>
          <w:kern w:val="0"/>
          <w:sz w:val="24"/>
          <w:highlight w:val="none"/>
          <w:lang w:val="en-US" w:eastAsia="zh-CN" w:bidi="ar"/>
        </w:rPr>
      </w:pPr>
      <w:r>
        <w:rPr>
          <w:rFonts w:hint="eastAsia" w:ascii="Times New Roman" w:hAnsi="Times New Roman" w:eastAsia="宋体" w:cs="Times New Roman"/>
          <w:b/>
          <w:bCs/>
          <w:smallCaps w:val="0"/>
          <w:color w:val="auto"/>
          <w:spacing w:val="0"/>
          <w:w w:val="100"/>
          <w:kern w:val="0"/>
          <w:sz w:val="24"/>
          <w:highlight w:val="none"/>
          <w:lang w:val="en-US" w:eastAsia="zh-CN" w:bidi="ar"/>
        </w:rPr>
        <w:t>表4.2-23评价区主要生态影响评价调查因子</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20"/>
        <w:gridCol w:w="3329"/>
        <w:gridCol w:w="346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20"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受影响对象</w:t>
            </w:r>
          </w:p>
        </w:tc>
        <w:tc>
          <w:tcPr>
            <w:tcW w:w="332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评价因子</w:t>
            </w:r>
          </w:p>
        </w:tc>
        <w:tc>
          <w:tcPr>
            <w:tcW w:w="346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工程内容及影响方式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89" w:hRule="atLeast"/>
        </w:trPr>
        <w:tc>
          <w:tcPr>
            <w:tcW w:w="172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物种</w:t>
            </w:r>
          </w:p>
        </w:tc>
        <w:tc>
          <w:tcPr>
            <w:tcW w:w="332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分布范围、种群数量、种群结构、行为等</w:t>
            </w:r>
          </w:p>
        </w:tc>
        <w:tc>
          <w:tcPr>
            <w:tcW w:w="3467"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临时占地、直接影响占地范围内生物物种</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2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生境</w:t>
            </w:r>
          </w:p>
        </w:tc>
        <w:tc>
          <w:tcPr>
            <w:tcW w:w="332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生境面积、质量、连通性等</w:t>
            </w:r>
          </w:p>
        </w:tc>
        <w:tc>
          <w:tcPr>
            <w:tcW w:w="3467" w:type="dxa"/>
            <w:tcBorders>
              <w:tl2br w:val="nil"/>
              <w:tr2bl w:val="nil"/>
            </w:tcBorders>
            <w:vAlign w:val="center"/>
          </w:tcPr>
          <w:p>
            <w:pPr>
              <w:widowControl/>
              <w:spacing w:line="360" w:lineRule="exact"/>
              <w:jc w:val="both"/>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占用土地，项目建设改善区域生态环境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2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生物群落</w:t>
            </w:r>
          </w:p>
        </w:tc>
        <w:tc>
          <w:tcPr>
            <w:tcW w:w="332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物种组成、群落结构等</w:t>
            </w:r>
          </w:p>
        </w:tc>
        <w:tc>
          <w:tcPr>
            <w:tcW w:w="3467" w:type="dxa"/>
            <w:vMerge w:val="restart"/>
            <w:tcBorders>
              <w:tl2br w:val="nil"/>
              <w:tr2bl w:val="nil"/>
            </w:tcBorders>
            <w:vAlign w:val="center"/>
          </w:tcPr>
          <w:p>
            <w:pPr>
              <w:widowControl/>
              <w:spacing w:line="360" w:lineRule="exact"/>
              <w:jc w:val="both"/>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项目建设，将原有天然河塘及荒草地改为人工湿地，种植陆生及水生植物，增加物种多样性，改善生态环境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4" w:hRule="atLeast"/>
        </w:trPr>
        <w:tc>
          <w:tcPr>
            <w:tcW w:w="172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生态系统</w:t>
            </w:r>
          </w:p>
        </w:tc>
        <w:tc>
          <w:tcPr>
            <w:tcW w:w="332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植被覆盖度、生产力、生物量、生态系统功能等</w:t>
            </w:r>
          </w:p>
        </w:tc>
        <w:tc>
          <w:tcPr>
            <w:tcW w:w="3467" w:type="dxa"/>
            <w:vMerge w:val="continue"/>
            <w:tcBorders>
              <w:tl2br w:val="nil"/>
              <w:tr2bl w:val="nil"/>
            </w:tcBorders>
            <w:vAlign w:val="center"/>
          </w:tcPr>
          <w:p>
            <w:pPr>
              <w:widowControl/>
              <w:spacing w:line="360" w:lineRule="exact"/>
              <w:jc w:val="both"/>
              <w:rPr>
                <w:rFonts w:hint="default"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2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生物多样性</w:t>
            </w:r>
          </w:p>
        </w:tc>
        <w:tc>
          <w:tcPr>
            <w:tcW w:w="332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物种丰富度、均匀度、优势度等</w:t>
            </w:r>
          </w:p>
        </w:tc>
        <w:tc>
          <w:tcPr>
            <w:tcW w:w="3467"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72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生态敏感区</w:t>
            </w:r>
          </w:p>
        </w:tc>
        <w:tc>
          <w:tcPr>
            <w:tcW w:w="3329"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主要保护对象、生态功能等</w:t>
            </w:r>
          </w:p>
        </w:tc>
        <w:tc>
          <w:tcPr>
            <w:tcW w:w="3467" w:type="dxa"/>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项目占地及周围区域无重要及濒危动植物</w:t>
            </w:r>
          </w:p>
        </w:tc>
      </w:tr>
    </w:tbl>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（2）调查方法</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生态环境调查采用现场调查</w:t>
      </w:r>
      <w:r>
        <w:rPr>
          <w:rFonts w:hint="eastAsia" w:ascii="Times New Roman" w:hAnsi="Times New Roman" w:eastAsia="宋体" w:cs="Times New Roman"/>
          <w:color w:val="auto"/>
          <w:spacing w:val="24"/>
          <w:sz w:val="24"/>
          <w:szCs w:val="24"/>
          <w:highlight w:val="none"/>
          <w:lang w:val="en-US" w:eastAsia="zh-CN"/>
        </w:rPr>
        <w:t>及</w:t>
      </w:r>
      <w:r>
        <w:rPr>
          <w:rFonts w:hint="default" w:ascii="Times New Roman" w:hAnsi="Times New Roman" w:eastAsia="宋体" w:cs="Times New Roman"/>
          <w:color w:val="auto"/>
          <w:spacing w:val="24"/>
          <w:sz w:val="24"/>
          <w:szCs w:val="24"/>
          <w:highlight w:val="none"/>
          <w:lang w:val="en-US" w:eastAsia="zh-CN"/>
        </w:rPr>
        <w:t>资料收集相结合的方法。</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①现场调查法</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通过野外调查，识别植物种类，对发现的动物进行记录，调查了解评价区土地利用类型及分布、植物种类及植被分布、陆生动物栖息地等状况。</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②资料收集法</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收集项目区现有的可以反映生态现状或生态背景的资料，主要为现状资料和历史资料，包括相关文字、图件和影像等。</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1）安肇新河基本情况及历史沿革</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安肇新河为打破大庆地区闭流状态而开挖的一条人工排水干渠，河流经过王花泡、北二十里泡、中内泡和库里泡4座大中型滞洪区，同时西部排干、中央排干、东一排干、东二排干和兴隆排干的排水全部汇入安肇新河，最终排入松花江，河流全长108.1km。主要接收城市污水、工业废水和降雨及洪水。安肇新河水质常年为地表水劣Ⅴ类。</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2）库里泡基本情况及历史沿革</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库里泡位于黑龙江省大庆市的东南部，大同区老山头乡，松花江北岸，大同与肇州交界处。库里泡所在地区的地质构造属松辽盆地的一部分，地区为浅洼地，地貌类型属松花江、嫩江冲积一级阶地，属乌裕尔河、双阳河冲积泛滥低平原区，海拔130-160m。库里泡流域呈枣核状，南北长16km，东西最宽处</w:t>
      </w:r>
      <w:r>
        <w:rPr>
          <w:rFonts w:hint="eastAsia" w:ascii="Times New Roman" w:hAnsi="Times New Roman" w:eastAsia="宋体" w:cs="Times New Roman"/>
          <w:color w:val="auto"/>
          <w:spacing w:val="24"/>
          <w:sz w:val="24"/>
          <w:szCs w:val="24"/>
          <w:highlight w:val="none"/>
          <w:lang w:val="en-US" w:eastAsia="zh-CN"/>
        </w:rPr>
        <w:t>5</w:t>
      </w:r>
      <w:r>
        <w:rPr>
          <w:rFonts w:hint="default" w:ascii="Times New Roman" w:hAnsi="Times New Roman" w:eastAsia="宋体" w:cs="Times New Roman"/>
          <w:color w:val="auto"/>
          <w:spacing w:val="24"/>
          <w:sz w:val="24"/>
          <w:szCs w:val="24"/>
          <w:highlight w:val="none"/>
          <w:lang w:val="en-US" w:eastAsia="zh-CN"/>
        </w:rPr>
        <w:t>km，水深浅不一，北浅南深，最深处4m，最浅处0.5m，是串联在安肇新河下游较大的泡沼泄洪区，通过安肇新河主干渠容纳大庆市污水，出水水质为劣Ⅴ类，外泄洪水由古恰闸口入松花江。</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库里泡地表水水体恶劣主要由于安肇新河上游输入性污染占比较大，排放大量的生活和工业污水进入泡沼，超出了泡沼的自然降解能力，常年累月的污染，沉积物污染负荷严重，农业面源污染严重。</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（3）</w:t>
      </w:r>
      <w:r>
        <w:rPr>
          <w:rFonts w:hint="default" w:ascii="Times New Roman" w:hAnsi="Times New Roman" w:eastAsia="宋体" w:cs="Times New Roman"/>
          <w:color w:val="auto"/>
          <w:spacing w:val="24"/>
          <w:sz w:val="24"/>
          <w:szCs w:val="24"/>
          <w:highlight w:val="none"/>
          <w:lang w:val="en-US" w:eastAsia="zh-CN"/>
        </w:rPr>
        <w:t>陆生生态现状调查</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①陆生植物</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项目占地范围内用地现状以水域为主</w:t>
      </w:r>
      <w:r>
        <w:rPr>
          <w:rFonts w:hint="eastAsia" w:ascii="Times New Roman" w:hAnsi="Times New Roman" w:eastAsia="宋体" w:cs="Times New Roman"/>
          <w:color w:val="auto"/>
          <w:spacing w:val="24"/>
          <w:sz w:val="24"/>
          <w:szCs w:val="24"/>
          <w:highlight w:val="none"/>
          <w:lang w:val="en-US" w:eastAsia="zh-CN"/>
        </w:rPr>
        <w:t>，</w:t>
      </w:r>
      <w:r>
        <w:rPr>
          <w:rFonts w:hint="default" w:ascii="Times New Roman" w:hAnsi="Times New Roman" w:eastAsia="宋体" w:cs="Times New Roman"/>
          <w:color w:val="auto"/>
          <w:spacing w:val="24"/>
          <w:sz w:val="24"/>
          <w:szCs w:val="24"/>
          <w:highlight w:val="none"/>
          <w:lang w:val="en-US" w:eastAsia="zh-CN"/>
        </w:rPr>
        <w:t>陆域呈</w:t>
      </w:r>
      <w:r>
        <w:rPr>
          <w:rFonts w:hint="eastAsia" w:ascii="Times New Roman" w:hAnsi="Times New Roman" w:eastAsia="宋体" w:cs="Times New Roman"/>
          <w:color w:val="auto"/>
          <w:spacing w:val="24"/>
          <w:sz w:val="24"/>
          <w:szCs w:val="24"/>
          <w:highlight w:val="none"/>
          <w:lang w:val="en-US" w:eastAsia="zh-CN"/>
        </w:rPr>
        <w:t>条带</w:t>
      </w:r>
      <w:r>
        <w:rPr>
          <w:rFonts w:hint="default" w:ascii="Times New Roman" w:hAnsi="Times New Roman" w:eastAsia="宋体" w:cs="Times New Roman"/>
          <w:color w:val="auto"/>
          <w:spacing w:val="24"/>
          <w:sz w:val="24"/>
          <w:szCs w:val="24"/>
          <w:highlight w:val="none"/>
          <w:lang w:val="en-US" w:eastAsia="zh-CN"/>
        </w:rPr>
        <w:t>状，主要为组成</w:t>
      </w:r>
      <w:r>
        <w:rPr>
          <w:rFonts w:hint="eastAsia" w:ascii="Times New Roman" w:hAnsi="Times New Roman" w:eastAsia="宋体" w:cs="Times New Roman"/>
          <w:color w:val="auto"/>
          <w:spacing w:val="24"/>
          <w:sz w:val="24"/>
          <w:szCs w:val="24"/>
          <w:highlight w:val="none"/>
          <w:lang w:val="en-US" w:eastAsia="zh-CN"/>
        </w:rPr>
        <w:t>为</w:t>
      </w:r>
      <w:r>
        <w:rPr>
          <w:rFonts w:hint="default" w:ascii="Times New Roman" w:hAnsi="Times New Roman" w:eastAsia="宋体" w:cs="Times New Roman"/>
          <w:color w:val="auto"/>
          <w:spacing w:val="24"/>
          <w:sz w:val="24"/>
          <w:szCs w:val="24"/>
          <w:highlight w:val="none"/>
          <w:lang w:val="en-US" w:eastAsia="zh-CN"/>
        </w:rPr>
        <w:t>荒地</w:t>
      </w:r>
      <w:r>
        <w:rPr>
          <w:rFonts w:hint="eastAsia" w:ascii="Times New Roman" w:hAnsi="Times New Roman" w:eastAsia="宋体" w:cs="Times New Roman"/>
          <w:color w:val="auto"/>
          <w:spacing w:val="24"/>
          <w:sz w:val="24"/>
          <w:szCs w:val="24"/>
          <w:highlight w:val="none"/>
          <w:lang w:val="en-US" w:eastAsia="zh-CN"/>
        </w:rPr>
        <w:t>及少量草本植物。</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草本植物主要</w:t>
      </w:r>
      <w:r>
        <w:rPr>
          <w:rFonts w:hint="eastAsia" w:ascii="Times New Roman" w:hAnsi="Times New Roman" w:eastAsia="宋体" w:cs="Times New Roman"/>
          <w:color w:val="auto"/>
          <w:spacing w:val="24"/>
          <w:sz w:val="24"/>
          <w:szCs w:val="24"/>
          <w:highlight w:val="none"/>
          <w:lang w:val="en-US" w:eastAsia="zh-CN"/>
        </w:rPr>
        <w:t>为羊草、野古草、隐子草、星星草、碱茅、芦苇、胡枝子等。占地及生态调查范围内无国家重要保护植物。</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②陆生动物</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根据2017-2019年</w:t>
      </w:r>
      <w:r>
        <w:rPr>
          <w:rFonts w:hint="eastAsia" w:ascii="Times New Roman" w:hAnsi="Times New Roman" w:eastAsia="宋体" w:cs="Times New Roman"/>
          <w:color w:val="auto"/>
          <w:spacing w:val="24"/>
          <w:sz w:val="24"/>
          <w:szCs w:val="24"/>
          <w:highlight w:val="none"/>
          <w:lang w:val="en-US" w:eastAsia="zh-CN"/>
        </w:rPr>
        <w:t>大庆</w:t>
      </w:r>
      <w:r>
        <w:rPr>
          <w:rFonts w:hint="default" w:ascii="Times New Roman" w:hAnsi="Times New Roman" w:eastAsia="宋体" w:cs="Times New Roman"/>
          <w:color w:val="auto"/>
          <w:spacing w:val="24"/>
          <w:sz w:val="24"/>
          <w:szCs w:val="24"/>
          <w:highlight w:val="none"/>
          <w:lang w:val="en-US" w:eastAsia="zh-CN"/>
        </w:rPr>
        <w:t>市野生动物普查</w:t>
      </w:r>
      <w:r>
        <w:rPr>
          <w:rFonts w:hint="eastAsia" w:ascii="Times New Roman" w:hAnsi="Times New Roman" w:eastAsia="宋体" w:cs="Times New Roman"/>
          <w:color w:val="auto"/>
          <w:spacing w:val="24"/>
          <w:sz w:val="24"/>
          <w:szCs w:val="24"/>
          <w:highlight w:val="none"/>
          <w:lang w:val="en-US" w:eastAsia="zh-CN"/>
        </w:rPr>
        <w:t>，安肇新河入库里泡排口区域，</w:t>
      </w:r>
      <w:r>
        <w:rPr>
          <w:rFonts w:hint="default" w:ascii="Times New Roman" w:hAnsi="Times New Roman" w:eastAsia="宋体" w:cs="Times New Roman"/>
          <w:color w:val="auto"/>
          <w:spacing w:val="24"/>
          <w:sz w:val="24"/>
          <w:szCs w:val="24"/>
          <w:highlight w:val="none"/>
          <w:lang w:val="en-US" w:eastAsia="zh-CN"/>
        </w:rPr>
        <w:t>共记录到两栖动物物种</w:t>
      </w:r>
      <w:r>
        <w:rPr>
          <w:rFonts w:hint="eastAsia" w:ascii="Times New Roman" w:hAnsi="Times New Roman" w:eastAsia="宋体" w:cs="Times New Roman"/>
          <w:color w:val="auto"/>
          <w:spacing w:val="24"/>
          <w:sz w:val="24"/>
          <w:szCs w:val="24"/>
          <w:highlight w:val="none"/>
          <w:lang w:val="en-US" w:eastAsia="zh-CN"/>
        </w:rPr>
        <w:t>3</w:t>
      </w:r>
      <w:r>
        <w:rPr>
          <w:rFonts w:hint="default" w:ascii="Times New Roman" w:hAnsi="Times New Roman" w:eastAsia="宋体" w:cs="Times New Roman"/>
          <w:color w:val="auto"/>
          <w:spacing w:val="24"/>
          <w:sz w:val="24"/>
          <w:szCs w:val="24"/>
          <w:highlight w:val="none"/>
          <w:lang w:val="en-US" w:eastAsia="zh-CN"/>
        </w:rPr>
        <w:t>种，累计记录两栖动物个体数量大于100只；鸟类58种，累计数量超过2000只个体；哺乳动物5种，累计数量为40。调查数量仅代表调查地点抽样调</w:t>
      </w:r>
      <w:r>
        <w:rPr>
          <w:rFonts w:hint="eastAsia" w:ascii="Times New Roman" w:hAnsi="Times New Roman" w:eastAsia="宋体" w:cs="Times New Roman"/>
          <w:color w:val="auto"/>
          <w:spacing w:val="24"/>
          <w:sz w:val="24"/>
          <w:szCs w:val="24"/>
          <w:highlight w:val="none"/>
          <w:lang w:val="en-US" w:eastAsia="zh-CN"/>
        </w:rPr>
        <w:t>，</w:t>
      </w:r>
      <w:r>
        <w:rPr>
          <w:rFonts w:hint="default" w:ascii="Times New Roman" w:hAnsi="Times New Roman" w:eastAsia="宋体" w:cs="Times New Roman"/>
          <w:color w:val="auto"/>
          <w:spacing w:val="24"/>
          <w:sz w:val="24"/>
          <w:szCs w:val="24"/>
          <w:highlight w:val="none"/>
          <w:lang w:val="en-US" w:eastAsia="zh-CN"/>
        </w:rPr>
        <w:t>查记录到的动物数量，不等于实际潜在动物数量</w:t>
      </w:r>
      <w:r>
        <w:rPr>
          <w:rFonts w:hint="eastAsia" w:ascii="Times New Roman" w:hAnsi="Times New Roman" w:eastAsia="宋体" w:cs="Times New Roman"/>
          <w:color w:val="auto"/>
          <w:spacing w:val="24"/>
          <w:sz w:val="24"/>
          <w:szCs w:val="24"/>
          <w:highlight w:val="none"/>
          <w:lang w:val="en-US" w:eastAsia="zh-CN"/>
        </w:rPr>
        <w:t>。</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③动物区系及种类组成</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评价区地处</w:t>
      </w:r>
      <w:r>
        <w:rPr>
          <w:rFonts w:hint="eastAsia" w:ascii="Times New Roman" w:hAnsi="Times New Roman" w:eastAsia="宋体" w:cs="Times New Roman"/>
          <w:color w:val="auto"/>
          <w:spacing w:val="24"/>
          <w:sz w:val="24"/>
          <w:szCs w:val="24"/>
          <w:highlight w:val="none"/>
          <w:lang w:val="en-US" w:eastAsia="zh-CN"/>
        </w:rPr>
        <w:t>松嫩平原，</w:t>
      </w:r>
      <w:r>
        <w:rPr>
          <w:rFonts w:hint="default" w:ascii="Times New Roman" w:hAnsi="Times New Roman" w:eastAsia="宋体" w:cs="Times New Roman"/>
          <w:color w:val="auto"/>
          <w:spacing w:val="24"/>
          <w:sz w:val="24"/>
          <w:szCs w:val="24"/>
          <w:highlight w:val="none"/>
          <w:lang w:val="en-US" w:eastAsia="zh-CN"/>
        </w:rPr>
        <w:t>生态地理动物群属草地-农田动物群。本区彼此间无显著的自然障碍，故本区特有种类不多，南北类型相混杂和过渡现象成为本区动物区系的主要特色。</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根据</w:t>
      </w:r>
      <w:r>
        <w:rPr>
          <w:rFonts w:hint="eastAsia" w:ascii="Times New Roman" w:hAnsi="Times New Roman" w:eastAsia="宋体" w:cs="Times New Roman"/>
          <w:color w:val="auto"/>
          <w:spacing w:val="24"/>
          <w:sz w:val="24"/>
          <w:szCs w:val="24"/>
          <w:highlight w:val="none"/>
          <w:lang w:val="en-US" w:eastAsia="zh-CN"/>
        </w:rPr>
        <w:t>大庆</w:t>
      </w:r>
      <w:r>
        <w:rPr>
          <w:rFonts w:hint="default" w:ascii="Times New Roman" w:hAnsi="Times New Roman" w:eastAsia="宋体" w:cs="Times New Roman"/>
          <w:color w:val="auto"/>
          <w:spacing w:val="24"/>
          <w:sz w:val="24"/>
          <w:szCs w:val="24"/>
          <w:highlight w:val="none"/>
          <w:lang w:val="en-US" w:eastAsia="zh-CN"/>
        </w:rPr>
        <w:t>市</w:t>
      </w:r>
      <w:r>
        <w:rPr>
          <w:rFonts w:hint="eastAsia" w:ascii="Times New Roman" w:hAnsi="Times New Roman" w:eastAsia="宋体" w:cs="Times New Roman"/>
          <w:color w:val="auto"/>
          <w:spacing w:val="24"/>
          <w:sz w:val="24"/>
          <w:szCs w:val="24"/>
          <w:highlight w:val="none"/>
          <w:lang w:val="en-US" w:eastAsia="zh-CN"/>
        </w:rPr>
        <w:t>资源局</w:t>
      </w:r>
      <w:r>
        <w:rPr>
          <w:rFonts w:hint="default" w:ascii="Times New Roman" w:hAnsi="Times New Roman" w:eastAsia="宋体" w:cs="Times New Roman"/>
          <w:color w:val="auto"/>
          <w:spacing w:val="24"/>
          <w:sz w:val="24"/>
          <w:szCs w:val="24"/>
          <w:highlight w:val="none"/>
          <w:lang w:val="en-US" w:eastAsia="zh-CN"/>
        </w:rPr>
        <w:t>动物资源名录分析，评价区共记录陆生脊椎动物4纲16目39科72种。其中以鸟纲种数最多，占陆生脊椎动物种数的80.6%。两栖纲、爬行纲、兽纲种数较少，这与本区受人类活动的影响相关。未记录到大型动物。</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从陆生动物区系成分分析，评价区陆生脊椎动物以东洋种共21种，占评价区总种数的29.2%；古北种21种，占评价区总种数的29.2%；广布种30种，占评价区总种数的41.6%。评价区陆生动物区系特征不明显，这与区内鸟类种数占绝对优势有关，鸟类和兽类的迁徙能力较强，出现了古北界成分向东洋界渗透的趋势。两栖类和爬行类以东洋种为主，此结果与其迁移能力不强相关。</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两栖类</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1）</w:t>
      </w:r>
      <w:r>
        <w:rPr>
          <w:rFonts w:hint="default" w:ascii="Times New Roman" w:hAnsi="Times New Roman" w:eastAsia="宋体" w:cs="Times New Roman"/>
          <w:color w:val="auto"/>
          <w:spacing w:val="24"/>
          <w:sz w:val="24"/>
          <w:szCs w:val="24"/>
          <w:highlight w:val="none"/>
          <w:lang w:val="en-US" w:eastAsia="zh-CN"/>
        </w:rPr>
        <w:t>物种组成</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评价区内共记录两栖动物1目3科</w:t>
      </w:r>
      <w:r>
        <w:rPr>
          <w:rFonts w:hint="eastAsia" w:ascii="Times New Roman" w:hAnsi="Times New Roman" w:eastAsia="宋体" w:cs="Times New Roman"/>
          <w:color w:val="auto"/>
          <w:spacing w:val="24"/>
          <w:sz w:val="24"/>
          <w:szCs w:val="24"/>
          <w:highlight w:val="none"/>
          <w:lang w:val="en-US" w:eastAsia="zh-CN"/>
        </w:rPr>
        <w:t>3</w:t>
      </w:r>
      <w:r>
        <w:rPr>
          <w:rFonts w:hint="default" w:ascii="Times New Roman" w:hAnsi="Times New Roman" w:eastAsia="宋体" w:cs="Times New Roman"/>
          <w:color w:val="auto"/>
          <w:spacing w:val="24"/>
          <w:sz w:val="24"/>
          <w:szCs w:val="24"/>
          <w:highlight w:val="none"/>
          <w:lang w:val="en-US" w:eastAsia="zh-CN"/>
        </w:rPr>
        <w:t>种，分别为中华蟾蜍、泽陆蛙、沼水蛙</w:t>
      </w:r>
      <w:r>
        <w:rPr>
          <w:rFonts w:hint="eastAsia" w:ascii="Times New Roman" w:hAnsi="Times New Roman" w:eastAsia="宋体" w:cs="Times New Roman"/>
          <w:color w:val="auto"/>
          <w:spacing w:val="24"/>
          <w:sz w:val="24"/>
          <w:szCs w:val="24"/>
          <w:highlight w:val="none"/>
          <w:lang w:val="en-US" w:eastAsia="zh-CN"/>
        </w:rPr>
        <w:t>，</w:t>
      </w:r>
      <w:r>
        <w:rPr>
          <w:rFonts w:hint="default" w:ascii="Times New Roman" w:hAnsi="Times New Roman" w:eastAsia="宋体" w:cs="Times New Roman"/>
          <w:color w:val="auto"/>
          <w:spacing w:val="24"/>
          <w:sz w:val="24"/>
          <w:szCs w:val="24"/>
          <w:highlight w:val="none"/>
          <w:lang w:val="en-US" w:eastAsia="zh-CN"/>
        </w:rPr>
        <w:t>无国家重点保护两栖动物。其中中华蟾蜍、沼水蛙</w:t>
      </w:r>
      <w:r>
        <w:rPr>
          <w:rFonts w:hint="eastAsia" w:ascii="Times New Roman" w:hAnsi="Times New Roman" w:eastAsia="宋体" w:cs="Times New Roman"/>
          <w:color w:val="auto"/>
          <w:spacing w:val="24"/>
          <w:sz w:val="24"/>
          <w:szCs w:val="24"/>
          <w:highlight w:val="none"/>
          <w:lang w:val="en-US" w:eastAsia="zh-CN"/>
        </w:rPr>
        <w:t>，</w:t>
      </w:r>
      <w:r>
        <w:rPr>
          <w:rFonts w:hint="default" w:ascii="Times New Roman" w:hAnsi="Times New Roman" w:eastAsia="宋体" w:cs="Times New Roman"/>
          <w:color w:val="auto"/>
          <w:spacing w:val="24"/>
          <w:sz w:val="24"/>
          <w:szCs w:val="24"/>
          <w:highlight w:val="none"/>
          <w:lang w:val="en-US" w:eastAsia="zh-CN"/>
        </w:rPr>
        <w:t>为评价区常见种。</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2）</w:t>
      </w:r>
      <w:r>
        <w:rPr>
          <w:rFonts w:hint="default" w:ascii="Times New Roman" w:hAnsi="Times New Roman" w:eastAsia="宋体" w:cs="Times New Roman"/>
          <w:color w:val="auto"/>
          <w:spacing w:val="24"/>
          <w:sz w:val="24"/>
          <w:szCs w:val="24"/>
          <w:highlight w:val="none"/>
          <w:lang w:val="en-US" w:eastAsia="zh-CN"/>
        </w:rPr>
        <w:t>区系型</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按区系类型分，评价区两栖类分为东洋种和广布种，无古北界物种。其中东洋种4种，广布种2种，以东洋种占绝对优势。评价区地理位置处于东洋界，两栖类的迁移能力不强。</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3）</w:t>
      </w:r>
      <w:r>
        <w:rPr>
          <w:rFonts w:hint="default" w:ascii="Times New Roman" w:hAnsi="Times New Roman" w:eastAsia="宋体" w:cs="Times New Roman"/>
          <w:color w:val="auto"/>
          <w:spacing w:val="24"/>
          <w:sz w:val="24"/>
          <w:szCs w:val="24"/>
          <w:highlight w:val="none"/>
          <w:lang w:val="en-US" w:eastAsia="zh-CN"/>
        </w:rPr>
        <w:t>生态类型</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依据两栖类成体的主要栖息地，综合考虑产卵、蝌蚪及其幼体生活的水域状态，评价区内的两栖类可分为静水型、流水型、陆栖-静水型、陆栖-流水型等生态类型。</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4）</w:t>
      </w:r>
      <w:r>
        <w:rPr>
          <w:rFonts w:hint="default" w:ascii="Times New Roman" w:hAnsi="Times New Roman" w:eastAsia="宋体" w:cs="Times New Roman"/>
          <w:color w:val="auto"/>
          <w:spacing w:val="24"/>
          <w:sz w:val="24"/>
          <w:szCs w:val="24"/>
          <w:highlight w:val="none"/>
          <w:lang w:val="en-US" w:eastAsia="zh-CN"/>
        </w:rPr>
        <w:t>鸟类</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项目区域内</w:t>
      </w:r>
      <w:r>
        <w:rPr>
          <w:rFonts w:hint="default" w:ascii="Times New Roman" w:hAnsi="Times New Roman" w:eastAsia="宋体" w:cs="Times New Roman"/>
          <w:color w:val="auto"/>
          <w:spacing w:val="24"/>
          <w:sz w:val="24"/>
          <w:szCs w:val="24"/>
          <w:highlight w:val="none"/>
          <w:lang w:val="en-US" w:eastAsia="zh-CN"/>
        </w:rPr>
        <w:t>鸟类主要为村栖型等伴人鸟类，如喜鹊、小嘴乌鸦、麻雀、家燕等。</w:t>
      </w:r>
      <w:r>
        <w:rPr>
          <w:rFonts w:hint="eastAsia" w:ascii="Times New Roman" w:hAnsi="Times New Roman" w:eastAsia="宋体" w:cs="Times New Roman"/>
          <w:color w:val="auto"/>
          <w:spacing w:val="24"/>
          <w:sz w:val="24"/>
          <w:szCs w:val="24"/>
          <w:highlight w:val="none"/>
          <w:lang w:val="en-US" w:eastAsia="zh-CN"/>
        </w:rPr>
        <w:t>无国家重点保护及濒危野生鸟类。</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（4）</w:t>
      </w:r>
      <w:r>
        <w:rPr>
          <w:rFonts w:hint="default" w:ascii="Times New Roman" w:hAnsi="Times New Roman" w:eastAsia="宋体" w:cs="Times New Roman"/>
          <w:color w:val="auto"/>
          <w:spacing w:val="24"/>
          <w:sz w:val="24"/>
          <w:szCs w:val="24"/>
          <w:highlight w:val="none"/>
          <w:lang w:val="en-US" w:eastAsia="zh-CN"/>
        </w:rPr>
        <w:t>水生生态现状调查</w:t>
      </w: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①水生植物</w:t>
      </w:r>
    </w:p>
    <w:p>
      <w:pPr>
        <w:numPr>
          <w:ilvl w:val="0"/>
          <w:numId w:val="0"/>
        </w:numPr>
        <w:spacing w:before="2" w:line="385" w:lineRule="auto"/>
        <w:ind w:right="70" w:rightChars="0" w:firstLine="576" w:firstLineChars="200"/>
        <w:jc w:val="both"/>
        <w:rPr>
          <w:rFonts w:hint="eastAsia"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本项目位于</w:t>
      </w:r>
      <w:r>
        <w:rPr>
          <w:rFonts w:hint="eastAsia" w:ascii="Times New Roman" w:hAnsi="Times New Roman" w:eastAsia="宋体" w:cs="Times New Roman"/>
          <w:color w:val="auto"/>
          <w:spacing w:val="24"/>
          <w:sz w:val="24"/>
          <w:szCs w:val="24"/>
          <w:highlight w:val="none"/>
          <w:lang w:val="en-US" w:eastAsia="zh-CN"/>
        </w:rPr>
        <w:t>安肇新河入库里泡排口上游左侧岸边处，原为低洼地带天然形成的河塘及荒草地。安肇新河有少量的</w:t>
      </w:r>
      <w:r>
        <w:rPr>
          <w:rFonts w:hint="default" w:ascii="Times New Roman" w:hAnsi="Times New Roman" w:eastAsia="宋体" w:cs="Times New Roman"/>
          <w:color w:val="auto"/>
          <w:spacing w:val="24"/>
          <w:sz w:val="24"/>
          <w:szCs w:val="24"/>
          <w:highlight w:val="none"/>
          <w:lang w:val="en-US" w:eastAsia="zh-CN"/>
        </w:rPr>
        <w:t>挺水植物</w:t>
      </w:r>
      <w:r>
        <w:rPr>
          <w:rFonts w:hint="eastAsia" w:ascii="Times New Roman" w:hAnsi="Times New Roman" w:eastAsia="宋体" w:cs="Times New Roman"/>
          <w:color w:val="auto"/>
          <w:spacing w:val="24"/>
          <w:sz w:val="24"/>
          <w:szCs w:val="24"/>
          <w:highlight w:val="none"/>
          <w:lang w:val="en-US" w:eastAsia="zh-CN"/>
        </w:rPr>
        <w:t>，无</w:t>
      </w:r>
      <w:r>
        <w:rPr>
          <w:rFonts w:hint="default" w:ascii="Times New Roman" w:hAnsi="Times New Roman" w:eastAsia="宋体" w:cs="Times New Roman"/>
          <w:color w:val="auto"/>
          <w:spacing w:val="24"/>
          <w:sz w:val="24"/>
          <w:szCs w:val="24"/>
          <w:highlight w:val="none"/>
          <w:lang w:val="en-US" w:eastAsia="zh-CN"/>
        </w:rPr>
        <w:t>沉水植物</w:t>
      </w:r>
      <w:r>
        <w:rPr>
          <w:rFonts w:hint="eastAsia" w:ascii="Times New Roman" w:hAnsi="Times New Roman" w:eastAsia="宋体" w:cs="Times New Roman"/>
          <w:color w:val="auto"/>
          <w:spacing w:val="24"/>
          <w:sz w:val="24"/>
          <w:szCs w:val="24"/>
          <w:highlight w:val="none"/>
          <w:lang w:val="en-US" w:eastAsia="zh-CN"/>
        </w:rPr>
        <w:t>。</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挺水植物</w:t>
      </w:r>
      <w:r>
        <w:rPr>
          <w:rFonts w:hint="eastAsia" w:ascii="Times New Roman" w:hAnsi="Times New Roman" w:eastAsia="宋体" w:cs="Times New Roman"/>
          <w:color w:val="auto"/>
          <w:spacing w:val="24"/>
          <w:sz w:val="24"/>
          <w:szCs w:val="24"/>
          <w:highlight w:val="none"/>
          <w:lang w:val="en-US" w:eastAsia="zh-CN"/>
        </w:rPr>
        <w:t>种类为</w:t>
      </w:r>
      <w:r>
        <w:rPr>
          <w:rFonts w:hint="default" w:ascii="Times New Roman" w:hAnsi="Times New Roman" w:eastAsia="宋体" w:cs="Times New Roman"/>
          <w:color w:val="auto"/>
          <w:spacing w:val="24"/>
          <w:sz w:val="24"/>
          <w:szCs w:val="24"/>
          <w:highlight w:val="none"/>
          <w:lang w:val="en-US" w:eastAsia="zh-CN"/>
        </w:rPr>
        <w:t>芦苇</w:t>
      </w:r>
      <w:r>
        <w:rPr>
          <w:rFonts w:hint="eastAsia" w:ascii="Times New Roman" w:hAnsi="Times New Roman" w:eastAsia="宋体" w:cs="Times New Roman"/>
          <w:color w:val="auto"/>
          <w:spacing w:val="24"/>
          <w:sz w:val="24"/>
          <w:szCs w:val="24"/>
          <w:highlight w:val="none"/>
          <w:lang w:val="en-US" w:eastAsia="zh-CN"/>
        </w:rPr>
        <w:t>、</w:t>
      </w:r>
      <w:r>
        <w:rPr>
          <w:rFonts w:hint="default" w:ascii="Times New Roman" w:hAnsi="Times New Roman" w:eastAsia="宋体" w:cs="Times New Roman"/>
          <w:color w:val="auto"/>
          <w:spacing w:val="24"/>
          <w:sz w:val="24"/>
          <w:szCs w:val="24"/>
          <w:highlight w:val="none"/>
          <w:lang w:val="en-US" w:eastAsia="zh-CN"/>
        </w:rPr>
        <w:t>芦竹</w:t>
      </w:r>
      <w:r>
        <w:rPr>
          <w:rFonts w:hint="eastAsia" w:ascii="Times New Roman" w:hAnsi="Times New Roman" w:eastAsia="宋体" w:cs="Times New Roman"/>
          <w:color w:val="auto"/>
          <w:spacing w:val="24"/>
          <w:sz w:val="24"/>
          <w:szCs w:val="24"/>
          <w:highlight w:val="none"/>
          <w:lang w:val="en-US" w:eastAsia="zh-CN"/>
        </w:rPr>
        <w:t>及</w:t>
      </w:r>
      <w:r>
        <w:rPr>
          <w:rFonts w:hint="default" w:ascii="Times New Roman" w:hAnsi="Times New Roman" w:eastAsia="宋体" w:cs="Times New Roman"/>
          <w:color w:val="auto"/>
          <w:spacing w:val="24"/>
          <w:sz w:val="24"/>
          <w:szCs w:val="24"/>
          <w:highlight w:val="none"/>
          <w:lang w:val="en-US" w:eastAsia="zh-CN"/>
        </w:rPr>
        <w:t>水葱</w:t>
      </w:r>
      <w:r>
        <w:rPr>
          <w:rFonts w:hint="eastAsia" w:ascii="Times New Roman" w:hAnsi="Times New Roman" w:eastAsia="宋体" w:cs="Times New Roman"/>
          <w:color w:val="auto"/>
          <w:spacing w:val="24"/>
          <w:sz w:val="24"/>
          <w:szCs w:val="24"/>
          <w:highlight w:val="none"/>
          <w:lang w:val="en-US" w:eastAsia="zh-CN"/>
        </w:rPr>
        <w:t>，为大庆常见的禾本科芦苇属植物，不属于国家重要保护物种。</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②浮游微生物</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根据</w:t>
      </w:r>
      <w:r>
        <w:rPr>
          <w:rFonts w:hint="eastAsia" w:ascii="Times New Roman" w:hAnsi="Times New Roman" w:eastAsia="宋体" w:cs="Times New Roman"/>
          <w:color w:val="auto"/>
          <w:spacing w:val="24"/>
          <w:sz w:val="24"/>
          <w:szCs w:val="24"/>
          <w:highlight w:val="none"/>
          <w:lang w:val="en-US" w:eastAsia="zh-CN"/>
        </w:rPr>
        <w:t>2019年安肇新河及库里泡</w:t>
      </w:r>
      <w:r>
        <w:rPr>
          <w:rFonts w:hint="default" w:ascii="Times New Roman" w:hAnsi="Times New Roman" w:eastAsia="宋体" w:cs="Times New Roman"/>
          <w:color w:val="auto"/>
          <w:spacing w:val="24"/>
          <w:sz w:val="24"/>
          <w:szCs w:val="24"/>
          <w:highlight w:val="none"/>
          <w:lang w:val="en-US" w:eastAsia="zh-CN"/>
        </w:rPr>
        <w:t>水体微生物多样性观测成果，2018年度采集</w:t>
      </w:r>
      <w:r>
        <w:rPr>
          <w:rFonts w:hint="eastAsia" w:ascii="Times New Roman" w:hAnsi="Times New Roman" w:eastAsia="宋体" w:cs="Times New Roman"/>
          <w:color w:val="auto"/>
          <w:spacing w:val="24"/>
          <w:sz w:val="24"/>
          <w:szCs w:val="24"/>
          <w:highlight w:val="none"/>
          <w:lang w:val="en-US" w:eastAsia="zh-CN"/>
        </w:rPr>
        <w:t>250</w:t>
      </w:r>
      <w:r>
        <w:rPr>
          <w:rFonts w:hint="default" w:ascii="Times New Roman" w:hAnsi="Times New Roman" w:eastAsia="宋体" w:cs="Times New Roman"/>
          <w:color w:val="auto"/>
          <w:spacing w:val="24"/>
          <w:sz w:val="24"/>
          <w:szCs w:val="24"/>
          <w:highlight w:val="none"/>
          <w:lang w:val="en-US" w:eastAsia="zh-CN"/>
        </w:rPr>
        <w:t>万余条浮游微生物信息，涉及5835个物种，筛选得到</w:t>
      </w:r>
      <w:r>
        <w:rPr>
          <w:rFonts w:hint="eastAsia" w:ascii="Times New Roman" w:hAnsi="Times New Roman" w:eastAsia="宋体" w:cs="Times New Roman"/>
          <w:color w:val="auto"/>
          <w:spacing w:val="24"/>
          <w:sz w:val="24"/>
          <w:szCs w:val="24"/>
          <w:highlight w:val="none"/>
          <w:lang w:val="en-US" w:eastAsia="zh-CN"/>
        </w:rPr>
        <w:t>安肇新河及库里泡</w:t>
      </w:r>
      <w:r>
        <w:rPr>
          <w:rFonts w:hint="default" w:ascii="Times New Roman" w:hAnsi="Times New Roman" w:eastAsia="宋体" w:cs="Times New Roman"/>
          <w:color w:val="auto"/>
          <w:spacing w:val="24"/>
          <w:sz w:val="24"/>
          <w:szCs w:val="24"/>
          <w:highlight w:val="none"/>
          <w:lang w:val="en-US" w:eastAsia="zh-CN"/>
        </w:rPr>
        <w:t>水体浮游微生物优势物种458个。</w:t>
      </w:r>
    </w:p>
    <w:p>
      <w:pPr>
        <w:pStyle w:val="8"/>
        <w:rPr>
          <w:rFonts w:hint="default"/>
          <w:color w:val="auto"/>
          <w:highlight w:val="none"/>
          <w:lang w:val="en-US" w:eastAsia="zh-CN"/>
        </w:rPr>
      </w:pPr>
    </w:p>
    <w:p>
      <w:pPr>
        <w:numPr>
          <w:ilvl w:val="0"/>
          <w:numId w:val="0"/>
        </w:numPr>
        <w:spacing w:before="2" w:line="385" w:lineRule="auto"/>
        <w:ind w:right="70" w:rightChars="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③浮游植物、底栖动物、鱼类及养殖业</w:t>
      </w:r>
    </w:p>
    <w:p>
      <w:pPr>
        <w:numPr>
          <w:ilvl w:val="0"/>
          <w:numId w:val="0"/>
        </w:numPr>
        <w:spacing w:before="2" w:line="385" w:lineRule="auto"/>
        <w:ind w:right="70" w:rightChars="0" w:firstLine="576" w:firstLineChars="2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本项目用地现状为低洼地天然形成的河塘及荒草地，河塘与安肇新河不相通；安肇新河及库里泡水体中主要鱼类有葛氏鲈塘鳢、柳根鱼、鲤科动物似鲌及板黄鱼，主要以经济性鱼类为主，无珍稀保护和濒危鱼类分布，无固定鱼类的越冬场、产卵场、索饵场等“三场”。</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且安肇新河及库里泡水体常年为地表水劣Ⅴ类，无食用价值。</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安肇新河及库里泡内</w:t>
      </w:r>
      <w:r>
        <w:rPr>
          <w:rFonts w:hint="default" w:ascii="Times New Roman" w:hAnsi="Times New Roman" w:eastAsia="宋体" w:cs="Times New Roman"/>
          <w:color w:val="auto"/>
          <w:spacing w:val="24"/>
          <w:sz w:val="24"/>
          <w:szCs w:val="24"/>
          <w:highlight w:val="none"/>
          <w:lang w:val="en-US" w:eastAsia="zh-CN"/>
        </w:rPr>
        <w:t>常见的浮游植物有其中绿藻</w:t>
      </w:r>
      <w:r>
        <w:rPr>
          <w:rFonts w:hint="eastAsia" w:ascii="Times New Roman" w:hAnsi="Times New Roman" w:eastAsia="宋体" w:cs="Times New Roman"/>
          <w:color w:val="auto"/>
          <w:spacing w:val="24"/>
          <w:sz w:val="24"/>
          <w:szCs w:val="24"/>
          <w:highlight w:val="none"/>
          <w:lang w:val="en-US" w:eastAsia="zh-CN"/>
        </w:rPr>
        <w:t>及</w:t>
      </w:r>
      <w:r>
        <w:rPr>
          <w:rFonts w:hint="default" w:ascii="Times New Roman" w:hAnsi="Times New Roman" w:eastAsia="宋体" w:cs="Times New Roman"/>
          <w:color w:val="auto"/>
          <w:spacing w:val="24"/>
          <w:sz w:val="24"/>
          <w:szCs w:val="24"/>
          <w:highlight w:val="none"/>
          <w:lang w:val="en-US" w:eastAsia="zh-CN"/>
        </w:rPr>
        <w:t>硅藻等。常见的底栖动物主要包括腹足类、双壳类、颤蚓类、摇蚊幼虫等，其中腹足类和双壳类的生物量在区域占优势地位。</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697" w:name="_Toc24497"/>
      <w:r>
        <w:rPr>
          <w:rFonts w:hint="default" w:ascii="Times New Roman" w:hAnsi="Times New Roman" w:eastAsia="宋体" w:cs="Times New Roman"/>
          <w:snapToGrid/>
          <w:color w:val="auto"/>
          <w:sz w:val="32"/>
          <w:highlight w:val="none"/>
          <w:lang w:val="en-US" w:eastAsia="zh-CN" w:bidi="ar-SA"/>
        </w:rPr>
        <w:t>4.</w:t>
      </w:r>
      <w:r>
        <w:rPr>
          <w:rFonts w:hint="eastAsia" w:ascii="Times New Roman" w:hAnsi="Times New Roman" w:eastAsia="宋体" w:cs="Times New Roman"/>
          <w:snapToGrid/>
          <w:color w:val="auto"/>
          <w:sz w:val="32"/>
          <w:highlight w:val="none"/>
          <w:lang w:val="en-US" w:eastAsia="zh-CN" w:bidi="ar-SA"/>
        </w:rPr>
        <w:t>3</w:t>
      </w:r>
      <w:r>
        <w:rPr>
          <w:rFonts w:hint="default" w:ascii="Times New Roman" w:hAnsi="Times New Roman" w:eastAsia="宋体" w:cs="Times New Roman"/>
          <w:snapToGrid/>
          <w:color w:val="auto"/>
          <w:sz w:val="32"/>
          <w:highlight w:val="none"/>
          <w:lang w:val="en-US" w:eastAsia="zh-CN" w:bidi="ar-SA"/>
        </w:rPr>
        <w:t>区域污染源调查与评价</w:t>
      </w:r>
      <w:bookmarkEnd w:id="697"/>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经现场勘查，项目用地现状为天然形成的河塘及荒草地，南侧及北侧为河塘，东侧为一般草地，西侧紧邻安肇新河，距离最近村屯为进场道路南侧的277m的新立屯散户，周围附近</w:t>
      </w:r>
      <w:r>
        <w:rPr>
          <w:rFonts w:hint="default" w:ascii="Times New Roman" w:hAnsi="Times New Roman" w:eastAsia="宋体" w:cs="Times New Roman"/>
          <w:color w:val="auto"/>
          <w:spacing w:val="24"/>
          <w:sz w:val="24"/>
          <w:szCs w:val="24"/>
          <w:highlight w:val="none"/>
          <w:lang w:val="en-US" w:eastAsia="zh-CN"/>
        </w:rPr>
        <w:t>不存在大型污染企业。</w:t>
      </w:r>
      <w:r>
        <w:rPr>
          <w:rFonts w:hint="default" w:ascii="Times New Roman" w:hAnsi="Times New Roman" w:eastAsia="宋体" w:cs="Times New Roman"/>
          <w:color w:val="auto"/>
          <w:spacing w:val="24"/>
          <w:sz w:val="24"/>
          <w:szCs w:val="24"/>
          <w:highlight w:val="none"/>
          <w:lang w:val="en-US" w:eastAsia="zh-CN"/>
        </w:rPr>
        <w:br w:type="page"/>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698" w:name="_Toc17963"/>
      <w:bookmarkStart w:id="699" w:name="_Toc22225"/>
      <w:r>
        <w:rPr>
          <w:rFonts w:hint="default" w:ascii="Times New Roman" w:hAnsi="Times New Roman" w:eastAsia="宋体" w:cs="Times New Roman"/>
          <w:snapToGrid/>
          <w:color w:val="auto"/>
          <w:sz w:val="32"/>
          <w:highlight w:val="none"/>
          <w:lang w:val="en-US" w:eastAsia="zh-CN" w:bidi="ar-SA"/>
        </w:rPr>
        <w:t>5环境影响预测与评价</w:t>
      </w:r>
      <w:bookmarkEnd w:id="698"/>
      <w:bookmarkEnd w:id="699"/>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00" w:name="_Toc7879"/>
      <w:r>
        <w:rPr>
          <w:rFonts w:hint="default" w:ascii="Times New Roman" w:hAnsi="Times New Roman" w:eastAsia="宋体" w:cs="Times New Roman"/>
          <w:snapToGrid/>
          <w:color w:val="auto"/>
          <w:sz w:val="32"/>
          <w:highlight w:val="none"/>
          <w:lang w:val="en-US" w:eastAsia="zh-CN" w:bidi="ar-SA"/>
        </w:rPr>
        <w:t>5.1施工期环境影响预测与评价</w:t>
      </w:r>
      <w:bookmarkEnd w:id="700"/>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01" w:name="_Toc4502"/>
      <w:r>
        <w:rPr>
          <w:rFonts w:hint="default" w:ascii="Times New Roman" w:hAnsi="Times New Roman" w:eastAsia="宋体" w:cs="Times New Roman"/>
          <w:snapToGrid/>
          <w:color w:val="auto"/>
          <w:sz w:val="32"/>
          <w:highlight w:val="none"/>
          <w:lang w:val="en-US" w:eastAsia="zh-CN" w:bidi="ar-SA"/>
        </w:rPr>
        <w:t>5.1.1施工期大气环境影响预测与评价</w:t>
      </w:r>
      <w:bookmarkEnd w:id="701"/>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施工期大气污染物主要来自土壤平整、开挖时产生的粉尘，其次有施工车辆、挖土机等燃油燃烧时排放的SO2、NO</w:t>
      </w: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、CO、烃类等污染物，但最为突出的是施工粉尘</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以扬尘为主</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扬尘</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①道路运输扬尘</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施工期间，</w:t>
      </w:r>
      <w:r>
        <w:rPr>
          <w:rFonts w:hint="eastAsia" w:ascii="Times New Roman" w:hAnsi="Times New Roman" w:eastAsia="宋体" w:cs="Times New Roman"/>
          <w:caps w:val="0"/>
          <w:smallCaps w:val="0"/>
          <w:color w:val="auto"/>
          <w:spacing w:val="0"/>
          <w:w w:val="100"/>
          <w:kern w:val="0"/>
          <w:sz w:val="24"/>
          <w:szCs w:val="24"/>
          <w:highlight w:val="none"/>
          <w:lang w:val="en-US" w:eastAsia="zh-CN"/>
        </w:rPr>
        <w:t>土壤及建材运输车辆</w:t>
      </w:r>
      <w:r>
        <w:rPr>
          <w:rFonts w:hint="default" w:ascii="Times New Roman" w:hAnsi="Times New Roman" w:eastAsia="宋体" w:cs="Times New Roman"/>
          <w:caps w:val="0"/>
          <w:smallCaps w:val="0"/>
          <w:color w:val="auto"/>
          <w:spacing w:val="0"/>
          <w:w w:val="100"/>
          <w:kern w:val="0"/>
          <w:sz w:val="24"/>
          <w:szCs w:val="24"/>
          <w:highlight w:val="none"/>
          <w:lang w:val="en-US" w:eastAsia="zh-CN"/>
        </w:rPr>
        <w:t>在行驶过程中，可能有少量物料洒落进入空气中，另外车辆通过未铺衬路面或落有较多尘土的路面时会有路面二次扬尘产生，从而对运输道路两侧的局部区域造成一定程度的粉尘污染。在施工过程中，车辆行驶产生的扬尘量占扬尘总量的60%以上。车辆在行驶过程中产生的扬尘，在完全干燥的情况下，可按下列经验公式计算：</w:t>
      </w:r>
    </w:p>
    <w:p>
      <w:pPr>
        <w:numPr>
          <w:ilvl w:val="0"/>
          <w:numId w:val="0"/>
        </w:numPr>
        <w:spacing w:before="2" w:line="385" w:lineRule="auto"/>
        <w:ind w:right="70" w:rightChars="0" w:firstLine="576" w:firstLineChars="200"/>
        <w:jc w:val="both"/>
        <w:rPr>
          <w:rFonts w:hint="eastAsia" w:ascii="Times New Roman" w:hAnsi="Times New Roman" w:eastAsia="宋体" w:cs="Times New Roman"/>
          <w:color w:val="auto"/>
          <w:spacing w:val="24"/>
          <w:sz w:val="24"/>
          <w:szCs w:val="24"/>
          <w:highlight w:val="none"/>
          <w:vertAlign w:val="superscript"/>
          <w:lang w:val="en-US" w:eastAsia="zh-CN"/>
        </w:rPr>
      </w:pPr>
      <w:r>
        <w:rPr>
          <w:rFonts w:hint="default" w:ascii="Times New Roman" w:hAnsi="Times New Roman" w:eastAsia="宋体" w:cs="Times New Roman"/>
          <w:color w:val="auto"/>
          <w:spacing w:val="24"/>
          <w:sz w:val="24"/>
          <w:szCs w:val="24"/>
          <w:highlight w:val="none"/>
          <w:lang w:val="en-US" w:eastAsia="zh-CN"/>
        </w:rPr>
        <w:t>Q=0.123(V/5)(W/6.8</w:t>
      </w:r>
      <w:r>
        <w:rPr>
          <w:rFonts w:hint="default" w:ascii="Times New Roman" w:hAnsi="Times New Roman" w:eastAsia="宋体" w:cs="Times New Roman"/>
          <w:color w:val="auto"/>
          <w:spacing w:val="24"/>
          <w:sz w:val="24"/>
          <w:szCs w:val="24"/>
          <w:highlight w:val="none"/>
          <w:vertAlign w:val="baseline"/>
          <w:lang w:val="en-US" w:eastAsia="zh-CN"/>
        </w:rPr>
        <w:t>)</w:t>
      </w:r>
      <w:r>
        <w:rPr>
          <w:rFonts w:hint="default" w:ascii="Times New Roman" w:hAnsi="Times New Roman" w:eastAsia="宋体" w:cs="Times New Roman"/>
          <w:color w:val="auto"/>
          <w:spacing w:val="24"/>
          <w:sz w:val="24"/>
          <w:szCs w:val="24"/>
          <w:highlight w:val="none"/>
          <w:vertAlign w:val="superscript"/>
          <w:lang w:val="en-US" w:eastAsia="zh-CN"/>
        </w:rPr>
        <w:t>0.85</w:t>
      </w:r>
      <w:r>
        <w:rPr>
          <w:rFonts w:hint="default" w:ascii="Times New Roman" w:hAnsi="Times New Roman" w:eastAsia="宋体" w:cs="Times New Roman"/>
          <w:color w:val="auto"/>
          <w:spacing w:val="24"/>
          <w:sz w:val="24"/>
          <w:szCs w:val="24"/>
          <w:highlight w:val="none"/>
          <w:lang w:val="en-US" w:eastAsia="zh-CN"/>
        </w:rPr>
        <w:t>(P/0.5)</w:t>
      </w:r>
      <w:r>
        <w:rPr>
          <w:rFonts w:hint="default" w:ascii="Times New Roman" w:hAnsi="Times New Roman" w:eastAsia="宋体" w:cs="Times New Roman"/>
          <w:color w:val="auto"/>
          <w:spacing w:val="24"/>
          <w:sz w:val="24"/>
          <w:szCs w:val="24"/>
          <w:highlight w:val="none"/>
          <w:vertAlign w:val="superscript"/>
          <w:lang w:val="en-US" w:eastAsia="zh-CN"/>
        </w:rPr>
        <w:t>0.75</w:t>
      </w:r>
      <w:r>
        <w:rPr>
          <w:rFonts w:hint="eastAsia" w:ascii="Times New Roman" w:hAnsi="Times New Roman" w:eastAsia="宋体" w:cs="Times New Roman"/>
          <w:color w:val="auto"/>
          <w:spacing w:val="24"/>
          <w:sz w:val="24"/>
          <w:szCs w:val="24"/>
          <w:highlight w:val="none"/>
          <w:vertAlign w:val="superscript"/>
          <w:lang w:val="en-US" w:eastAsia="zh-CN"/>
        </w:rPr>
        <w:t xml:space="preserve"> </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式中：Q—汽车行驶的扬尘，Kg/km·辆；</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V—汽车速度，Km/hr；</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W—汽车载重量，吨；</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P—道路表面粉尘量，kg/m2。</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下表为一辆10吨卡车，通过一段长度为1km的路面时，不同路面清洁程度，不同行驶速度情况下的扬尘量，由此可见，在同样路面清洁程度条件下，车速越快，扬尘量越大；而在同样车速情况下，路面越脏，则扬尘量越大。因此限制车辆行驶速度及保持路面清洁是减少汽车扬尘的最有效手段。</w:t>
      </w:r>
    </w:p>
    <w:p>
      <w:pPr>
        <w:pStyle w:val="8"/>
        <w:rPr>
          <w:rFonts w:hint="default" w:ascii="Times New Roman" w:hAnsi="Times New Roman" w:eastAsia="宋体" w:cs="Times New Roman"/>
          <w:b/>
          <w:bCs/>
          <w:smallCaps w:val="0"/>
          <w:color w:val="auto"/>
          <w:spacing w:val="0"/>
          <w:w w:val="100"/>
          <w:kern w:val="0"/>
          <w:sz w:val="24"/>
          <w:szCs w:val="24"/>
          <w:highlight w:val="none"/>
          <w:lang w:val="en-US" w:eastAsia="zh-CN" w:bidi="ar"/>
        </w:rPr>
      </w:pPr>
      <w:r>
        <w:rPr>
          <w:rFonts w:hint="default" w:ascii="Times New Roman" w:hAnsi="Times New Roman" w:eastAsia="宋体" w:cs="Times New Roman"/>
          <w:b/>
          <w:bCs/>
          <w:smallCaps w:val="0"/>
          <w:color w:val="auto"/>
          <w:spacing w:val="0"/>
          <w:w w:val="100"/>
          <w:kern w:val="0"/>
          <w:sz w:val="24"/>
          <w:szCs w:val="24"/>
          <w:highlight w:val="none"/>
          <w:lang w:val="en-US" w:eastAsia="zh-CN" w:bidi="ar"/>
        </w:rPr>
        <w:t>表 5.1-1    在不同车速和地面清洁程度的汽车扬尘    单位：kg/辆·km</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94"/>
        <w:gridCol w:w="1243"/>
        <w:gridCol w:w="1215"/>
        <w:gridCol w:w="1216"/>
        <w:gridCol w:w="1216"/>
        <w:gridCol w:w="1216"/>
        <w:gridCol w:w="121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94" w:type="dxa"/>
            <w:vMerge w:val="restart"/>
            <w:tcBorders>
              <w:tl2br w:val="nil"/>
              <w:tr2bl w:val="nil"/>
            </w:tcBorders>
            <w:vAlign w:val="center"/>
          </w:tcPr>
          <w:p>
            <w:pPr>
              <w:widowControl/>
              <w:spacing w:line="360" w:lineRule="exact"/>
              <w:jc w:val="right"/>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粉尘量</w:t>
            </w:r>
          </w:p>
          <w:p>
            <w:pPr>
              <w:widowControl/>
              <w:spacing w:line="360" w:lineRule="exact"/>
              <w:jc w:val="left"/>
              <w:rPr>
                <w:rFonts w:hint="default"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车速</w:t>
            </w:r>
          </w:p>
        </w:tc>
        <w:tc>
          <w:tcPr>
            <w:tcW w:w="12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w:t>
            </w:r>
          </w:p>
        </w:tc>
        <w:tc>
          <w:tcPr>
            <w:tcW w:w="121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94" w:type="dxa"/>
            <w:vMerge w:val="continue"/>
            <w:tcBorders>
              <w:tl2br w:val="nil"/>
              <w:tr2bl w:val="nil"/>
            </w:tcBorders>
            <w:vAlign w:val="center"/>
          </w:tcPr>
          <w:p>
            <w:pPr>
              <w:widowControl/>
              <w:spacing w:line="360" w:lineRule="exact"/>
              <w:jc w:val="center"/>
              <w:rPr>
                <w:rFonts w:hint="default" w:ascii="Times New Roman" w:hAnsi="Times New Roman" w:cs="Times New Roman"/>
                <w:smallCaps w:val="0"/>
                <w:color w:val="auto"/>
                <w:spacing w:val="0"/>
                <w:w w:val="100"/>
                <w:sz w:val="21"/>
                <w:szCs w:val="21"/>
                <w:highlight w:val="none"/>
                <w:lang w:val="en-US" w:eastAsia="zh-CN"/>
              </w:rPr>
            </w:pPr>
          </w:p>
        </w:tc>
        <w:tc>
          <w:tcPr>
            <w:tcW w:w="12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(kg/m2)</w:t>
            </w:r>
          </w:p>
        </w:tc>
        <w:tc>
          <w:tcPr>
            <w:tcW w:w="121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(kg/m2)</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(kg/m2)</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(kg/m2)</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(kg/m2)</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(kg/m2)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5(km/h)</w:t>
            </w:r>
          </w:p>
        </w:tc>
        <w:tc>
          <w:tcPr>
            <w:tcW w:w="12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0.0511</w:t>
            </w:r>
          </w:p>
        </w:tc>
        <w:tc>
          <w:tcPr>
            <w:tcW w:w="121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0.0859</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0.1164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0.1444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0.1707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0.2871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10(km/h)</w:t>
            </w:r>
          </w:p>
        </w:tc>
        <w:tc>
          <w:tcPr>
            <w:tcW w:w="12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0.1021</w:t>
            </w:r>
          </w:p>
        </w:tc>
        <w:tc>
          <w:tcPr>
            <w:tcW w:w="121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0.1707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0.2328</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0.2888</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0.3414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0.5702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15(km/h)</w:t>
            </w:r>
          </w:p>
        </w:tc>
        <w:tc>
          <w:tcPr>
            <w:tcW w:w="12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0.1532</w:t>
            </w:r>
          </w:p>
        </w:tc>
        <w:tc>
          <w:tcPr>
            <w:tcW w:w="121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0.2576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0.3491</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0.4332</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0.5121</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0.8610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19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25(km/h)</w:t>
            </w:r>
          </w:p>
        </w:tc>
        <w:tc>
          <w:tcPr>
            <w:tcW w:w="12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0.2553</w:t>
            </w:r>
          </w:p>
        </w:tc>
        <w:tc>
          <w:tcPr>
            <w:tcW w:w="121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0.4293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0.5819</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0.7220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0.8536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1.4355</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如果项目在施工阶段对汽车行驶路面勤洒水，可以使空气中粉尘量减少70%左右，能收到很好的抑尘效果。洒水试验结果如下表。当施工场地洒水频率为4~5次/天时，扬尘造成的TSP污染距离可缩小到20~50m范围内。</w:t>
      </w:r>
    </w:p>
    <w:p>
      <w:pPr>
        <w:pStyle w:val="8"/>
        <w:rPr>
          <w:rFonts w:hint="default" w:ascii="Times New Roman" w:hAnsi="Times New Roman" w:eastAsia="宋体" w:cs="Times New Roman"/>
          <w:b/>
          <w:bCs/>
          <w:smallCaps w:val="0"/>
          <w:color w:val="auto"/>
          <w:spacing w:val="0"/>
          <w:w w:val="100"/>
          <w:kern w:val="0"/>
          <w:sz w:val="24"/>
          <w:szCs w:val="24"/>
          <w:highlight w:val="none"/>
          <w:lang w:val="en-US" w:eastAsia="zh-CN" w:bidi="ar"/>
        </w:rPr>
      </w:pPr>
      <w:r>
        <w:rPr>
          <w:rFonts w:hint="default" w:ascii="Times New Roman" w:hAnsi="Times New Roman" w:eastAsia="宋体" w:cs="Times New Roman"/>
          <w:b/>
          <w:bCs/>
          <w:smallCaps w:val="0"/>
          <w:color w:val="auto"/>
          <w:spacing w:val="0"/>
          <w:w w:val="100"/>
          <w:kern w:val="0"/>
          <w:sz w:val="24"/>
          <w:szCs w:val="24"/>
          <w:highlight w:val="none"/>
          <w:lang w:val="en-US" w:eastAsia="zh-CN" w:bidi="ar"/>
        </w:rPr>
        <w:t>表 5.1-2    施工阶段使用洒水车降尘试验结果</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19"/>
        <w:gridCol w:w="1419"/>
        <w:gridCol w:w="1419"/>
        <w:gridCol w:w="1419"/>
        <w:gridCol w:w="1419"/>
        <w:gridCol w:w="141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38" w:type="dxa"/>
            <w:gridSpan w:val="2"/>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距路边距离(m)</w:t>
            </w:r>
          </w:p>
        </w:tc>
        <w:tc>
          <w:tcPr>
            <w:tcW w:w="1419"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w:t>
            </w:r>
          </w:p>
        </w:tc>
        <w:tc>
          <w:tcPr>
            <w:tcW w:w="1419"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w:t>
            </w:r>
          </w:p>
        </w:tc>
        <w:tc>
          <w:tcPr>
            <w:tcW w:w="1419"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50</w:t>
            </w:r>
          </w:p>
        </w:tc>
        <w:tc>
          <w:tcPr>
            <w:tcW w:w="1419"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vMerge w:val="restart"/>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TSP浓度(mg/m3)</w:t>
            </w:r>
          </w:p>
        </w:tc>
        <w:tc>
          <w:tcPr>
            <w:tcW w:w="1419"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不洒水</w:t>
            </w:r>
          </w:p>
        </w:tc>
        <w:tc>
          <w:tcPr>
            <w:tcW w:w="1419"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10.14</w:t>
            </w:r>
          </w:p>
        </w:tc>
        <w:tc>
          <w:tcPr>
            <w:tcW w:w="1419"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2.810</w:t>
            </w:r>
          </w:p>
        </w:tc>
        <w:tc>
          <w:tcPr>
            <w:tcW w:w="1419"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1.15</w:t>
            </w:r>
          </w:p>
        </w:tc>
        <w:tc>
          <w:tcPr>
            <w:tcW w:w="1419"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0.86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419" w:type="dxa"/>
            <w:vMerge w:val="continue"/>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419"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洒水</w:t>
            </w:r>
          </w:p>
        </w:tc>
        <w:tc>
          <w:tcPr>
            <w:tcW w:w="1419"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2.11</w:t>
            </w:r>
          </w:p>
        </w:tc>
        <w:tc>
          <w:tcPr>
            <w:tcW w:w="1419"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1.40</w:t>
            </w:r>
          </w:p>
        </w:tc>
        <w:tc>
          <w:tcPr>
            <w:tcW w:w="1419"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0.68</w:t>
            </w:r>
          </w:p>
        </w:tc>
        <w:tc>
          <w:tcPr>
            <w:tcW w:w="1419" w:type="dxa"/>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0.60</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上述结果表明，有效的洒水抑尘可以使施工扬尘在20-50m的距离内达到《大气污染物综合排放标准》（GB16297-1996）中表2无组织排放监控浓度限值</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在此范围内洒水降尘效率在40-50%，有效降低了施工现场的扬尘污染程度。由此可以看出，在不洒水的情况下，扬尘的影响距离在50~100m之间。在洒水的情况下，其影响距离在35~40m之间。距离项目最近的敏感点为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进场道路南侧的新立屯散户，相对距离277m。</w:t>
      </w:r>
      <w:r>
        <w:rPr>
          <w:rFonts w:hint="default" w:ascii="Times New Roman" w:hAnsi="Times New Roman" w:eastAsia="宋体" w:cs="Times New Roman"/>
          <w:caps w:val="0"/>
          <w:smallCaps w:val="0"/>
          <w:color w:val="auto"/>
          <w:spacing w:val="0"/>
          <w:w w:val="100"/>
          <w:kern w:val="0"/>
          <w:sz w:val="24"/>
          <w:szCs w:val="24"/>
          <w:highlight w:val="none"/>
          <w:lang w:val="en-US" w:eastAsia="zh-CN"/>
        </w:rPr>
        <w:t>采取洒水抑尘等措施后对敏感点的影响很小。</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物料运输车辆引起的扬尘影响距离在35~40m之间，运输道路两侧居民亦会受到扬尘的影响。运输路线，充分利用永久性高规格公路；运输通过临时性道路或土路时，实施现场车辆速度控制；不需要的建筑材料弃渣应及时运走，不宜长时间堆积。提前规划好运输车辆的运行线路与时间，尽量避免在交通集中区和居民住宅区等敏感区行驶。</w:t>
      </w:r>
      <w:r>
        <w:rPr>
          <w:rFonts w:hint="eastAsia" w:ascii="Times New Roman" w:hAnsi="Times New Roman" w:eastAsia="宋体" w:cs="Times New Roman"/>
          <w:caps w:val="0"/>
          <w:smallCaps w:val="0"/>
          <w:color w:val="auto"/>
          <w:spacing w:val="0"/>
          <w:w w:val="100"/>
          <w:kern w:val="0"/>
          <w:sz w:val="24"/>
          <w:szCs w:val="24"/>
          <w:highlight w:val="none"/>
          <w:lang w:val="en-US" w:eastAsia="zh-CN"/>
        </w:rPr>
        <w:t>运输车辆</w:t>
      </w:r>
      <w:r>
        <w:rPr>
          <w:rFonts w:hint="default" w:ascii="Times New Roman" w:hAnsi="Times New Roman" w:eastAsia="宋体" w:cs="Times New Roman"/>
          <w:caps w:val="0"/>
          <w:smallCaps w:val="0"/>
          <w:color w:val="auto"/>
          <w:spacing w:val="0"/>
          <w:w w:val="100"/>
          <w:kern w:val="0"/>
          <w:sz w:val="24"/>
          <w:szCs w:val="24"/>
          <w:highlight w:val="none"/>
          <w:lang w:val="en-US" w:eastAsia="zh-CN"/>
        </w:rPr>
        <w:t>用帆布覆盖。</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②堆场扬尘</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施工扬尘的另一个主要来源是露天堆场和裸露场地的风力扬尘。由于施工需要，一些建筑材料露天堆放，</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一些</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施工作业</w:t>
      </w:r>
      <w:r>
        <w:rPr>
          <w:rFonts w:hint="eastAsia" w:ascii="Times New Roman" w:hAnsi="Times New Roman" w:eastAsia="宋体" w:cs="Times New Roman"/>
          <w:caps w:val="0"/>
          <w:smallCaps w:val="0"/>
          <w:color w:val="auto"/>
          <w:spacing w:val="0"/>
          <w:w w:val="100"/>
          <w:kern w:val="0"/>
          <w:sz w:val="24"/>
          <w:szCs w:val="24"/>
          <w:highlight w:val="none"/>
          <w:lang w:val="en-US" w:eastAsia="zh-CN"/>
        </w:rPr>
        <w:t>区域需外购土进行填土施工。堆放在土方临时堆放场，河塘底泥清挖后，堆放在临时底泥晾晒场，进行简单的脱水，因底泥中水分较大，且晾晒时间较短，产生的扬尘量较小。</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建筑材料、</w:t>
      </w:r>
      <w:r>
        <w:rPr>
          <w:rFonts w:hint="default" w:ascii="Times New Roman" w:hAnsi="Times New Roman" w:eastAsia="宋体" w:cs="Times New Roman"/>
          <w:caps w:val="0"/>
          <w:smallCaps w:val="0"/>
          <w:color w:val="auto"/>
          <w:spacing w:val="0"/>
          <w:w w:val="100"/>
          <w:kern w:val="0"/>
          <w:sz w:val="24"/>
          <w:szCs w:val="24"/>
          <w:highlight w:val="none"/>
          <w:lang w:val="en-US" w:eastAsia="zh-CN"/>
        </w:rPr>
        <w:t>裸露场地</w:t>
      </w:r>
      <w:r>
        <w:rPr>
          <w:rFonts w:hint="eastAsia" w:ascii="Times New Roman" w:hAnsi="Times New Roman" w:eastAsia="宋体" w:cs="Times New Roman"/>
          <w:caps w:val="0"/>
          <w:smallCaps w:val="0"/>
          <w:color w:val="auto"/>
          <w:spacing w:val="0"/>
          <w:w w:val="100"/>
          <w:kern w:val="0"/>
          <w:sz w:val="24"/>
          <w:szCs w:val="24"/>
          <w:highlight w:val="none"/>
          <w:lang w:val="en-US" w:eastAsia="zh-CN"/>
        </w:rPr>
        <w:t>及临时土方堆放场</w:t>
      </w:r>
      <w:r>
        <w:rPr>
          <w:rFonts w:hint="default" w:ascii="Times New Roman" w:hAnsi="Times New Roman" w:eastAsia="宋体" w:cs="Times New Roman"/>
          <w:caps w:val="0"/>
          <w:smallCaps w:val="0"/>
          <w:color w:val="auto"/>
          <w:spacing w:val="0"/>
          <w:w w:val="100"/>
          <w:kern w:val="0"/>
          <w:sz w:val="24"/>
          <w:szCs w:val="24"/>
          <w:highlight w:val="none"/>
          <w:lang w:val="en-US" w:eastAsia="zh-CN"/>
        </w:rPr>
        <w:t>在气候干燥又有风的情况下，会产生扬尘，其扬尘量可按堆场起尘经验公式计算：</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Q=2.1(V50</w:t>
      </w:r>
      <w:r>
        <w:rPr>
          <w:rFonts w:hint="eastAsia" w:ascii="Times New Roman" w:hAnsi="Times New Roman" w:eastAsia="宋体" w:cs="Times New Roman"/>
          <w:color w:val="auto"/>
          <w:spacing w:val="24"/>
          <w:sz w:val="24"/>
          <w:szCs w:val="24"/>
          <w:highlight w:val="none"/>
          <w:lang w:val="en-US" w:eastAsia="zh-CN"/>
        </w:rPr>
        <w:t>—</w:t>
      </w:r>
      <w:r>
        <w:rPr>
          <w:rFonts w:hint="default" w:ascii="Times New Roman" w:hAnsi="Times New Roman" w:eastAsia="宋体" w:cs="Times New Roman"/>
          <w:color w:val="auto"/>
          <w:spacing w:val="24"/>
          <w:sz w:val="24"/>
          <w:szCs w:val="24"/>
          <w:highlight w:val="none"/>
          <w:lang w:val="en-US" w:eastAsia="zh-CN"/>
        </w:rPr>
        <w:t>V0)</w:t>
      </w:r>
      <w:r>
        <w:rPr>
          <w:rFonts w:hint="default" w:ascii="Times New Roman" w:hAnsi="Times New Roman" w:eastAsia="宋体" w:cs="Times New Roman"/>
          <w:color w:val="auto"/>
          <w:spacing w:val="24"/>
          <w:sz w:val="24"/>
          <w:szCs w:val="24"/>
          <w:highlight w:val="none"/>
          <w:vertAlign w:val="superscript"/>
          <w:lang w:val="en-US" w:eastAsia="zh-CN"/>
        </w:rPr>
        <w:t>3</w:t>
      </w:r>
      <w:r>
        <w:rPr>
          <w:rFonts w:hint="default" w:ascii="Times New Roman" w:hAnsi="Times New Roman" w:eastAsia="宋体" w:cs="Times New Roman"/>
          <w:color w:val="auto"/>
          <w:spacing w:val="24"/>
          <w:sz w:val="24"/>
          <w:szCs w:val="24"/>
          <w:highlight w:val="none"/>
          <w:lang w:val="en-US" w:eastAsia="zh-CN"/>
        </w:rPr>
        <w:t>e</w:t>
      </w:r>
      <w:r>
        <w:rPr>
          <w:rFonts w:hint="default" w:ascii="Times New Roman" w:hAnsi="Times New Roman" w:eastAsia="宋体" w:cs="Times New Roman"/>
          <w:color w:val="auto"/>
          <w:spacing w:val="24"/>
          <w:sz w:val="24"/>
          <w:szCs w:val="24"/>
          <w:highlight w:val="none"/>
          <w:vertAlign w:val="superscript"/>
          <w:lang w:val="en-US" w:eastAsia="zh-CN"/>
        </w:rPr>
        <w:t>-1.023W</w:t>
      </w:r>
    </w:p>
    <w:p>
      <w:pPr>
        <w:numPr>
          <w:ilvl w:val="0"/>
          <w:numId w:val="0"/>
        </w:numPr>
        <w:spacing w:before="2" w:line="385" w:lineRule="auto"/>
        <w:ind w:right="70" w:rightChars="0" w:firstLine="576" w:firstLineChars="2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式中：Q—起尘量，kg/吨·年；</w:t>
      </w:r>
    </w:p>
    <w:p>
      <w:pPr>
        <w:numPr>
          <w:ilvl w:val="0"/>
          <w:numId w:val="0"/>
        </w:numPr>
        <w:spacing w:before="2" w:line="385" w:lineRule="auto"/>
        <w:ind w:right="70" w:rightChars="0" w:firstLine="1440" w:firstLineChars="5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V50—距地面50m处风速，m/s；</w:t>
      </w:r>
    </w:p>
    <w:p>
      <w:pPr>
        <w:numPr>
          <w:ilvl w:val="0"/>
          <w:numId w:val="0"/>
        </w:numPr>
        <w:spacing w:before="2" w:line="385" w:lineRule="auto"/>
        <w:ind w:right="70" w:rightChars="0" w:firstLine="1440" w:firstLineChars="5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V0—起尘风速，m/s；</w:t>
      </w:r>
    </w:p>
    <w:p>
      <w:pPr>
        <w:numPr>
          <w:ilvl w:val="0"/>
          <w:numId w:val="0"/>
        </w:numPr>
        <w:spacing w:before="2" w:line="385" w:lineRule="auto"/>
        <w:ind w:right="70" w:rightChars="0" w:firstLine="1440" w:firstLineChars="500"/>
        <w:jc w:val="both"/>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t>W—尘粒的含水率，%。</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起尘风速与粒径和含水率有关，因此，减少露天堆放和保证一定含水率及减少裸露地面是减少风力起尘的有效手段。粉尘在空气中扩散稀释与风速等气象条件有关，也与粉尘本身沉降速度有关。不同粒径粉尘沉降速度见下表。由表可知，粉尘沉降速度随粒径增大而迅速增大。当粒径为250m时，沉降速度为1.005m/s，因此可以认为当尘粒大于250m时，主要影响范围在扬尘点下风向近距离范围内，而真正对外环境产生影响是一些微小粒径的粉尘。</w:t>
      </w: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项目所位于黑龙江省大庆市，常年主导风向为西北风，</w:t>
      </w:r>
      <w:r>
        <w:rPr>
          <w:rFonts w:hint="default" w:ascii="Times New Roman" w:hAnsi="Times New Roman" w:eastAsia="宋体" w:cs="Times New Roman"/>
          <w:caps w:val="0"/>
          <w:smallCaps w:val="0"/>
          <w:color w:val="auto"/>
          <w:spacing w:val="0"/>
          <w:w w:val="100"/>
          <w:kern w:val="0"/>
          <w:sz w:val="24"/>
          <w:szCs w:val="24"/>
          <w:highlight w:val="none"/>
          <w:lang w:val="en-US" w:eastAsia="zh-CN"/>
        </w:rPr>
        <w:t>距离项目最近的东南方向的敏感点为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进场道路南侧277m处新立屯散户，进场道路施工期较短，且施工区域设置围挡，扬尘对其影响较小。</w:t>
      </w:r>
    </w:p>
    <w:p>
      <w:pPr>
        <w:pStyle w:val="8"/>
        <w:rPr>
          <w:rFonts w:hint="default" w:ascii="Times New Roman" w:hAnsi="Times New Roman" w:eastAsia="宋体" w:cs="Times New Roman"/>
          <w:b/>
          <w:bCs/>
          <w:smallCaps w:val="0"/>
          <w:color w:val="auto"/>
          <w:spacing w:val="0"/>
          <w:w w:val="100"/>
          <w:kern w:val="0"/>
          <w:sz w:val="24"/>
          <w:szCs w:val="24"/>
          <w:highlight w:val="none"/>
          <w:lang w:val="en-US" w:eastAsia="zh-CN" w:bidi="ar"/>
        </w:rPr>
      </w:pPr>
      <w:r>
        <w:rPr>
          <w:rFonts w:hint="default" w:ascii="Times New Roman" w:hAnsi="Times New Roman" w:eastAsia="宋体" w:cs="Times New Roman"/>
          <w:b/>
          <w:bCs/>
          <w:smallCaps w:val="0"/>
          <w:color w:val="auto"/>
          <w:spacing w:val="0"/>
          <w:w w:val="100"/>
          <w:kern w:val="0"/>
          <w:sz w:val="24"/>
          <w:szCs w:val="24"/>
          <w:highlight w:val="none"/>
          <w:lang w:val="en-US" w:eastAsia="zh-CN" w:bidi="ar"/>
        </w:rPr>
        <w:t>表 5.1-3    不同粒径尘粒的沉降速度</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64"/>
        <w:gridCol w:w="1064"/>
        <w:gridCol w:w="1064"/>
        <w:gridCol w:w="1064"/>
        <w:gridCol w:w="1065"/>
        <w:gridCol w:w="1065"/>
        <w:gridCol w:w="1065"/>
        <w:gridCol w:w="106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粉尘粒径(m )</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30</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40</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50</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60</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沉降速度(m/s )</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0.003</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0.012</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0.027</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0.048</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0.075</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0.108</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0. 147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粉尘粒径(m )</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80</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90</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100</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150</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200</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250</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沉降速度(m/s )</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0.158</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0.170</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0.182</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0.231</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0.804</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1.005</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1.829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粉尘粒径(m )</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450</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550</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650</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750</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850</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950</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1050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沉降速度(m/s )</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2.211</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2.614</w:t>
            </w:r>
          </w:p>
        </w:tc>
        <w:tc>
          <w:tcPr>
            <w:tcW w:w="106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3.016</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3.418</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3.820</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4.222</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4.624</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结合本项目施工期工程</w:t>
      </w:r>
      <w:r>
        <w:rPr>
          <w:rFonts w:hint="eastAsia" w:ascii="Times New Roman" w:hAnsi="Times New Roman" w:eastAsia="宋体" w:cs="Times New Roman"/>
          <w:caps w:val="0"/>
          <w:smallCaps w:val="0"/>
          <w:color w:val="auto"/>
          <w:spacing w:val="0"/>
          <w:w w:val="100"/>
          <w:kern w:val="0"/>
          <w:sz w:val="24"/>
          <w:szCs w:val="24"/>
          <w:highlight w:val="none"/>
          <w:lang w:val="en-US" w:eastAsia="zh-CN"/>
        </w:rPr>
        <w:t>特点</w:t>
      </w:r>
      <w:r>
        <w:rPr>
          <w:rFonts w:hint="default" w:ascii="Times New Roman" w:hAnsi="Times New Roman" w:eastAsia="宋体" w:cs="Times New Roman"/>
          <w:caps w:val="0"/>
          <w:smallCaps w:val="0"/>
          <w:color w:val="auto"/>
          <w:spacing w:val="0"/>
          <w:w w:val="100"/>
          <w:kern w:val="0"/>
          <w:sz w:val="24"/>
          <w:szCs w:val="24"/>
          <w:highlight w:val="none"/>
          <w:lang w:val="en-US" w:eastAsia="zh-CN"/>
        </w:rPr>
        <w:t>，采取以下措施以减少对周围环境的影响：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场地四周</w:t>
      </w:r>
      <w:r>
        <w:rPr>
          <w:rFonts w:hint="eastAsia" w:ascii="Times New Roman" w:hAnsi="Times New Roman" w:eastAsia="宋体" w:cs="Times New Roman"/>
          <w:caps w:val="0"/>
          <w:smallCaps w:val="0"/>
          <w:color w:val="auto"/>
          <w:spacing w:val="0"/>
          <w:w w:val="100"/>
          <w:kern w:val="0"/>
          <w:sz w:val="24"/>
          <w:szCs w:val="24"/>
          <w:highlight w:val="none"/>
          <w:lang w:val="en-US" w:eastAsia="zh-CN"/>
        </w:rPr>
        <w:t>、土方临时堆放场及底泥晾晒场周围</w:t>
      </w:r>
      <w:r>
        <w:rPr>
          <w:rFonts w:hint="default" w:ascii="Times New Roman" w:hAnsi="Times New Roman" w:eastAsia="宋体" w:cs="Times New Roman"/>
          <w:caps w:val="0"/>
          <w:smallCaps w:val="0"/>
          <w:color w:val="auto"/>
          <w:spacing w:val="0"/>
          <w:w w:val="100"/>
          <w:kern w:val="0"/>
          <w:sz w:val="24"/>
          <w:szCs w:val="24"/>
          <w:highlight w:val="none"/>
          <w:lang w:val="en-US" w:eastAsia="zh-CN"/>
        </w:rPr>
        <w:t>设置全密闭2m高围挡墙。</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施工现场</w:t>
      </w:r>
      <w:r>
        <w:rPr>
          <w:rFonts w:hint="eastAsia" w:ascii="Times New Roman" w:hAnsi="Times New Roman" w:eastAsia="宋体" w:cs="Times New Roman"/>
          <w:caps w:val="0"/>
          <w:smallCaps w:val="0"/>
          <w:color w:val="auto"/>
          <w:spacing w:val="0"/>
          <w:w w:val="100"/>
          <w:kern w:val="0"/>
          <w:sz w:val="24"/>
          <w:szCs w:val="24"/>
          <w:highlight w:val="none"/>
          <w:lang w:val="en-US" w:eastAsia="zh-CN"/>
        </w:rPr>
        <w:t>及底泥晾晒场</w:t>
      </w:r>
      <w:r>
        <w:rPr>
          <w:rFonts w:hint="default" w:ascii="Times New Roman" w:hAnsi="Times New Roman" w:eastAsia="宋体" w:cs="Times New Roman"/>
          <w:caps w:val="0"/>
          <w:smallCaps w:val="0"/>
          <w:color w:val="auto"/>
          <w:spacing w:val="0"/>
          <w:w w:val="100"/>
          <w:kern w:val="0"/>
          <w:sz w:val="24"/>
          <w:szCs w:val="24"/>
          <w:highlight w:val="none"/>
          <w:lang w:val="en-US" w:eastAsia="zh-CN"/>
        </w:rPr>
        <w:t>出入口设置临时排水管道及沉淀池，</w:t>
      </w:r>
      <w:r>
        <w:rPr>
          <w:rFonts w:hint="eastAsia" w:ascii="Times New Roman" w:hAnsi="Times New Roman" w:eastAsia="宋体" w:cs="Times New Roman"/>
          <w:caps w:val="0"/>
          <w:smallCaps w:val="0"/>
          <w:color w:val="auto"/>
          <w:spacing w:val="0"/>
          <w:w w:val="100"/>
          <w:kern w:val="0"/>
          <w:sz w:val="24"/>
          <w:szCs w:val="24"/>
          <w:highlight w:val="none"/>
          <w:lang w:val="en-US" w:eastAsia="zh-CN"/>
        </w:rPr>
        <w:t>底泥出水</w:t>
      </w:r>
      <w:r>
        <w:rPr>
          <w:rFonts w:hint="default" w:ascii="Times New Roman" w:hAnsi="Times New Roman" w:eastAsia="宋体" w:cs="Times New Roman"/>
          <w:caps w:val="0"/>
          <w:smallCaps w:val="0"/>
          <w:color w:val="auto"/>
          <w:spacing w:val="0"/>
          <w:w w:val="100"/>
          <w:kern w:val="0"/>
          <w:sz w:val="24"/>
          <w:szCs w:val="24"/>
          <w:highlight w:val="none"/>
          <w:lang w:val="en-US" w:eastAsia="zh-CN"/>
        </w:rPr>
        <w:t>及雨水经沉淀池沉淀后用于工地洒水抑尘。</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施工过程中使用商品混凝土，禁止现场搅拌。</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建筑垃圾和生活垃圾及时清运到指定地点，不准乱倒。</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运输车辆必须封闭或遮盖，严禁沿路遗撒。</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施工现场出现四级及以上的大风天气时禁止进行土方施工。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7）</w:t>
      </w:r>
      <w:r>
        <w:rPr>
          <w:rFonts w:hint="default" w:ascii="Times New Roman" w:hAnsi="Times New Roman" w:eastAsia="宋体" w:cs="Times New Roman"/>
          <w:caps w:val="0"/>
          <w:smallCaps w:val="0"/>
          <w:color w:val="auto"/>
          <w:spacing w:val="0"/>
          <w:w w:val="100"/>
          <w:kern w:val="0"/>
          <w:sz w:val="24"/>
          <w:szCs w:val="24"/>
          <w:highlight w:val="none"/>
          <w:lang w:val="en-US" w:eastAsia="zh-CN"/>
        </w:rPr>
        <w:t>遇有4级以上大风或重度污染天气时，必须采取扬尘应急措施，严禁土方开挖</w:t>
      </w:r>
      <w:r>
        <w:rPr>
          <w:rFonts w:hint="eastAsia" w:ascii="Times New Roman" w:hAnsi="Times New Roman" w:eastAsia="宋体" w:cs="Times New Roman"/>
          <w:caps w:val="0"/>
          <w:smallCaps w:val="0"/>
          <w:color w:val="auto"/>
          <w:spacing w:val="0"/>
          <w:w w:val="100"/>
          <w:kern w:val="0"/>
          <w:sz w:val="24"/>
          <w:szCs w:val="24"/>
          <w:highlight w:val="none"/>
          <w:lang w:val="en-US" w:eastAsia="zh-CN"/>
        </w:rPr>
        <w:t>及</w:t>
      </w:r>
      <w:r>
        <w:rPr>
          <w:rFonts w:hint="default" w:ascii="Times New Roman" w:hAnsi="Times New Roman" w:eastAsia="宋体" w:cs="Times New Roman"/>
          <w:caps w:val="0"/>
          <w:smallCaps w:val="0"/>
          <w:color w:val="auto"/>
          <w:spacing w:val="0"/>
          <w:w w:val="100"/>
          <w:kern w:val="0"/>
          <w:sz w:val="24"/>
          <w:szCs w:val="24"/>
          <w:highlight w:val="none"/>
          <w:lang w:val="en-US" w:eastAsia="zh-CN"/>
        </w:rPr>
        <w:t>土方回填等作业。</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采取上述措施，施工期产生的扬尘可满足《大气污染物综合排放标准》（GB16297-1996）要求，对周围大气环境的影响可降至最低。</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通过加强管理、切实落实好上述措施，施工场地扬尘对环境的影响将会大大降低，同时其对环境的影响也将随施工的结束而消失，因此本项目采取以上扬尘污染防治措施是可行的，采取上述措施后，本项目施工期扬尘可以得到有效控制，不会对周围环境造成长期、较大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机械和车辆废气</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本项目施工过程用到的施工机械，主要包括挖土机等机械，以柴油为燃料，都会产生一定量废气，</w:t>
      </w:r>
      <w:r>
        <w:rPr>
          <w:rFonts w:hint="eastAsia" w:ascii="Times New Roman" w:hAnsi="Times New Roman" w:eastAsia="宋体" w:cs="Times New Roman"/>
          <w:caps w:val="0"/>
          <w:smallCaps w:val="0"/>
          <w:color w:val="auto"/>
          <w:spacing w:val="0"/>
          <w:w w:val="100"/>
          <w:kern w:val="0"/>
          <w:sz w:val="24"/>
          <w:szCs w:val="24"/>
          <w:highlight w:val="none"/>
          <w:lang w:val="en-US" w:eastAsia="zh-CN"/>
        </w:rPr>
        <w:t>污染物主要为</w:t>
      </w:r>
      <w:r>
        <w:rPr>
          <w:rFonts w:hint="default" w:ascii="Times New Roman" w:hAnsi="Times New Roman" w:eastAsia="宋体" w:cs="Times New Roman"/>
          <w:caps w:val="0"/>
          <w:smallCaps w:val="0"/>
          <w:color w:val="auto"/>
          <w:spacing w:val="0"/>
          <w:w w:val="100"/>
          <w:kern w:val="0"/>
          <w:sz w:val="24"/>
          <w:szCs w:val="24"/>
          <w:highlight w:val="none"/>
          <w:lang w:val="en-US" w:eastAsia="zh-CN"/>
        </w:rPr>
        <w:t>SO2、NO</w:t>
      </w: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CO、烃类等，施工机械相对分散，尾气排放源强不大，表现为间歇性排放特征，且是流动无组织排放，其影响随施工的结束而消失。经类比调查分析，机械废气的影响范围一般在场地周围50m范围内，机械废气产生量较小，污染物浓度低，只要做好各种车辆和设备尾气的监督管理，其环境影响基本不大。</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施工场地汽车尾气对大气环境的影响有如下几个特点：</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车辆在施工场范围内活动，尾气呈面源污染形式；</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汽车排气筒高度较低，尾气扩散范围不大，对周围地区影响较小；</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车辆为非连续行驶状态，污染物排放时间及排放量相对较少。</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一般情况下，在场地内运行的机械及运输车辆的废气污染影响范围仅局限于施工场地内，不影响界外区域。但当车辆进出工地及在外界道路上行驶时，会影响道路两侧约60m的区域。在工程施工期间，使用液体燃料的施工机械及运输车辆的发动机排放的尾气中含有SO2、NO</w:t>
      </w: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、CO、烃类等污染物，一般情况下，这些污染物的排放量不大，对周围环境的影响小。</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02" w:name="_Toc8454"/>
      <w:r>
        <w:rPr>
          <w:rFonts w:hint="default" w:ascii="Times New Roman" w:hAnsi="Times New Roman" w:eastAsia="宋体" w:cs="Times New Roman"/>
          <w:snapToGrid/>
          <w:color w:val="auto"/>
          <w:sz w:val="32"/>
          <w:highlight w:val="none"/>
          <w:lang w:val="en-US" w:eastAsia="zh-CN" w:bidi="ar-SA"/>
        </w:rPr>
        <w:t>5.1.2施工期地表水环境影响预测与评价</w:t>
      </w:r>
      <w:bookmarkEnd w:id="702"/>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项目施工期间产生的废水主要为生活污水、河塘内积水、底泥出水及与含泥沙雨水。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正常情况排水对地表水质影响分析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w:t>
      </w:r>
      <w:r>
        <w:rPr>
          <w:rFonts w:hint="eastAsia" w:ascii="Times New Roman" w:hAnsi="Times New Roman" w:eastAsia="宋体" w:cs="Times New Roman"/>
          <w:caps w:val="0"/>
          <w:smallCaps w:val="0"/>
          <w:color w:val="auto"/>
          <w:spacing w:val="0"/>
          <w:w w:val="100"/>
          <w:kern w:val="0"/>
          <w:sz w:val="24"/>
          <w:szCs w:val="24"/>
          <w:highlight w:val="none"/>
          <w:lang w:val="en-US" w:eastAsia="zh-CN"/>
        </w:rPr>
        <w:t>河塘内积水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占地原为自然形成的河塘，与安肇新河不相连。本次征用河塘为本项目占地。项目计划分区域分阶段施工，当进行其中一块河塘施工时，利用抽水泵及排水管道将积水转移至附近沉淀池进行沉淀，用于场地洒水抑尘。</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②含泥沙雨水及底泥出水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在施工区域、底泥晾晒场及土方临时堆放场周围设置临时排水沟或排水管道；降雨时，利用临时排水沟对雨水进行导排，同时对建筑材料、底泥晾晒场及土方临时堆放场进行遮盖，降低雨水冲刷程度。每天定时对临时堆场进行检查，保证没有物料泄漏，覆盖完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同时底泥出水随排水管道进入临时沉淀池沉淀。</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另外雨水充沛时，项目施工现场的雨水冲刷土方开挖裸露地表可能产生含有泥沙的雨水，主要污染因子为SS。雨水地表径流与施工期间天气状况有较大的关系，难以定量分析。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因此施工期间对施工场地采取围挡措施，场地周围设置雨水截排水沟，并在低洼处设置临时沉淀池等，尽量避免含泥沙雨水直接进入安肇新河内。通过采取上述措施，含泥沙雨水不会安肇新河及库里泡水质造成污染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③生活污水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本项目施工人员生活污水排入临时移动环保旱厕内，定期清掏，外运堆肥。</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（2）非正常情况排水对河流及下游水体水质影响分析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期开挖的地表遇到雨天将被雨水冲刷，泥沙未经沉淀池沉淀随雨水流入安肇新河内。雨水由于SS含量较高，会使区域水体变浑浊，生活污水排入可能会导致安肇新河及库里泡水体富营养化，破坏会破坏水生生态环境，危及水体中水生动植物的生存。为了确保安肇新河及库里泡水质不再继续恶化，环评要求建设单位要严格执行各项环保措施，且应委托相关单位进行监理，将污水防治措施落到实处，做好临时沉淀池雨水收集工作，所用施工机械设备的维修和保养应尽量远离安肇新河，到相关维修点进行，严禁施工现场进行维修，避免机油等泄漏。施工期间严格落实以上措施并加强管理，污水妥善处理，可以确保施工期不会使安肇新河及库里泡水体恶化。</w:t>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color w:val="auto"/>
          <w:sz w:val="32"/>
          <w:highlight w:val="none"/>
          <w:lang w:val="en-US" w:eastAsia="zh-CN" w:bidi="ar-SA"/>
        </w:rPr>
      </w:pPr>
      <w:bookmarkStart w:id="703" w:name="_Toc9041"/>
      <w:r>
        <w:rPr>
          <w:rFonts w:hint="eastAsia" w:ascii="Times New Roman" w:hAnsi="Times New Roman" w:eastAsia="宋体" w:cs="Times New Roman"/>
          <w:snapToGrid/>
          <w:color w:val="auto"/>
          <w:sz w:val="32"/>
          <w:highlight w:val="none"/>
          <w:lang w:val="en-US" w:eastAsia="zh-CN" w:bidi="ar-SA"/>
        </w:rPr>
        <w:t>5.1.3施工期地下水环境影响预测与评价</w:t>
      </w:r>
      <w:bookmarkEnd w:id="703"/>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污染物对地下水的影响主要是其通过降雨或废水排放等途径垂直渗透进入包气带，然后在物理、化学和生物作用下经吸附、转化、迁移和分解后输入地下水。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期对水环境的影响主要是施工废水的排放对地下水的影响。含泥沙雨水主要污染物为悬浮物，生活污水主要污染物为COD和氨氮。含泥沙雨水、河塘内积水及底泥出水经沉淀池沉淀后用于施工场地洒水抑尘，生活污水排入临时移动环保旱厕内，定期清掏，外运堆肥。正常情况，采取以上污水处置措施，对区域地下水环境影响较小。</w:t>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color w:val="auto"/>
          <w:sz w:val="32"/>
          <w:highlight w:val="none"/>
          <w:lang w:val="en-US" w:eastAsia="zh-CN" w:bidi="ar-SA"/>
        </w:rPr>
      </w:pPr>
      <w:bookmarkStart w:id="704" w:name="_Toc4621"/>
      <w:r>
        <w:rPr>
          <w:rFonts w:hint="eastAsia" w:ascii="Times New Roman" w:hAnsi="Times New Roman" w:eastAsia="宋体" w:cs="Times New Roman"/>
          <w:snapToGrid/>
          <w:color w:val="auto"/>
          <w:sz w:val="32"/>
          <w:highlight w:val="none"/>
          <w:lang w:val="en-US" w:eastAsia="zh-CN" w:bidi="ar-SA"/>
        </w:rPr>
        <w:t>5.1.4施工期声环境影响预测与评价</w:t>
      </w:r>
      <w:bookmarkEnd w:id="704"/>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施工期的噪声主要可分为机械噪声、施工作业噪声和施工车辆噪声。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（1）机械噪声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机械噪声主要由施工机械所造成。项目工程施工过程中使用的运输车辆及各种施工机械，如挖掘机、推土机等都是噪声的产生源，其具体噪声源强见表3.5-5。</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依据声源的分布规律及预测点与声源之间的距离，把噪声源简化成点声源，依据已获得的声学数据，利用《环境影响评价技术导则 声环境》(HJ2.4-2021)中推荐的预测模式分别计算各声源对厂界的贡献值。采用点声源衰减模式：</w:t>
      </w:r>
    </w:p>
    <w:p>
      <w:pPr>
        <w:numPr>
          <w:ilvl w:val="0"/>
          <w:numId w:val="0"/>
        </w:numPr>
        <w:spacing w:before="2" w:line="385" w:lineRule="auto"/>
        <w:ind w:right="70" w:rightChars="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A、点源噪声衰减公式如下：</w:t>
      </w:r>
    </w:p>
    <w:p>
      <w:pPr>
        <w:numPr>
          <w:ilvl w:val="0"/>
          <w:numId w:val="0"/>
        </w:numPr>
        <w:spacing w:before="2" w:line="385" w:lineRule="auto"/>
        <w:ind w:right="70" w:rightChars="0" w:firstLine="576" w:firstLineChars="2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LA(r)=LA(r0)-20lg(r/r0)—ΔL</w:t>
      </w:r>
    </w:p>
    <w:p>
      <w:pPr>
        <w:numPr>
          <w:ilvl w:val="0"/>
          <w:numId w:val="0"/>
        </w:numPr>
        <w:spacing w:before="2" w:line="385" w:lineRule="auto"/>
        <w:ind w:right="70" w:rightChars="0" w:firstLine="576" w:firstLineChars="2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式中：LA(r)—距离声源r处的A声级，dB(A)；</w:t>
      </w:r>
    </w:p>
    <w:p>
      <w:pPr>
        <w:numPr>
          <w:ilvl w:val="0"/>
          <w:numId w:val="0"/>
        </w:numPr>
        <w:spacing w:before="2" w:line="385" w:lineRule="auto"/>
        <w:ind w:right="70" w:rightChars="0" w:firstLine="1440" w:firstLineChars="5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LA(r0)—距离声源r0处的A声级，dB(A)；</w:t>
      </w:r>
    </w:p>
    <w:p>
      <w:pPr>
        <w:numPr>
          <w:ilvl w:val="0"/>
          <w:numId w:val="0"/>
        </w:numPr>
        <w:spacing w:before="2" w:line="385" w:lineRule="auto"/>
        <w:ind w:right="70" w:rightChars="0" w:firstLine="1440" w:firstLineChars="5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r—距声源的距离，m；</w:t>
      </w:r>
    </w:p>
    <w:p>
      <w:pPr>
        <w:numPr>
          <w:ilvl w:val="0"/>
          <w:numId w:val="0"/>
        </w:numPr>
        <w:spacing w:before="2" w:line="385" w:lineRule="auto"/>
        <w:ind w:right="70" w:rightChars="0" w:firstLine="1440" w:firstLineChars="500"/>
        <w:jc w:val="both"/>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r0—距声源的距离，m；</w:t>
      </w:r>
    </w:p>
    <w:p>
      <w:pPr>
        <w:keepNext w:val="0"/>
        <w:keepLines w:val="0"/>
        <w:pageBreakBefore w:val="0"/>
        <w:widowControl w:val="0"/>
        <w:kinsoku/>
        <w:wordWrap/>
        <w:overflowPunct/>
        <w:topLinePunct w:val="0"/>
        <w:autoSpaceDE/>
        <w:autoSpaceDN/>
        <w:bidi w:val="0"/>
        <w:adjustRightInd w:val="0"/>
        <w:snapToGrid w:val="0"/>
        <w:spacing w:line="500" w:lineRule="exact"/>
        <w:ind w:firstLine="1440" w:firstLineChars="500"/>
        <w:jc w:val="both"/>
        <w:textAlignment w:val="auto"/>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t>ΔL—各种因素引起的衰减量。</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预测过程中对于屏障衰减只考虑围挡结构造成的传声损失，对空气吸收和其它附加衰减忽略不计。</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B、噪声叠加公式为：</w:t>
      </w:r>
    </w:p>
    <w:p>
      <w:pPr>
        <w:rPr>
          <w:rFonts w:hint="eastAsia"/>
          <w:color w:val="auto"/>
          <w:highlight w:val="none"/>
          <w:lang w:val="en-US" w:eastAsia="zh-CN"/>
        </w:rPr>
      </w:pPr>
      <w:r>
        <w:rPr>
          <w:rFonts w:hint="eastAsia"/>
          <w:color w:val="auto"/>
          <w:highlight w:val="none"/>
          <w:lang w:val="en-US" w:eastAsia="zh-CN"/>
        </w:rPr>
        <w:drawing>
          <wp:inline distT="0" distB="0" distL="114300" distR="114300">
            <wp:extent cx="3619500" cy="695325"/>
            <wp:effectExtent l="0" t="0" r="0" b="9525"/>
            <wp:docPr id="23" name="图片 23" descr="衰减噪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衰减噪声"/>
                    <pic:cNvPicPr>
                      <a:picLocks noChangeAspect="1"/>
                    </pic:cNvPicPr>
                  </pic:nvPicPr>
                  <pic:blipFill>
                    <a:blip r:embed="rId32"/>
                    <a:stretch>
                      <a:fillRect/>
                    </a:stretch>
                  </pic:blipFill>
                  <pic:spPr>
                    <a:xfrm>
                      <a:off x="0" y="0"/>
                      <a:ext cx="3619500" cy="6953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式中：L—总等效声级；</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L1、L2、···、Ln—分别为n个噪声的等效声级。</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估算出的噪声值与距离的衰减关系以及施工机械的噪声影响见下表。</w:t>
      </w:r>
    </w:p>
    <w:p>
      <w:pPr>
        <w:pStyle w:val="8"/>
        <w:rPr>
          <w:rFonts w:hint="eastAsia" w:ascii="Times New Roman" w:hAnsi="Times New Roman" w:eastAsia="宋体" w:cs="Times New Roman"/>
          <w:b/>
          <w:bCs/>
          <w:smallCaps w:val="0"/>
          <w:color w:val="auto"/>
          <w:spacing w:val="0"/>
          <w:w w:val="100"/>
          <w:kern w:val="0"/>
          <w:sz w:val="24"/>
          <w:szCs w:val="24"/>
          <w:highlight w:val="none"/>
          <w:lang w:val="en-US" w:eastAsia="zh-CN" w:bidi="ar"/>
        </w:rPr>
      </w:pPr>
      <w:r>
        <w:rPr>
          <w:rFonts w:hint="eastAsia" w:ascii="Times New Roman" w:hAnsi="Times New Roman" w:eastAsia="宋体" w:cs="Times New Roman"/>
          <w:b/>
          <w:bCs/>
          <w:smallCaps w:val="0"/>
          <w:color w:val="auto"/>
          <w:spacing w:val="0"/>
          <w:w w:val="100"/>
          <w:kern w:val="0"/>
          <w:sz w:val="24"/>
          <w:szCs w:val="24"/>
          <w:highlight w:val="none"/>
          <w:lang w:val="en-US" w:eastAsia="zh-CN" w:bidi="ar"/>
        </w:rPr>
        <w:t>表 5.1-4    噪声值随距离的衰减关系</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80"/>
        <w:gridCol w:w="830"/>
        <w:gridCol w:w="834"/>
        <w:gridCol w:w="834"/>
        <w:gridCol w:w="839"/>
        <w:gridCol w:w="839"/>
        <w:gridCol w:w="840"/>
        <w:gridCol w:w="840"/>
        <w:gridCol w:w="840"/>
        <w:gridCol w:w="84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距离r2/r1(m )</w:t>
            </w:r>
          </w:p>
        </w:tc>
        <w:tc>
          <w:tcPr>
            <w:tcW w:w="85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w:t>
            </w:r>
          </w:p>
        </w:tc>
        <w:tc>
          <w:tcPr>
            <w:tcW w:w="85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10</w:t>
            </w:r>
          </w:p>
        </w:tc>
        <w:tc>
          <w:tcPr>
            <w:tcW w:w="85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50</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100</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150</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200</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250</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400</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△L(dB)</w:t>
            </w:r>
          </w:p>
        </w:tc>
        <w:tc>
          <w:tcPr>
            <w:tcW w:w="85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0</w:t>
            </w:r>
          </w:p>
        </w:tc>
        <w:tc>
          <w:tcPr>
            <w:tcW w:w="85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20</w:t>
            </w:r>
          </w:p>
        </w:tc>
        <w:tc>
          <w:tcPr>
            <w:tcW w:w="85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34</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40</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43</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46</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48</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52</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距离r2/r1(m )</w:t>
            </w:r>
          </w:p>
        </w:tc>
        <w:tc>
          <w:tcPr>
            <w:tcW w:w="85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w:t>
            </w:r>
          </w:p>
        </w:tc>
        <w:tc>
          <w:tcPr>
            <w:tcW w:w="85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10</w:t>
            </w:r>
          </w:p>
        </w:tc>
        <w:tc>
          <w:tcPr>
            <w:tcW w:w="85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50</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100</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150</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200</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250</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400</w:t>
            </w:r>
          </w:p>
        </w:tc>
        <w:tc>
          <w:tcPr>
            <w:tcW w:w="852"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600</w:t>
            </w:r>
          </w:p>
        </w:tc>
      </w:tr>
    </w:tbl>
    <w:p>
      <w:pPr>
        <w:pStyle w:val="8"/>
        <w:rPr>
          <w:rFonts w:hint="eastAsia" w:ascii="Times New Roman" w:hAnsi="Times New Roman" w:eastAsia="宋体" w:cs="Times New Roman"/>
          <w:b/>
          <w:bCs/>
          <w:smallCaps w:val="0"/>
          <w:color w:val="auto"/>
          <w:spacing w:val="0"/>
          <w:w w:val="100"/>
          <w:kern w:val="0"/>
          <w:sz w:val="24"/>
          <w:szCs w:val="24"/>
          <w:highlight w:val="none"/>
          <w:lang w:val="en-US" w:eastAsia="zh-CN" w:bidi="ar"/>
        </w:rPr>
      </w:pPr>
      <w:r>
        <w:rPr>
          <w:rFonts w:hint="eastAsia" w:ascii="Times New Roman" w:hAnsi="Times New Roman" w:eastAsia="宋体" w:cs="Times New Roman"/>
          <w:b/>
          <w:bCs/>
          <w:smallCaps w:val="0"/>
          <w:color w:val="auto"/>
          <w:spacing w:val="0"/>
          <w:w w:val="100"/>
          <w:kern w:val="0"/>
          <w:sz w:val="24"/>
          <w:szCs w:val="24"/>
          <w:highlight w:val="none"/>
          <w:lang w:val="en-US" w:eastAsia="zh-CN" w:bidi="ar"/>
        </w:rPr>
        <w:t>表 5.1-5    不同距离下施工机械的噪声影响    单位：dB  (A)</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966"/>
        <w:gridCol w:w="980"/>
        <w:gridCol w:w="941"/>
        <w:gridCol w:w="936"/>
        <w:gridCol w:w="936"/>
        <w:gridCol w:w="936"/>
        <w:gridCol w:w="936"/>
        <w:gridCol w:w="941"/>
        <w:gridCol w:w="94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机械</w:t>
            </w:r>
          </w:p>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类型</w:t>
            </w:r>
          </w:p>
        </w:tc>
        <w:tc>
          <w:tcPr>
            <w:tcW w:w="980" w:type="dxa"/>
            <w:vMerge w:val="restart"/>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噪声</w:t>
            </w:r>
          </w:p>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源强</w:t>
            </w:r>
          </w:p>
        </w:tc>
        <w:tc>
          <w:tcPr>
            <w:tcW w:w="6570" w:type="dxa"/>
            <w:gridSpan w:val="7"/>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距生源不同距离处的噪声值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980" w:type="dxa"/>
            <w:vMerge w:val="continue"/>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10m</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20m</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40m</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60m</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80m</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100m</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150m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挖掘机</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82</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72</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56</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50</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46</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44</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42</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推土机</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80</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70</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54</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48</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44</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42</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40</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压路机</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85</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75</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59</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53</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49</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47</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45</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装载机</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85</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75</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59</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53</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49</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47</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45</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运输车</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85</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75</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59</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53</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49</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47</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45</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四不像</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80</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70</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54</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48</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44</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42</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40</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汽车起重机</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82</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72</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56</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50</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46</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44</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42</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柴油发电机</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85</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75</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59</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53</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49</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47</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45</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水泵</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85</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75</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59</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53</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49</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47</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45</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砂浆搅拌机</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80</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70</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54</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48</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44</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42</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40</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砼运</w:t>
            </w:r>
          </w:p>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输车</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85</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75</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59</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53</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49</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47</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45</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砼输</w:t>
            </w:r>
          </w:p>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送部</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84</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74</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58</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52</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48</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46</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44</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插入式振动器</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82</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72</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56</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50</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46</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44</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42</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钢筋切割机</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80</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70</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54</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48</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44</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42</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40</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钢筋弯曲机</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85</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75</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59</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53</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49</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47</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45</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96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钢筋调直机</w:t>
            </w:r>
          </w:p>
        </w:tc>
        <w:tc>
          <w:tcPr>
            <w:tcW w:w="980"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80</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70</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54</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48</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44</w:t>
            </w:r>
          </w:p>
        </w:tc>
        <w:tc>
          <w:tcPr>
            <w:tcW w:w="936"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42</w:t>
            </w:r>
          </w:p>
        </w:tc>
        <w:tc>
          <w:tcPr>
            <w:tcW w:w="941"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40</w:t>
            </w:r>
          </w:p>
        </w:tc>
        <w:tc>
          <w:tcPr>
            <w:tcW w:w="944" w:type="dxa"/>
            <w:tcBorders>
              <w:tl2br w:val="nil"/>
              <w:tr2bl w:val="nil"/>
            </w:tcBorders>
            <w:vAlign w:val="center"/>
          </w:tcPr>
          <w:p>
            <w:pPr>
              <w:widowControl/>
              <w:spacing w:line="360" w:lineRule="exact"/>
              <w:jc w:val="center"/>
              <w:rPr>
                <w:rFonts w:hint="eastAsia" w:ascii="Times New Roman" w:hAnsi="Times New Roman" w:cs="Times New Roman"/>
                <w:smallCaps w:val="0"/>
                <w:color w:val="auto"/>
                <w:spacing w:val="0"/>
                <w:w w:val="100"/>
                <w:sz w:val="21"/>
                <w:szCs w:val="21"/>
                <w:highlight w:val="none"/>
                <w:lang w:val="en-US" w:eastAsia="zh-CN"/>
              </w:rPr>
            </w:pPr>
            <w:r>
              <w:rPr>
                <w:rFonts w:hint="eastAsia" w:ascii="Times New Roman" w:hAnsi="Times New Roman" w:cs="Times New Roman"/>
                <w:smallCaps w:val="0"/>
                <w:color w:val="auto"/>
                <w:spacing w:val="0"/>
                <w:w w:val="100"/>
                <w:sz w:val="21"/>
                <w:szCs w:val="21"/>
                <w:highlight w:val="none"/>
                <w:lang w:val="en-US" w:eastAsia="zh-CN"/>
              </w:rPr>
              <w:t>36</w:t>
            </w:r>
          </w:p>
        </w:tc>
      </w:tr>
    </w:tbl>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由以上表分析可知：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在单个设备施工作业情况下，施工噪声昼间在场界60m处可到达标准限值，考虑到同一阶段各种机械的同时运行，施工现场噪声在施工场界60m处可达到《建筑施工场界环境噪声排放标准》(GB12523-2011)标准要求，其标准值为昼间70dB(A)、夜间55dB(A)。</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1）在施工期，主要是挖底泥、填土方，平整土地，以各种运输车辆噪声为主，施工设备的运行具有分散性，噪声具有流动性和不稳定性特征，对周围环境的影响不太明显。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2）施工噪声对环境的影响很大程度上取决于施工点与敏感点的距离和施工时间，距离越近或在夜间施工时间越长，产生的影响也就越大、越明显。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3）根据施工期对施工场地建筑噪声预测结果，夜间超过《建筑施工场界环境噪声排放标准》要求，本项目需合理安排施工进度。</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（2）施工作业噪声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施工作业噪声主要指由于施工人员活动造成的一些零星的敲打声、装卸车辆的撞击声等，多为瞬间噪声。提高施工人员环保意识，规范操作可很大程度避免，从而减小施工作业噪声对周边环境的影响。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（3）噪声污染防治措施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加强施工管理，合理安排施工作业时间。避免在同一时间集中使用大量的动力机械设备。施工单位严格执行《建筑施工场界环境噪声排放标准》(GB12523-2011)的要求，在施工过程中，尽量减少运行动力机械设备的数量，尽可能使动力机械设备均匀地使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2）在靠近噪声的敏感点（新立屯散户）进行施工时，应在施工区域周围布置临时隔声墙，防止施工噪声对其产生影响；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3）应尽量避免在施工现场的同一地点安排大量的高噪声设备，噪声局部声级过高，噪声高设备施工时，应在设备周围安装声屏障，同时尽量将设备设置远离区域内村落。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4）在运输过程中严格限制车速和单位时间内的车流量，车辆穿行城镇时适当降低车速，在较空旷地带行使应当提高车速，居民区中穿行时车速控制在20km/h内，并禁鸣喇叭。</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5）在高噪声施工区，施工人员应配戴棉花涂腊、伞形耳塞、耳罩、防声头盔等防声 用具；增加工人换班次数或缩短工作时间，降低施工噪声的影响。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项目占地边界距离最近的敏感点为东侧220m的新立屯散户，通过采取以上措施，噪声排放满足《建筑施工场界环境噪声排放标准》(GB12523-2011)标准要求，项目对周围村庄居民影响较小。</w:t>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color w:val="auto"/>
          <w:sz w:val="32"/>
          <w:highlight w:val="none"/>
          <w:lang w:val="en-US" w:eastAsia="zh-CN" w:bidi="ar-SA"/>
        </w:rPr>
      </w:pPr>
      <w:bookmarkStart w:id="705" w:name="_Toc3758"/>
      <w:r>
        <w:rPr>
          <w:rFonts w:hint="eastAsia" w:ascii="Times New Roman" w:hAnsi="Times New Roman" w:eastAsia="宋体" w:cs="Times New Roman"/>
          <w:snapToGrid/>
          <w:color w:val="auto"/>
          <w:sz w:val="32"/>
          <w:highlight w:val="none"/>
          <w:lang w:val="en-US" w:eastAsia="zh-CN" w:bidi="ar-SA"/>
        </w:rPr>
        <w:t>5.1.5施工期固体废物影响预测与评价</w:t>
      </w:r>
      <w:bookmarkEnd w:id="705"/>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本项目建设施工期产生的固体废物主要为建筑垃圾及生活垃圾。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工程施工阶段产生的建筑垃圾，包括砂石、水泥等，建筑垃圾应当分类集中堆存，统一收集后拉到县区有关部门要求的地方进行处置。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生活垃圾统一收集，拉运至村屯垃圾暂存点，等待集中拉运处置。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项目产生的固体废物均得到合理的处置，对周边环境影响较小，且在施工期结束后，对临时占地进行土地平整及地表植被恢复。</w:t>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color w:val="auto"/>
          <w:sz w:val="32"/>
          <w:highlight w:val="none"/>
          <w:lang w:val="en-US" w:eastAsia="zh-CN" w:bidi="ar-SA"/>
        </w:rPr>
      </w:pPr>
      <w:bookmarkStart w:id="706" w:name="_Toc320"/>
      <w:r>
        <w:rPr>
          <w:rFonts w:hint="eastAsia" w:ascii="Times New Roman" w:hAnsi="Times New Roman" w:eastAsia="宋体" w:cs="Times New Roman"/>
          <w:snapToGrid/>
          <w:color w:val="auto"/>
          <w:sz w:val="32"/>
          <w:highlight w:val="none"/>
          <w:lang w:val="en-US" w:eastAsia="zh-CN" w:bidi="ar-SA"/>
        </w:rPr>
        <w:t>5.1.6施工期生态环境影响预测及评价</w:t>
      </w:r>
      <w:bookmarkEnd w:id="706"/>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建设对生态环境的影响可以分为直接影响和间接影响，其中直接影响表现为项目建设，将原有地块改为人工湿地，种植陆生及水生植物，增加物种多样性，改善生态环境。间接影响表现为由项目占地而引发原有野生动物栖息地破坏及水土流失问题。</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（1）陆生生态影响分析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①对陆生植被的影响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过程中，进、出水口的建设，临时运输道路、临时工程建设过程中的会直接破坏地表植被，对植被造成一定程度的影响，使得区域植被及灌草丛受到破坏，对生物量、分布格局及生物多样性均将造成一定程度的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实地调查，区域植被稀少，主要为荒草地及盐碱地。草本植物主要为禾本科草本植物及禾本科芦苇属植物，项目施工扰动范围内没有国家重点保护的珍稀濒危植物分布，植被均为本地区常见物种，施工结束后对临时占地的陆生植物进行植被恢复，与周围生态环境自然衔接，项目建设对周围陆生植物生态环境影响短暂的，可恢复的。</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②对陆生动物的影响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据调查，区域内野生动物种类较少，未发现有受国家和地方保护的珍稀野生动物。工程区域内动物种类以小型野生动物和农村驯养的家禽、家畜等常见种为主，其中野生动物主要为田鼠、野兔等小型动物。鸟类有麻雀、喜鹊、燕子等。人工饲养家禽、家畜有牛、羊、猪、狗、鸡等。项目建设区主要对野生动物和鸟类有一定影响。项目开始施工后，大量施工人员、施工车辆和机械进入场地以及植被的破坏，改变了区域的生态环境，栖息地丧失，迫使一些动物种类向周围扩散，同时由于食料随着施工人员的进驻变得丰富，周边的鼠类会增多。由于这些动物适应性广泛，可以顺利找到替代生境。施工结束后，通过自然植被和人工种植等措施，这些区域将再次成为动物的适宜生境。总之，本项目建设的不利影响仅体现在施工场地，且区域内无珍稀的动物和鸟类，不会对当地动物和鸟类产生显著的不良影响。</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（2）水生生态影响分析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①对浮游生物的影响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本项目施工区域内浮游生物主要为藻类，但由于安肇新河及库里泡水体常年污染较严重，不同种浮游生物已经少见或不见，无珍稀及濒危植物资源天然集中分布区。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进、出口在河道左岸施工建设，施工暂时会造成局部水域悬浮物浓度增大，水体浑浊，使透光率降低，这将阻碍浮游植物光合作用，降低单位水体内浮游植物的数量。最终导致附近水域初级生产力水平下降；打破靠光线强弱而进行垂直迁移的某些浮游动物的生活规律；同时，以浮游植物为食的浮游动物的丰度也可能因浮游植物生产量的下降而降低。但上述影响是暂时的，是可逆的，当施工期结束后，浮游生物的数量可逐渐恢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②对鱼类影响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安肇新河及库里泡水域内鱼类主要为常见食用鱼，如老头鱼（葛氏鲈塘鳢）、小银鱼（柳根鱼）及沙姑子（板黄鱼），但水体环境污染严重，无食用价值。项目施工对河道内鱼类影响为暂时的，项目运行后，会改变地表水水体环境，改善鱼类生存环境，对鱼类有积极影响。</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（3）景观影响分析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本项目施工期会改变现有生态景观环境，因此，施工中需有步骤分段分片进行，妥善保护好生态景观环境。</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1）施工期堆土、堆料不要侵入周边草地，以利于生态景观的维护。</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2）施工期若物料随意堆放会形成一片“废墟”状，要有次序地分片动工，避免区域内景观凌乱，还可设挡防板(木、玻璃、铁皮等)作围障，减少景观污染。</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3）为避免挖填等破坏景观，设计中要考虑被破坏的地面重新种植，增添景观，达到美化视觉效果。</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4）临时用地施工结束后必须及时清理、松土、平整恢复其原有植被。</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（4）水土流失</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本工程的水土流失主要发生在施工期人工湿地和边坡开挖和平整，进出水口建设等等施工作业所带来的土壤裸露。当雨天特别是雨季来临时，如果不采取有效措施，将发生水土流失。水土流失的主要危害表现在：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1）表土流失，破坏土体构型。雨水侵蚀致使土壤流失，土层变薄，土壤发生层次缺失。</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2）养分流失，降低土壤肥力。土壤无论受到何种形式的干扰，首先破坏肥力最高、养分最多、结构最好的表层土壤，土壤有机质含量随土壤侵蚀强度的加剧而降低。</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3）破坏其它生态环境。由暴雨冲刷形成的泥水由于含有高浓度的悬浮物而严重影响纳污水体。</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项目占地主要是人工湿地的建设，根据项目施工安排及工程特点采取以下水土防治措施：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①干渠岸边区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a.做好施工监督管理及组织设计。制定完善可行的水土保持管理监督措施，严格按照工程设计、施工进度计划和施工工序进行施工，降低人为因素造成的水土流失。在工程施工中，优化施工组织设计，尽可能把挖方直接用于填方工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b.尽可能的避开在大风和雨天条件下施工，及时做好裸露面的覆盖挡护措施。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c.在满足工程施工要求的前提下，尽量减小该区的扰动面积和对地表的扰动程度。</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d.完成一段工程后，应立即对其施工场地进行清理并复耕。</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②施工场地区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a.在满足工程施工要求的前提下，尽量减小该区的扰动面积和对地表的扰动程度。</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b.临时堆土必须严格按主体工程施工图设计指定的堆放场集中堆放，不得沿途随意堆放。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c.在堆土前完成临时拦挡措施，严格遵照“先拦后堆”的原则，完善拦挡措施，防止临时堆土对周边区域的影响。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d.某一临时场地使用结束后，应立即对其占地进行清理，进行土地平整，植被恢复。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③施工便道区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a.本工程道路区地势较为平坦，道路设计及施工时，应在满足其使用要求的基础上，尽量减小地表扰动强度。</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b.文明施工，加强施工管理，严禁对道路红线以外的区域内植被乱砍滥伐和土地的扰动破坏。</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在采取以上措施后，项目的水土流失将会得到控制，生态环境可得到较好的保护和改善。</w:t>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color w:val="auto"/>
          <w:sz w:val="32"/>
          <w:highlight w:val="none"/>
          <w:lang w:val="en-US" w:eastAsia="zh-CN" w:bidi="ar-SA"/>
        </w:rPr>
      </w:pPr>
      <w:bookmarkStart w:id="707" w:name="_Toc26461"/>
      <w:r>
        <w:rPr>
          <w:rFonts w:hint="eastAsia" w:ascii="Times New Roman" w:hAnsi="Times New Roman" w:eastAsia="宋体" w:cs="Times New Roman"/>
          <w:snapToGrid/>
          <w:color w:val="auto"/>
          <w:sz w:val="32"/>
          <w:highlight w:val="none"/>
          <w:lang w:val="en-US" w:eastAsia="zh-CN" w:bidi="ar-SA"/>
        </w:rPr>
        <w:t>5.1.7施工期环境风险分析</w:t>
      </w:r>
      <w:bookmarkEnd w:id="707"/>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本项目施工期风险主要为火灾、交通事故、触电、工伤疾病、超标洪水等。</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按照统一指挥、分工负责、相互配合、快速高效、单位自救和政府救援相结合的原则，建立本项目工程的重大事故应急救援组织机构。项目部成立应急救援领导小组，由项目经理为组长，组员包括通讯联络、技术支持、消防保卫、抢险抢修、医疗救护、后 勤保障等人员，分别担负相应职责。无论何时，一旦发生危害工程或人身、财产安全、工程进度和工程事故时，我单位立刻采取必要的抢救措施并且立即暂停此项目和与之有关的项目的施工。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事故一旦发生后，项目部应急救援领导小组机构立即投入运作，组长及全体组员迅 速到位履行职责，及时组织实施相应预案。因抢救人员、疏导交通等原因，需要移动现 场物件时，做出标记，绘制现场简图并做出书面记录，妥善保存现场重要痕迹、物证，并采取拍照或录像等直接方式反映现场原状。</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事故发生后第一时间，项目部应急救援领导小组立刻以最快的方式，将事故的简要 情况向建设单位、监理单位及有关单位报告。事故书面报告内容：</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工程项目名称，事故发生的时间、地点，建设、设计、施工、监理单位名称。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事故发生的简要经过、造成工程损伤状况、伤亡人数和直接经济损失的初步估计。事故发生原因的初步判断。</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事故发生后采取的措施及事故控制情况。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事故报告单位。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（1）火灾分析及防范措施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救火要在确保人身安全的原则下进行。油料起火不能用水灭火；电起火，在没有切断电源时，用灭火器扑救，应采取可靠的防触电措施。起火时首先判断起火部位迅速切断油、气、电，停止可以发生火花的一切爆炸。职工发现工地起火，应立即呼救，通知工地领导。全体职工听到呼救后，要立即停止一切工作前往救援。灭火时不能慌乱，要统一服从营地领导的指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若伴有浓烟和有毒气体，应用湿毛巾或防毒面具捂住口鼻，保护呼吸。若大面积起火或预见到火势会迅速发展而不易扑灭，立即跑出呼救，拨打119项消防部门报警。采取措施有组织的隔离或消除附近的易燃易爆、有毒物品和机械设备，把他们转移到上风或远离火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（2）交通事故应急措施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发生交通事故，要立即停车；抢救伤者，保护现场(抢救伤员需移动现场时，必须做好标记)；及时拨打122或110向当地公安部门和营地指挥员调查报告；如果现场有危险因素，要设法尽快减少和消除，防止事态扩大。</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（3）触电应急措施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发现有人触电，要首先设法切断电源，切忌不能用手、脚去摸患者，造成再次触电；如电源控制器较远，应就近使用木、竹等绝缘器具给触电者切断电源。雨雪天气要采取措施防止再次触电；切断电源后，应立即检查伤者伤情，重点检查呼吸和心跳；需要时，要立即做心脏挤压和口对口人工呼吸，运送医院。</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（4）工伤疾病急救措施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如遇有外伤，要采取措施止血和防止伤感染；如遇有骨折，要采取措施固定骨折部位；职工在工作中受到伤害或突发疾病，应由班组急救员就地组织急救，并立即通知工地指挥员。抢救时要注意不要将伤病加重，必须搞清楚原因再行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（5）河道整治工程施工时发生边坡滑坡等事故应急措施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在施工中，若土体出现明显的滑动或经观测发现有位移的情况下，就立即启动以下 抢险预案。</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①当正在滑体上时，首先要保持冷静，不能慌乱。要迅速环顾四周，向较为安全的地段转移，跑离时应向两侧跑为最佳方向。</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②当处在非滑体区，发现滑坡活动时。应立即报告邻近的有关政府或单位。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③应立即实施应急措施：在政府部门的指导下，预先成立抢险领导小组，明确各级人员的职责，根据可能发生的灾害，预先确定抢险应急措施。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④采取工程措施防治滑坡进一步扩大：</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1）排除地表水工程措施：设置滑坡体外截水沟，滑体上地表排水沟；做好滑坡区的绿化工作等。</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2）排除地下水工程措施：截水盲沟；支撑盲沟；仰斜孔群；盲洞、渗管、渗井、垂直钻孔等。</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3）防止河水对滑坡脚的冲刷工程措施：在滑坡体前缘抛石，铺设石笼、修筑钢筋混凝土块排管，修筑“丁”坝等。</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4）改变滑坡体外形，设置抗滑建筑物工程措施：在滑坡减重；修筑支档工程；改 善滑动带土石性质，主要采用培烧法，爆破灌浆法等。</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⑤采取工程措施防治崩塌进一步扩大：</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1）遮挡：遮挡斜坡上部。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2）拦截：在坡脚步或半坡上设置拦截构筑物。</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3）支挡：不稳定构筑物下面，修支档柱、墙。</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4）护墙护坡：在易剥落边坡地段，修建护墙。</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5）镶补沟缝：对坡体中的裂隙、缝、空洞，用片石填空洞，水泥砂浆沟缝等。</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6）排水：在有水活动的地段，布置排水沟，拦截疏流。</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（6）雨季施工应急措施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大庆市，属中温带大陆性季风气候。光照充足，降水偏少，风旱同期、雨热同季，降雨主要集中在7~8月份，雨季施工应做好安全措施，确保工程安全文明有序地施工。如：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①雨季施工加强用电的安全管理，经常对用电设施进行检查。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②雨季加强各施工场地、道路、施工营地和生活营地的雨水引排措施，保证各区的生产安全。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③材料堆放机制：现场材料入库存放，进场的材料不要堆放在低洼处，各种机械设备必须设在防护棚内，并真正起到防雨淋的作用。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④若遇突发大雨时，应立即停止施工作业，将各种使用的设备电源关闭并用防水材料进行覆盖，人员撤离出作业面。大雨期间，专职安全员每天对工作区域进行巡回检查。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⑤现场机电设备要做好防雨、防雷、防淹、防漏电等措施，并接好接地安全保 护器，露天机械要搭设临时防护。</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⑥尽量避开雨天进行混凝土浇筑作业。在浇筑混凝土前，应收听前3天天气预报，尽可能的安排在晴天进行混凝土浇筑。当在浇筑混凝土时，如若遇到雷阵雨应立即停止混凝土的浇筑，已浇筑部位应加以覆盖，做好成品保护。</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⑦雷阵雨期间，施工人员，特别是抽水人员的站立位置要有所选择，不得选择在高压线附近，突出的电线杆处严禁设置抽水电箱和站立施工人员，以免引发雷击事件。</w:t>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color w:val="auto"/>
          <w:sz w:val="32"/>
          <w:highlight w:val="none"/>
          <w:lang w:val="en-US" w:eastAsia="zh-CN" w:bidi="ar-SA"/>
        </w:rPr>
      </w:pPr>
      <w:bookmarkStart w:id="708" w:name="_Toc22010"/>
      <w:r>
        <w:rPr>
          <w:rFonts w:hint="eastAsia" w:ascii="Times New Roman" w:hAnsi="Times New Roman" w:eastAsia="宋体" w:cs="Times New Roman"/>
          <w:snapToGrid/>
          <w:color w:val="auto"/>
          <w:sz w:val="32"/>
          <w:highlight w:val="none"/>
          <w:lang w:val="en-US" w:eastAsia="zh-CN" w:bidi="ar-SA"/>
        </w:rPr>
        <w:t>5.2运营期环境影响预测与评价</w:t>
      </w:r>
      <w:bookmarkEnd w:id="708"/>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color w:val="auto"/>
          <w:sz w:val="32"/>
          <w:highlight w:val="none"/>
          <w:lang w:val="en-US" w:eastAsia="zh-CN" w:bidi="ar-SA"/>
        </w:rPr>
      </w:pPr>
      <w:bookmarkStart w:id="709" w:name="_Toc22517"/>
      <w:r>
        <w:rPr>
          <w:rFonts w:hint="eastAsia" w:ascii="Times New Roman" w:hAnsi="Times New Roman" w:eastAsia="宋体" w:cs="Times New Roman"/>
          <w:snapToGrid/>
          <w:color w:val="auto"/>
          <w:sz w:val="32"/>
          <w:highlight w:val="none"/>
          <w:lang w:val="en-US" w:eastAsia="zh-CN" w:bidi="ar-SA"/>
        </w:rPr>
        <w:t>5.2.1环境空气影响评价</w:t>
      </w:r>
      <w:bookmarkEnd w:id="709"/>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（1）评价区域气象资料</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大庆市气候概况资料 (30 年均值) 年平均风速： 3.7m/s</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年最大风速、风向： 22 .7m/s ，SW ， 1996 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年平均气温： 3.3℃</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年极端最高气温：38 .9℃ ，2001年6月</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年极端最低气温：-36 .2℃ ， 1970年1月</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年相对湿度：63% ，年降水量：442 .0mm</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年最大降水量； 651 .2mm ，1983年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年日照时数：2595.8小时</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（2）大气环境影响预测与评价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项目运营期产生的废气主要是供暖期锅炉产生的燃烧烟气及及食堂油烟。本项目大气环境影响评价等级为三级，根据《环境影响评价技术导则 大气环境》(HJ2.2-2018)，不进行进一步预测，评价采用导则推荐的估算模型AERSCREEN进行估算，依据计算结果进行影响分析。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①评价因子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本次对锅炉烟气进行评价。</w:t>
      </w:r>
    </w:p>
    <w:p>
      <w:pPr>
        <w:numPr>
          <w:ilvl w:val="0"/>
          <w:numId w:val="0"/>
        </w:numPr>
        <w:spacing w:before="2" w:line="385" w:lineRule="auto"/>
        <w:ind w:right="70" w:rightChars="0" w:firstLine="482" w:firstLineChars="200"/>
        <w:jc w:val="both"/>
        <w:rPr>
          <w:rFonts w:hint="eastAsia" w:ascii="Times New Roman" w:hAnsi="Times New Roman" w:eastAsia="宋体" w:cs="Times New Roman"/>
          <w:b/>
          <w:bCs/>
          <w:smallCaps w:val="0"/>
          <w:color w:val="auto"/>
          <w:spacing w:val="0"/>
          <w:w w:val="100"/>
          <w:kern w:val="0"/>
          <w:sz w:val="24"/>
          <w:szCs w:val="24"/>
          <w:highlight w:val="none"/>
          <w:lang w:val="en-US" w:eastAsia="zh-CN" w:bidi="ar"/>
        </w:rPr>
      </w:pPr>
      <w:r>
        <w:rPr>
          <w:rFonts w:hint="eastAsia" w:ascii="Times New Roman" w:hAnsi="Times New Roman" w:eastAsia="宋体" w:cs="Times New Roman"/>
          <w:b/>
          <w:bCs/>
          <w:smallCaps w:val="0"/>
          <w:color w:val="auto"/>
          <w:spacing w:val="0"/>
          <w:w w:val="100"/>
          <w:kern w:val="0"/>
          <w:sz w:val="24"/>
          <w:szCs w:val="24"/>
          <w:highlight w:val="none"/>
          <w:lang w:val="en-US" w:eastAsia="zh-CN" w:bidi="ar"/>
        </w:rPr>
        <w:t>表 5.2-1项目评价因子和评价标准表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53"/>
        <w:gridCol w:w="1782"/>
        <w:gridCol w:w="1676"/>
        <w:gridCol w:w="1861"/>
        <w:gridCol w:w="194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5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污染源</w:t>
            </w:r>
          </w:p>
        </w:tc>
        <w:tc>
          <w:tcPr>
            <w:tcW w:w="178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评价因子</w:t>
            </w:r>
          </w:p>
        </w:tc>
        <w:tc>
          <w:tcPr>
            <w:tcW w:w="167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评价时段</w:t>
            </w:r>
          </w:p>
        </w:tc>
        <w:tc>
          <w:tcPr>
            <w:tcW w:w="186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标准值（mg/m3）</w:t>
            </w:r>
          </w:p>
        </w:tc>
        <w:tc>
          <w:tcPr>
            <w:tcW w:w="1944"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标准值来源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53" w:type="dxa"/>
            <w:vMerge w:val="restart"/>
            <w:tcBorders>
              <w:tl2br w:val="nil"/>
              <w:tr2bl w:val="nil"/>
            </w:tcBorders>
            <w:vAlign w:val="center"/>
          </w:tcPr>
          <w:p>
            <w:pPr>
              <w:spacing w:line="360" w:lineRule="exact"/>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w:t>
            </w:r>
          </w:p>
        </w:tc>
        <w:tc>
          <w:tcPr>
            <w:tcW w:w="1782" w:type="dxa"/>
            <w:tcBorders>
              <w:tl2br w:val="nil"/>
              <w:tr2bl w:val="nil"/>
            </w:tcBorders>
            <w:vAlign w:val="center"/>
          </w:tcPr>
          <w:p>
            <w:pPr>
              <w:spacing w:line="360" w:lineRule="exact"/>
              <w:jc w:val="center"/>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color w:val="auto"/>
                <w:szCs w:val="21"/>
                <w:highlight w:val="none"/>
              </w:rPr>
              <w:t>颗粒物</w:t>
            </w:r>
          </w:p>
        </w:tc>
        <w:tc>
          <w:tcPr>
            <w:tcW w:w="167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运行期-供暖期</w:t>
            </w:r>
          </w:p>
        </w:tc>
        <w:tc>
          <w:tcPr>
            <w:tcW w:w="1861" w:type="dxa"/>
            <w:tcBorders>
              <w:tl2br w:val="nil"/>
              <w:tr2bl w:val="nil"/>
            </w:tcBorders>
            <w:vAlign w:val="center"/>
          </w:tcPr>
          <w:p>
            <w:pPr>
              <w:spacing w:line="360" w:lineRule="exact"/>
              <w:jc w:val="center"/>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color w:val="auto"/>
                <w:szCs w:val="21"/>
                <w:highlight w:val="none"/>
                <w:lang w:val="en-US" w:eastAsia="zh-CN"/>
              </w:rPr>
              <w:t>50</w:t>
            </w:r>
          </w:p>
        </w:tc>
        <w:tc>
          <w:tcPr>
            <w:tcW w:w="1944"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《锅炉大气污染物排放标准》（GB13271-2014）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53" w:type="dxa"/>
            <w:vMerge w:val="continue"/>
            <w:tcBorders>
              <w:tl2br w:val="nil"/>
              <w:tr2bl w:val="nil"/>
            </w:tcBorders>
            <w:vAlign w:val="center"/>
          </w:tcPr>
          <w:p>
            <w:pPr>
              <w:spacing w:line="360" w:lineRule="exact"/>
              <w:jc w:val="center"/>
              <w:rPr>
                <w:rFonts w:hint="eastAsia" w:ascii="Times New Roman" w:hAnsi="Times New Roman" w:cs="Times New Roman"/>
                <w:color w:val="auto"/>
                <w:sz w:val="21"/>
                <w:szCs w:val="21"/>
                <w:highlight w:val="none"/>
                <w:vertAlign w:val="baseline"/>
                <w:lang w:val="en-US" w:eastAsia="zh-CN"/>
              </w:rPr>
            </w:pPr>
          </w:p>
        </w:tc>
        <w:tc>
          <w:tcPr>
            <w:tcW w:w="1782" w:type="dxa"/>
            <w:tcBorders>
              <w:tl2br w:val="nil"/>
              <w:tr2bl w:val="nil"/>
            </w:tcBorders>
            <w:vAlign w:val="center"/>
          </w:tcPr>
          <w:p>
            <w:pPr>
              <w:spacing w:line="360" w:lineRule="exact"/>
              <w:jc w:val="center"/>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color w:val="auto"/>
                <w:szCs w:val="21"/>
                <w:highlight w:val="none"/>
              </w:rPr>
              <w:t>二氧化硫</w:t>
            </w:r>
          </w:p>
        </w:tc>
        <w:tc>
          <w:tcPr>
            <w:tcW w:w="167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861" w:type="dxa"/>
            <w:tcBorders>
              <w:tl2br w:val="nil"/>
              <w:tr2bl w:val="nil"/>
            </w:tcBorders>
            <w:vAlign w:val="center"/>
          </w:tcPr>
          <w:p>
            <w:pPr>
              <w:spacing w:line="360" w:lineRule="exact"/>
              <w:jc w:val="center"/>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color w:val="auto"/>
                <w:szCs w:val="21"/>
                <w:highlight w:val="none"/>
                <w:lang w:val="en-US" w:eastAsia="zh-CN"/>
              </w:rPr>
              <w:t>300</w:t>
            </w:r>
          </w:p>
        </w:tc>
        <w:tc>
          <w:tcPr>
            <w:tcW w:w="1944"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53" w:type="dxa"/>
            <w:vMerge w:val="continue"/>
            <w:tcBorders>
              <w:tl2br w:val="nil"/>
              <w:tr2bl w:val="nil"/>
            </w:tcBorders>
            <w:vAlign w:val="center"/>
          </w:tcPr>
          <w:p>
            <w:pPr>
              <w:spacing w:line="360" w:lineRule="exact"/>
              <w:jc w:val="center"/>
              <w:rPr>
                <w:rFonts w:hint="eastAsia" w:ascii="Times New Roman" w:hAnsi="Times New Roman" w:cs="Times New Roman"/>
                <w:color w:val="auto"/>
                <w:sz w:val="21"/>
                <w:szCs w:val="21"/>
                <w:highlight w:val="none"/>
                <w:vertAlign w:val="baseline"/>
                <w:lang w:val="en-US" w:eastAsia="zh-CN"/>
              </w:rPr>
            </w:pPr>
          </w:p>
        </w:tc>
        <w:tc>
          <w:tcPr>
            <w:tcW w:w="1782" w:type="dxa"/>
            <w:tcBorders>
              <w:tl2br w:val="nil"/>
              <w:tr2bl w:val="nil"/>
            </w:tcBorders>
            <w:vAlign w:val="center"/>
          </w:tcPr>
          <w:p>
            <w:pPr>
              <w:spacing w:line="360" w:lineRule="exact"/>
              <w:jc w:val="center"/>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color w:val="auto"/>
                <w:szCs w:val="21"/>
                <w:highlight w:val="none"/>
              </w:rPr>
              <w:t>氮氧化物</w:t>
            </w:r>
          </w:p>
        </w:tc>
        <w:tc>
          <w:tcPr>
            <w:tcW w:w="167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861" w:type="dxa"/>
            <w:tcBorders>
              <w:tl2br w:val="nil"/>
              <w:tr2bl w:val="nil"/>
            </w:tcBorders>
            <w:vAlign w:val="center"/>
          </w:tcPr>
          <w:p>
            <w:pPr>
              <w:spacing w:line="360" w:lineRule="exact"/>
              <w:jc w:val="center"/>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color w:val="auto"/>
                <w:szCs w:val="21"/>
                <w:highlight w:val="none"/>
                <w:lang w:val="en-US" w:eastAsia="zh-CN"/>
              </w:rPr>
              <w:t>300</w:t>
            </w:r>
          </w:p>
        </w:tc>
        <w:tc>
          <w:tcPr>
            <w:tcW w:w="1944"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②估算模式</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采用《环境影响评价技术导则 大气环境》（HJ2.2-2018）推荐的AERSCREEN模型进行估算，估算模型参数表见下表。</w:t>
      </w:r>
    </w:p>
    <w:p>
      <w:pPr>
        <w:numPr>
          <w:ilvl w:val="0"/>
          <w:numId w:val="0"/>
        </w:numPr>
        <w:spacing w:before="2" w:line="385" w:lineRule="auto"/>
        <w:ind w:right="70" w:rightChars="0" w:firstLine="482" w:firstLineChars="200"/>
        <w:jc w:val="center"/>
        <w:rPr>
          <w:rFonts w:hint="eastAsia" w:ascii="Times New Roman" w:hAnsi="Times New Roman" w:eastAsia="宋体" w:cs="Times New Roman"/>
          <w:b/>
          <w:bCs/>
          <w:smallCaps w:val="0"/>
          <w:color w:val="auto"/>
          <w:spacing w:val="0"/>
          <w:w w:val="100"/>
          <w:kern w:val="0"/>
          <w:sz w:val="24"/>
          <w:szCs w:val="24"/>
          <w:highlight w:val="none"/>
          <w:lang w:val="en-US" w:eastAsia="zh-CN" w:bidi="ar"/>
        </w:rPr>
      </w:pPr>
      <w:r>
        <w:rPr>
          <w:rFonts w:hint="eastAsia" w:ascii="Times New Roman" w:hAnsi="Times New Roman" w:eastAsia="宋体" w:cs="Times New Roman"/>
          <w:b/>
          <w:bCs/>
          <w:smallCaps w:val="0"/>
          <w:color w:val="auto"/>
          <w:spacing w:val="0"/>
          <w:w w:val="100"/>
          <w:kern w:val="0"/>
          <w:sz w:val="24"/>
          <w:szCs w:val="24"/>
          <w:highlight w:val="none"/>
          <w:lang w:val="en-US" w:eastAsia="zh-CN" w:bidi="ar"/>
        </w:rPr>
        <w:t>表5.2-2 有组织排放估算模型参数表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982"/>
        <w:gridCol w:w="3695"/>
        <w:gridCol w:w="28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677"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参数</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取值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82"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城市/农村选项</w:t>
            </w:r>
          </w:p>
        </w:tc>
        <w:tc>
          <w:tcPr>
            <w:tcW w:w="36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城市/农村</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农村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8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36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人口数 （城市选项时）</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677"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最高环境温度/    ℃</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38.9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677"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最低环境温度/    ℃</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677"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土地利用类型</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smallCaps w:val="0"/>
                <w:color w:val="auto"/>
                <w:spacing w:val="0"/>
                <w:w w:val="100"/>
                <w:sz w:val="21"/>
                <w:szCs w:val="21"/>
                <w:highlight w:val="none"/>
                <w:lang w:val="en-US" w:eastAsia="zh-CN"/>
              </w:rPr>
              <w:t>荒草地及天然形成低洼河塘</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677"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区域湿度条件</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中等湿润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82"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是否考虑地形</w:t>
            </w:r>
          </w:p>
        </w:tc>
        <w:tc>
          <w:tcPr>
            <w:tcW w:w="36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考虑地形</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☑是  □否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8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36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地形数据分辨率/m</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82"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是否考虑岸线熏烟</w:t>
            </w:r>
          </w:p>
        </w:tc>
        <w:tc>
          <w:tcPr>
            <w:tcW w:w="36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考虑岸线熏烟</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□是  ☑否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8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36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岸线距离/km</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98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36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岸线方向/°</w:t>
            </w:r>
          </w:p>
        </w:tc>
        <w:tc>
          <w:tcPr>
            <w:tcW w:w="28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③源强参数</w:t>
      </w:r>
    </w:p>
    <w:p>
      <w:pPr>
        <w:pStyle w:val="8"/>
        <w:jc w:val="center"/>
        <w:rPr>
          <w:rFonts w:hint="default"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b/>
          <w:bCs/>
          <w:smallCaps w:val="0"/>
          <w:color w:val="auto"/>
          <w:spacing w:val="0"/>
          <w:w w:val="100"/>
          <w:kern w:val="0"/>
          <w:sz w:val="24"/>
          <w:szCs w:val="24"/>
          <w:highlight w:val="none"/>
          <w:lang w:val="en-US" w:eastAsia="zh-CN" w:bidi="ar"/>
        </w:rPr>
        <w:t>表5.2-3 排放口一览表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52"/>
        <w:gridCol w:w="900"/>
        <w:gridCol w:w="975"/>
        <w:gridCol w:w="850"/>
        <w:gridCol w:w="1032"/>
        <w:gridCol w:w="846"/>
        <w:gridCol w:w="843"/>
        <w:gridCol w:w="842"/>
        <w:gridCol w:w="637"/>
        <w:gridCol w:w="10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5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序号</w:t>
            </w:r>
          </w:p>
        </w:tc>
        <w:tc>
          <w:tcPr>
            <w:tcW w:w="9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污染源</w:t>
            </w:r>
          </w:p>
        </w:tc>
        <w:tc>
          <w:tcPr>
            <w:tcW w:w="97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排气筒底部海拔高度</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(m)</w:t>
            </w:r>
          </w:p>
        </w:tc>
        <w:tc>
          <w:tcPr>
            <w:tcW w:w="85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排气筒出口内</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径/高度</w:t>
            </w:r>
            <w:r>
              <w:rPr>
                <w:rFonts w:hint="eastAsia" w:ascii="Times New Roman" w:hAnsi="Times New Roman" w:cs="Times New Roman"/>
                <w:color w:val="auto"/>
                <w:sz w:val="21"/>
                <w:szCs w:val="21"/>
                <w:highlight w:val="none"/>
                <w:vertAlign w:val="baseline"/>
                <w:lang w:val="en-US" w:eastAsia="zh-CN"/>
              </w:rPr>
              <w:t>（</w:t>
            </w:r>
            <w:r>
              <w:rPr>
                <w:rFonts w:hint="default" w:ascii="Times New Roman" w:hAnsi="Times New Roman" w:cs="Times New Roman"/>
                <w:color w:val="auto"/>
                <w:sz w:val="21"/>
                <w:szCs w:val="21"/>
                <w:highlight w:val="none"/>
                <w:vertAlign w:val="baseline"/>
                <w:lang w:val="en-US" w:eastAsia="zh-CN"/>
              </w:rPr>
              <w:t>m</w:t>
            </w:r>
            <w:r>
              <w:rPr>
                <w:rFonts w:hint="eastAsia" w:ascii="Times New Roman" w:hAnsi="Times New Roman" w:cs="Times New Roman"/>
                <w:color w:val="auto"/>
                <w:sz w:val="21"/>
                <w:szCs w:val="21"/>
                <w:highlight w:val="none"/>
                <w:vertAlign w:val="baseline"/>
                <w:lang w:val="en-US" w:eastAsia="zh-CN"/>
              </w:rPr>
              <w:t>）</w:t>
            </w:r>
          </w:p>
        </w:tc>
        <w:tc>
          <w:tcPr>
            <w:tcW w:w="103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烟气流速/（m/s）</w:t>
            </w:r>
          </w:p>
        </w:tc>
        <w:tc>
          <w:tcPr>
            <w:tcW w:w="8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烟气温度(℃)</w:t>
            </w:r>
          </w:p>
        </w:tc>
        <w:tc>
          <w:tcPr>
            <w:tcW w:w="843"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年排放小时数</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(h)</w:t>
            </w:r>
          </w:p>
        </w:tc>
        <w:tc>
          <w:tcPr>
            <w:tcW w:w="84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排放工况</w:t>
            </w:r>
          </w:p>
        </w:tc>
        <w:tc>
          <w:tcPr>
            <w:tcW w:w="1676"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评价因子源强（kg/h）</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52"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900"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锅炉排气筒</w:t>
            </w:r>
          </w:p>
        </w:tc>
        <w:tc>
          <w:tcPr>
            <w:tcW w:w="97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132</w:t>
            </w:r>
          </w:p>
        </w:tc>
        <w:tc>
          <w:tcPr>
            <w:tcW w:w="850"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0.1/20</w:t>
            </w:r>
          </w:p>
        </w:tc>
        <w:tc>
          <w:tcPr>
            <w:tcW w:w="1032"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5.00</w:t>
            </w:r>
          </w:p>
        </w:tc>
        <w:tc>
          <w:tcPr>
            <w:tcW w:w="846"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120</w:t>
            </w:r>
          </w:p>
        </w:tc>
        <w:tc>
          <w:tcPr>
            <w:tcW w:w="843"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4320</w:t>
            </w:r>
          </w:p>
        </w:tc>
        <w:tc>
          <w:tcPr>
            <w:tcW w:w="842"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正常工况</w:t>
            </w:r>
          </w:p>
        </w:tc>
        <w:tc>
          <w:tcPr>
            <w:tcW w:w="637" w:type="dxa"/>
            <w:tcBorders>
              <w:tl2br w:val="nil"/>
              <w:tr2bl w:val="nil"/>
            </w:tcBorders>
            <w:vAlign w:val="center"/>
          </w:tcPr>
          <w:p>
            <w:pPr>
              <w:spacing w:line="360" w:lineRule="exact"/>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color w:val="auto"/>
                <w:szCs w:val="21"/>
                <w:highlight w:val="none"/>
              </w:rPr>
              <w:t>颗粒物</w:t>
            </w:r>
          </w:p>
        </w:tc>
        <w:tc>
          <w:tcPr>
            <w:tcW w:w="10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0.00001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5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00"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7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850"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03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84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84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84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637" w:type="dxa"/>
            <w:tcBorders>
              <w:tl2br w:val="nil"/>
              <w:tr2bl w:val="nil"/>
            </w:tcBorders>
            <w:vAlign w:val="center"/>
          </w:tcPr>
          <w:p>
            <w:pPr>
              <w:spacing w:line="360" w:lineRule="exact"/>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color w:val="auto"/>
                <w:szCs w:val="21"/>
                <w:highlight w:val="none"/>
              </w:rPr>
              <w:t>二氧化硫</w:t>
            </w:r>
          </w:p>
        </w:tc>
        <w:tc>
          <w:tcPr>
            <w:tcW w:w="1039" w:type="dxa"/>
            <w:tcBorders>
              <w:tl2br w:val="nil"/>
              <w:tr2bl w:val="nil"/>
            </w:tcBorders>
            <w:vAlign w:val="center"/>
          </w:tcPr>
          <w:p>
            <w:pPr>
              <w:spacing w:line="360" w:lineRule="exact"/>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color w:val="auto"/>
                <w:szCs w:val="21"/>
                <w:highlight w:val="none"/>
                <w:lang w:val="en-US" w:eastAsia="zh-CN"/>
              </w:rPr>
              <w:t>0.016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55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00"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975"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850"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103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846"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843"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842"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637" w:type="dxa"/>
            <w:tcBorders>
              <w:tl2br w:val="nil"/>
              <w:tr2bl w:val="nil"/>
            </w:tcBorders>
            <w:vAlign w:val="center"/>
          </w:tcPr>
          <w:p>
            <w:pPr>
              <w:spacing w:line="360" w:lineRule="exact"/>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color w:val="auto"/>
                <w:szCs w:val="21"/>
                <w:highlight w:val="none"/>
              </w:rPr>
              <w:t>氮氧化物</w:t>
            </w:r>
          </w:p>
        </w:tc>
        <w:tc>
          <w:tcPr>
            <w:tcW w:w="1039" w:type="dxa"/>
            <w:tcBorders>
              <w:tl2br w:val="nil"/>
              <w:tr2bl w:val="nil"/>
            </w:tcBorders>
            <w:vAlign w:val="center"/>
          </w:tcPr>
          <w:p>
            <w:pPr>
              <w:spacing w:line="360" w:lineRule="exact"/>
              <w:jc w:val="center"/>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eastAsia="宋体" w:cs="Times New Roman"/>
                <w:color w:val="auto"/>
                <w:szCs w:val="21"/>
                <w:highlight w:val="none"/>
                <w:lang w:val="en-US" w:eastAsia="zh-CN"/>
              </w:rPr>
              <w:t>0.024</w:t>
            </w:r>
          </w:p>
        </w:tc>
      </w:tr>
    </w:tbl>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④估算结果</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表5.2-4</w:t>
      </w:r>
      <w:r>
        <w:rPr>
          <w:rFonts w:hint="eastAsia" w:ascii="Times New Roman" w:hAnsi="Times New Roman" w:eastAsia="宋体" w:cs="Times New Roman"/>
          <w:b/>
          <w:bCs/>
          <w:smallCaps w:val="0"/>
          <w:color w:val="auto"/>
          <w:spacing w:val="0"/>
          <w:w w:val="100"/>
          <w:kern w:val="0"/>
          <w:sz w:val="24"/>
          <w:highlight w:val="none"/>
          <w:lang w:val="en-US" w:eastAsia="zh-CN" w:bidi="ar"/>
        </w:rPr>
        <w:t>锅炉烟气有组织排放污染物估算模型计算结果表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198"/>
        <w:gridCol w:w="1232"/>
        <w:gridCol w:w="1210"/>
        <w:gridCol w:w="1232"/>
        <w:gridCol w:w="1206"/>
        <w:gridCol w:w="1232"/>
        <w:gridCol w:w="120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下方向距离(m)</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颗粒物</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浓度（mg/m3）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占标率（%）</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二氧化硫浓度（mg/m3）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占标率（%）</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氮氧化物浓度（mg/m3）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占标率（%）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2.37E-08</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7.90E-08</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3.47E-05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0.01</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4.18E-05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7.58E-07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2.53E-06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1.11E-03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0.22</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1.34E-03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1.33E-06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4.43E-06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1.95E-03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0.39</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2.35E-03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0.94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1.36E-06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4.53E-06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2.00E-03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2.41E-03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0.96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1.27E-06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4.23E-06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1.86E-03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2.23E-03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0.89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1.07E-06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3.57E-06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1.56E-03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0.31</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1.88E-03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0.75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1.07E-06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3.57E-06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1.57E-03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0.31</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1.89E-03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9.88E-07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3.29E-06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1.45E-03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0.29</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1.74E-03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0.70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175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8.83E-07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2.94E-06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1.30E-03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1.56E-03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0.62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7.81E-07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2.60E-06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1.15E-03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1.38E-03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225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6.94E-07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2.31E-06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1.02E-03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1.23E-03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6.74E-07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2.25E-06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9.88E-04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0.20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1.19E-03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275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6.60E-07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2.20E-06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9.69E-04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0.19</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1.17E-03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6.41E-07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2.14E-06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9.40E-04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0.19</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1.13E-03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325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6.25E-07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2.08E-06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9.16E-04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0.18</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1.10E-03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350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6.23E-07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2.08E-06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9.14E-04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0.18</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1.10E-03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375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6.18E-07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2.06E-06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9.06E-04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0.18</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1.09E-03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400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6.06E-07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2.02E-06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8.89E-04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0.18</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1.07E-03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425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5.92E-07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1.97E-06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8.69E-04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1.05E-03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450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5.76E-07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1.92E-06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8.45E-04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1.02E-03</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475</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5.59E-07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1.86E-06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8.20E-04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9.88E-04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500</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5.41E-07</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1.80E-06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7.94E-04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0.16</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9.56E-04</w:t>
            </w:r>
          </w:p>
        </w:tc>
        <w:tc>
          <w:tcPr>
            <w:tcW w:w="121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0.38</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⑤预测结果分析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由预测结果可知，锅炉烟气经正常正常排放时，氮氧化物最大落地浓度为2.41μg/m3，占标率为0.96%；二氧化硫最大落地浓度为2.00μg/m3，占标率为0.40%，颗粒物最大落地浓度为0.014μg/m3，最大落地浓度出现的距离为在排气筒下风向的56m处。二氧化硫、氮氧化物及颗粒物的的影响浓度值均满足《环境空气质量标准》（GB3095-2012）二级标准限值要求，运行期锅炉烟气对周围环境影响较小。</w:t>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color w:val="auto"/>
          <w:sz w:val="32"/>
          <w:highlight w:val="none"/>
          <w:lang w:val="en-US" w:eastAsia="zh-CN" w:bidi="ar-SA"/>
        </w:rPr>
      </w:pPr>
      <w:bookmarkStart w:id="710" w:name="_Toc5758"/>
      <w:r>
        <w:rPr>
          <w:rFonts w:hint="eastAsia" w:ascii="Times New Roman" w:hAnsi="Times New Roman" w:eastAsia="宋体" w:cs="Times New Roman"/>
          <w:snapToGrid/>
          <w:color w:val="auto"/>
          <w:sz w:val="32"/>
          <w:highlight w:val="none"/>
          <w:lang w:val="en-US" w:eastAsia="zh-CN" w:bidi="ar-SA"/>
        </w:rPr>
        <w:t>5.2.2地表水环境影响评价</w:t>
      </w:r>
      <w:bookmarkEnd w:id="710"/>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本工程是对安肇新河部分河水进行治理，在入库里泡排口上游左侧河岸新建进、出水口，将安肇新河污水引至人工湿地处进行净化，经净化后的河水经出水口回流至安肇新河内，人工湿地不进行蓄水。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项目建设，拦截、降低进入库里泡染物质含量，建设生态稳定塘、生态砾石床、表流湿地、潜流湿地及半自然湿地，同时在湿地周边设置围栏，构建多级复合人工湿地，经处理后的水体回流至安肇新河内。</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该项目建成后，其中冰封期处理能力为15万m3/d，融雪期处理能力为30万m3/d。COD消减量1095t/a，氨氮消减量120t/a，总磷消减量13t/a。</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经处理后的河水满足《地表水环境质量标准》(GB3838-2002)Ⅴ类水质标准后排放，与其他河水混合一起进入库里泡内。环境效益显著，对区域地表水的影响为正效应。</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color w:val="auto"/>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运维人员生活污水排入化粪池内，定期清掏，拉运至大同污水处理厂处理，大同污水处理厂采用“AO+混凝沉淀+过滤+紫外消毒”工艺处理后，尾水满足《城镇污水处理厂污染物排放标准》（GB18918-2002）一级A标准，排入安肇新河内。食堂废水经隔油池处置后，排入化粪池，与生活污水一同拉运处置。锅炉排污水属于清净下水，主要污染物为pH、化学需氧量、溶解性总固体（全盐量），排入潜流湿地内，经填料净化后，排入安肇新河内。</w:t>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color w:val="auto"/>
          <w:sz w:val="32"/>
          <w:highlight w:val="none"/>
          <w:lang w:val="en-US" w:eastAsia="zh-CN" w:bidi="ar-SA"/>
        </w:rPr>
      </w:pPr>
      <w:bookmarkStart w:id="711" w:name="_Toc17323"/>
      <w:r>
        <w:rPr>
          <w:rFonts w:hint="eastAsia" w:ascii="Times New Roman" w:hAnsi="Times New Roman" w:eastAsia="宋体" w:cs="Times New Roman"/>
          <w:snapToGrid/>
          <w:color w:val="auto"/>
          <w:sz w:val="32"/>
          <w:highlight w:val="none"/>
          <w:lang w:val="en-US" w:eastAsia="zh-CN" w:bidi="ar-SA"/>
        </w:rPr>
        <w:t>5.2.3地下水环境影响评价</w:t>
      </w:r>
      <w:bookmarkEnd w:id="711"/>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工程在施工过程中对地下水流向、地下水位、地下水环境质量基本无影响，且工程建成运行以后也不会引起地下水流场、地下水位、地下水水质变化。因此本次评价对地下水仅做简要分析。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本项目主要对安肇新河上游部分来水进行净化，建设多级复合人工湿地。人工湿地设置填料床，建有防渗层，防渗层铺有湿地的防渗系统主要包含HDPE膜（两布一膜），其中HDPE膜厚1.0mm，无纺布重量为300g/m2。</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人工湿地拦截、降低进入库里泡污染物质含量，人工湿地的建设对地下水有积极影响。综上所述，项目不会对周围水环境产生影响。</w:t>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color w:val="auto"/>
          <w:sz w:val="32"/>
          <w:highlight w:val="none"/>
          <w:lang w:val="en-US" w:eastAsia="zh-CN" w:bidi="ar-SA"/>
        </w:rPr>
      </w:pPr>
      <w:bookmarkStart w:id="712" w:name="_Toc7993"/>
      <w:r>
        <w:rPr>
          <w:rFonts w:hint="eastAsia" w:ascii="Times New Roman" w:hAnsi="Times New Roman" w:eastAsia="宋体" w:cs="Times New Roman"/>
          <w:snapToGrid/>
          <w:color w:val="auto"/>
          <w:sz w:val="32"/>
          <w:highlight w:val="none"/>
          <w:lang w:val="en-US" w:eastAsia="zh-CN" w:bidi="ar-SA"/>
        </w:rPr>
        <w:t>5.2.4声环境影响预测与评价</w:t>
      </w:r>
      <w:bookmarkEnd w:id="712"/>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本项目运营期间，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（1）噪声源分析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远期噪声主要来自风机及泵类，这些机械设备主要集中在锅炉房、综合楼及提升泵房，在采取减振降噪措施后，各设备噪声均相应削减，设备采取措施前噪声源强度详见下表。设备采取措施后噪声源强度详见下表。</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center"/>
        <w:textAlignment w:val="auto"/>
        <w:rPr>
          <w:rFonts w:hint="default" w:ascii="Times New Roman" w:hAnsi="Times New Roman" w:eastAsia="宋体" w:cs="Times New Roman"/>
          <w:b/>
          <w:bCs/>
          <w:smallCaps w:val="0"/>
          <w:color w:val="auto"/>
          <w:spacing w:val="0"/>
          <w:w w:val="100"/>
          <w:kern w:val="0"/>
          <w:sz w:val="24"/>
          <w:highlight w:val="none"/>
          <w:lang w:val="en-US" w:eastAsia="zh-CN" w:bidi="ar"/>
        </w:rPr>
      </w:pPr>
      <w:r>
        <w:rPr>
          <w:rFonts w:hint="eastAsia" w:ascii="Times New Roman" w:hAnsi="Times New Roman" w:eastAsia="宋体" w:cs="Times New Roman"/>
          <w:b/>
          <w:bCs/>
          <w:smallCaps w:val="0"/>
          <w:color w:val="auto"/>
          <w:spacing w:val="0"/>
          <w:w w:val="100"/>
          <w:kern w:val="0"/>
          <w:sz w:val="24"/>
          <w:highlight w:val="none"/>
          <w:lang w:val="en-US" w:eastAsia="zh-CN" w:bidi="ar"/>
        </w:rPr>
        <w:t>表5.2-5项目主要设备噪声源强情况 单位： dB（A）</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97"/>
        <w:gridCol w:w="1102"/>
        <w:gridCol w:w="1085"/>
        <w:gridCol w:w="819"/>
        <w:gridCol w:w="820"/>
        <w:gridCol w:w="2828"/>
        <w:gridCol w:w="106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序号</w:t>
            </w:r>
          </w:p>
        </w:tc>
        <w:tc>
          <w:tcPr>
            <w:tcW w:w="11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噪声源（工艺单元）</w:t>
            </w:r>
          </w:p>
        </w:tc>
        <w:tc>
          <w:tcPr>
            <w:tcW w:w="10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设备名称</w:t>
            </w:r>
          </w:p>
        </w:tc>
        <w:tc>
          <w:tcPr>
            <w:tcW w:w="8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噪声源强</w:t>
            </w:r>
          </w:p>
        </w:tc>
        <w:tc>
          <w:tcPr>
            <w:tcW w:w="8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数量</w:t>
            </w:r>
          </w:p>
        </w:tc>
        <w:tc>
          <w:tcPr>
            <w:tcW w:w="282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治理措施</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降噪效果</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c>
          <w:tcPr>
            <w:tcW w:w="11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w:t>
            </w:r>
          </w:p>
        </w:tc>
        <w:tc>
          <w:tcPr>
            <w:tcW w:w="10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w:t>
            </w:r>
          </w:p>
        </w:tc>
        <w:tc>
          <w:tcPr>
            <w:tcW w:w="8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90</w:t>
            </w:r>
          </w:p>
        </w:tc>
        <w:tc>
          <w:tcPr>
            <w:tcW w:w="8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w:t>
            </w:r>
          </w:p>
        </w:tc>
        <w:tc>
          <w:tcPr>
            <w:tcW w:w="2828"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室内布置、基础减振、厂房隔声</w:t>
            </w: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w:t>
            </w:r>
          </w:p>
        </w:tc>
        <w:tc>
          <w:tcPr>
            <w:tcW w:w="11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w:t>
            </w:r>
          </w:p>
        </w:tc>
        <w:tc>
          <w:tcPr>
            <w:tcW w:w="10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风机</w:t>
            </w:r>
          </w:p>
        </w:tc>
        <w:tc>
          <w:tcPr>
            <w:tcW w:w="8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80</w:t>
            </w:r>
          </w:p>
        </w:tc>
        <w:tc>
          <w:tcPr>
            <w:tcW w:w="8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w:t>
            </w:r>
          </w:p>
        </w:tc>
        <w:tc>
          <w:tcPr>
            <w:tcW w:w="282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97"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w:t>
            </w:r>
          </w:p>
        </w:tc>
        <w:tc>
          <w:tcPr>
            <w:tcW w:w="1102"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w:t>
            </w:r>
          </w:p>
        </w:tc>
        <w:tc>
          <w:tcPr>
            <w:tcW w:w="108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风机</w:t>
            </w:r>
          </w:p>
        </w:tc>
        <w:tc>
          <w:tcPr>
            <w:tcW w:w="81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80</w:t>
            </w:r>
          </w:p>
        </w:tc>
        <w:tc>
          <w:tcPr>
            <w:tcW w:w="82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w:t>
            </w:r>
          </w:p>
        </w:tc>
        <w:tc>
          <w:tcPr>
            <w:tcW w:w="282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106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30</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依据《环境影响评价技术导则 声环境》（HJ2.4-2021），按式（B.2）计算某一室内声源靠近围护结构处产生的倍频带有声压级或A声级：</w:t>
      </w:r>
    </w:p>
    <w:p>
      <w:pPr>
        <w:numPr>
          <w:ilvl w:val="0"/>
          <w:numId w:val="0"/>
        </w:numPr>
        <w:spacing w:before="2" w:line="385" w:lineRule="auto"/>
        <w:ind w:right="70" w:rightChars="0"/>
        <w:jc w:val="both"/>
        <w:rPr>
          <w:rFonts w:hint="eastAsia"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position w:val="-28"/>
          <w:highlight w:val="none"/>
          <w:lang w:val="en-US" w:eastAsia="zh-CN"/>
        </w:rPr>
        <w:object>
          <v:shape id="_x0000_i1026" o:spt="75" type="#_x0000_t75" style="height:34pt;width:132pt;" o:ole="t" filled="f" o:preferrelative="t" stroked="f" coordsize="21600,21600">
            <v:path/>
            <v:fill on="f" focussize="0,0"/>
            <v:stroke on="f"/>
            <v:imagedata r:id="rId34" o:title=""/>
            <o:lock v:ext="edit" aspectratio="t"/>
            <w10:wrap type="none"/>
            <w10:anchorlock/>
          </v:shape>
          <o:OLEObject Type="Embed" ProgID="Equation.KSEE3" ShapeID="_x0000_i1026" DrawAspect="Content" ObjectID="_1468075726" r:id="rId33">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式中：</w:t>
      </w:r>
      <w:r>
        <w:rPr>
          <w:rFonts w:hint="default" w:ascii="Times New Roman" w:hAnsi="Times New Roman" w:eastAsia="宋体" w:cs="Times New Roman"/>
          <w:caps w:val="0"/>
          <w:smallCaps w:val="0"/>
          <w:color w:val="auto"/>
          <w:spacing w:val="0"/>
          <w:w w:val="100"/>
          <w:kern w:val="0"/>
          <w:sz w:val="24"/>
          <w:szCs w:val="24"/>
          <w:highlight w:val="none"/>
          <w:lang w:val="en-US" w:eastAsia="zh-CN"/>
        </w:rPr>
        <w:object>
          <v:shape id="_x0000_i1027" o:spt="75" type="#_x0000_t75" style="height:19pt;width:17pt;" o:ole="t" filled="f" o:preferrelative="t" stroked="f" coordsize="21600,21600">
            <v:path/>
            <v:fill on="f" focussize="0,0"/>
            <v:stroke on="f"/>
            <v:imagedata r:id="rId36" o:title=""/>
            <o:lock v:ext="edit" aspectratio="t"/>
            <w10:wrap type="none"/>
            <w10:anchorlock/>
          </v:shape>
          <o:OLEObject Type="Embed" ProgID="Equation.KSEE3" ShapeID="_x0000_i1027" DrawAspect="Content" ObjectID="_1468075727" r:id="rId35">
            <o:LockedField>false</o:LockedField>
          </o:OLEObject>
        </w:object>
      </w:r>
      <w:r>
        <w:rPr>
          <w:rFonts w:hint="default" w:ascii="Times New Roman" w:hAnsi="Times New Roman" w:eastAsia="宋体" w:cs="Times New Roman"/>
          <w:caps w:val="0"/>
          <w:smallCaps w:val="0"/>
          <w:color w:val="auto"/>
          <w:spacing w:val="0"/>
          <w:w w:val="100"/>
          <w:kern w:val="0"/>
          <w:sz w:val="24"/>
          <w:szCs w:val="24"/>
          <w:highlight w:val="none"/>
          <w:lang w:val="en-US" w:eastAsia="zh-CN"/>
        </w:rPr>
        <w:t>--靠近开口处（或窗户）室内某倍频带的声压级或A声级，dB；</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object>
          <v:shape id="_x0000_i1028" o:spt="75" type="#_x0000_t75" style="height:18pt;width:15pt;" o:ole="t" filled="f" o:preferrelative="t" stroked="f" coordsize="21600,21600">
            <v:path/>
            <v:fill on="f" focussize="0,0"/>
            <v:stroke on="f"/>
            <v:imagedata r:id="rId38" o:title=""/>
            <o:lock v:ext="edit" aspectratio="t"/>
            <w10:wrap type="none"/>
            <w10:anchorlock/>
          </v:shape>
          <o:OLEObject Type="Embed" ProgID="Equation.KSEE3" ShapeID="_x0000_i1028" DrawAspect="Content" ObjectID="_1468075728" r:id="rId37">
            <o:LockedField>false</o:LockedField>
          </o:OLEObject>
        </w:object>
      </w:r>
      <w:r>
        <w:rPr>
          <w:rFonts w:hint="default" w:ascii="Times New Roman" w:hAnsi="Times New Roman" w:eastAsia="宋体" w:cs="Times New Roman"/>
          <w:caps w:val="0"/>
          <w:smallCaps w:val="0"/>
          <w:color w:val="auto"/>
          <w:spacing w:val="0"/>
          <w:w w:val="100"/>
          <w:kern w:val="0"/>
          <w:sz w:val="24"/>
          <w:szCs w:val="24"/>
          <w:highlight w:val="none"/>
          <w:lang w:val="en-US" w:eastAsia="zh-CN"/>
        </w:rPr>
        <w:t>--点声源声功率级（A计权或倍频带），dB；</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object>
          <v:shape id="_x0000_i1029" o:spt="75" type="#_x0000_t75" style="height:16pt;width:12pt;" o:ole="t" filled="f" o:preferrelative="t" stroked="f" coordsize="21600,21600">
            <v:path/>
            <v:fill on="f" focussize="0,0"/>
            <v:stroke on="f"/>
            <v:imagedata r:id="rId40" o:title=""/>
            <o:lock v:ext="edit" aspectratio="t"/>
            <w10:wrap type="none"/>
            <w10:anchorlock/>
          </v:shape>
          <o:OLEObject Type="Embed" ProgID="Equation.KSEE3" ShapeID="_x0000_i1029" DrawAspect="Content" ObjectID="_1468075729" r:id="rId39">
            <o:LockedField>false</o:LockedField>
          </o:OLEObject>
        </w:object>
      </w:r>
      <w:r>
        <w:rPr>
          <w:rFonts w:hint="default" w:ascii="Times New Roman" w:hAnsi="Times New Roman" w:eastAsia="宋体" w:cs="Times New Roman"/>
          <w:caps w:val="0"/>
          <w:smallCaps w:val="0"/>
          <w:color w:val="auto"/>
          <w:spacing w:val="0"/>
          <w:w w:val="100"/>
          <w:kern w:val="0"/>
          <w:sz w:val="24"/>
          <w:szCs w:val="24"/>
          <w:highlight w:val="none"/>
          <w:lang w:val="en-US" w:eastAsia="zh-CN"/>
        </w:rPr>
        <w:t>--指向性因素，通常对无指向性声源，当声源放在房间中心时，Q=1；当放在一面墙的中心时，</w:t>
      </w:r>
      <w:r>
        <w:rPr>
          <w:rFonts w:hint="default" w:ascii="Times New Roman" w:hAnsi="Times New Roman" w:eastAsia="宋体" w:cs="Times New Roman"/>
          <w:caps w:val="0"/>
          <w:smallCaps w:val="0"/>
          <w:color w:val="auto"/>
          <w:spacing w:val="0"/>
          <w:w w:val="100"/>
          <w:kern w:val="0"/>
          <w:sz w:val="24"/>
          <w:szCs w:val="24"/>
          <w:highlight w:val="none"/>
          <w:lang w:val="en-US" w:eastAsia="zh-CN"/>
        </w:rPr>
        <w:object>
          <v:shape id="_x0000_i1030" o:spt="75" type="#_x0000_t75" style="height:16pt;width:30pt;" o:ole="t" filled="f" o:preferrelative="t" stroked="f" coordsize="21600,21600">
            <v:path/>
            <v:fill on="f" focussize="0,0"/>
            <v:stroke on="f"/>
            <v:imagedata r:id="rId42" o:title=""/>
            <o:lock v:ext="edit" aspectratio="t"/>
            <w10:wrap type="none"/>
            <w10:anchorlock/>
          </v:shape>
          <o:OLEObject Type="Embed" ProgID="Equation.KSEE3" ShapeID="_x0000_i1030" DrawAspect="Content" ObjectID="_1468075730" r:id="rId41">
            <o:LockedField>false</o:LockedField>
          </o:OLEObject>
        </w:object>
      </w:r>
      <w:r>
        <w:rPr>
          <w:rFonts w:hint="default" w:ascii="Times New Roman" w:hAnsi="Times New Roman" w:eastAsia="宋体" w:cs="Times New Roman"/>
          <w:caps w:val="0"/>
          <w:smallCaps w:val="0"/>
          <w:color w:val="auto"/>
          <w:spacing w:val="0"/>
          <w:w w:val="100"/>
          <w:kern w:val="0"/>
          <w:sz w:val="24"/>
          <w:szCs w:val="24"/>
          <w:highlight w:val="none"/>
          <w:lang w:val="en-US" w:eastAsia="zh-CN"/>
        </w:rPr>
        <w:t>；当放在两面墙夹角处时，</w:t>
      </w:r>
      <w:r>
        <w:rPr>
          <w:rFonts w:hint="default" w:ascii="Times New Roman" w:hAnsi="Times New Roman" w:eastAsia="宋体" w:cs="Times New Roman"/>
          <w:caps w:val="0"/>
          <w:smallCaps w:val="0"/>
          <w:color w:val="auto"/>
          <w:spacing w:val="0"/>
          <w:w w:val="100"/>
          <w:kern w:val="0"/>
          <w:sz w:val="24"/>
          <w:szCs w:val="24"/>
          <w:highlight w:val="none"/>
          <w:lang w:val="en-US" w:eastAsia="zh-CN"/>
        </w:rPr>
        <w:object>
          <v:shape id="_x0000_i1031" o:spt="75" type="#_x0000_t75" style="height:16pt;width:30pt;" o:ole="t" filled="f" o:preferrelative="t" stroked="f" coordsize="21600,21600">
            <v:path/>
            <v:fill on="f" focussize="0,0"/>
            <v:stroke on="f"/>
            <v:imagedata r:id="rId44" o:title=""/>
            <o:lock v:ext="edit" aspectratio="t"/>
            <w10:wrap type="none"/>
            <w10:anchorlock/>
          </v:shape>
          <o:OLEObject Type="Embed" ProgID="Equation.KSEE3" ShapeID="_x0000_i1031" DrawAspect="Content" ObjectID="_1468075731" r:id="rId43">
            <o:LockedField>false</o:LockedField>
          </o:OLEObject>
        </w:object>
      </w:r>
      <w:r>
        <w:rPr>
          <w:rFonts w:hint="default" w:ascii="Times New Roman" w:hAnsi="Times New Roman" w:eastAsia="宋体" w:cs="Times New Roman"/>
          <w:caps w:val="0"/>
          <w:smallCaps w:val="0"/>
          <w:color w:val="auto"/>
          <w:spacing w:val="0"/>
          <w:w w:val="100"/>
          <w:kern w:val="0"/>
          <w:sz w:val="24"/>
          <w:szCs w:val="24"/>
          <w:highlight w:val="none"/>
          <w:lang w:val="en-US" w:eastAsia="zh-CN"/>
        </w:rPr>
        <w:t>；当放在三面墙夹角处时，</w:t>
      </w:r>
      <w:r>
        <w:rPr>
          <w:rFonts w:hint="default" w:ascii="Times New Roman" w:hAnsi="Times New Roman" w:eastAsia="宋体" w:cs="Times New Roman"/>
          <w:caps w:val="0"/>
          <w:smallCaps w:val="0"/>
          <w:color w:val="auto"/>
          <w:spacing w:val="0"/>
          <w:w w:val="100"/>
          <w:kern w:val="0"/>
          <w:sz w:val="24"/>
          <w:szCs w:val="24"/>
          <w:highlight w:val="none"/>
          <w:lang w:val="en-US" w:eastAsia="zh-CN"/>
        </w:rPr>
        <w:object>
          <v:shape id="_x0000_i1032" o:spt="75" type="#_x0000_t75" style="height:16pt;width:30pt;" o:ole="t" filled="f" o:preferrelative="t" stroked="f" coordsize="21600,21600">
            <v:path/>
            <v:fill on="f" focussize="0,0"/>
            <v:stroke on="f"/>
            <v:imagedata r:id="rId46" o:title=""/>
            <o:lock v:ext="edit" aspectratio="t"/>
            <w10:wrap type="none"/>
            <w10:anchorlock/>
          </v:shape>
          <o:OLEObject Type="Embed" ProgID="Equation.KSEE3" ShapeID="_x0000_i1032" DrawAspect="Content" ObjectID="_1468075732" r:id="rId45">
            <o:LockedField>false</o:LockedField>
          </o:OLEObject>
        </w:object>
      </w: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w:t>
      </w:r>
      <w:r>
        <w:rPr>
          <w:rFonts w:hint="eastAsia" w:ascii="Times New Roman" w:hAnsi="Times New Roman" w:eastAsia="宋体" w:cs="Times New Roman"/>
          <w:caps w:val="0"/>
          <w:smallCaps w:val="0"/>
          <w:color w:val="auto"/>
          <w:spacing w:val="0"/>
          <w:w w:val="100"/>
          <w:kern w:val="0"/>
          <w:sz w:val="24"/>
          <w:szCs w:val="24"/>
          <w:highlight w:val="none"/>
          <w:lang w:val="en-US" w:eastAsia="zh-CN"/>
        </w:rPr>
        <w:t>设备均为地面进行基础减振安装方式，</w:t>
      </w:r>
      <w:r>
        <w:rPr>
          <w:rFonts w:hint="default" w:ascii="Times New Roman" w:hAnsi="Times New Roman" w:eastAsia="宋体" w:cs="Times New Roman"/>
          <w:caps w:val="0"/>
          <w:smallCaps w:val="0"/>
          <w:color w:val="auto"/>
          <w:spacing w:val="0"/>
          <w:w w:val="100"/>
          <w:kern w:val="0"/>
          <w:sz w:val="24"/>
          <w:szCs w:val="24"/>
          <w:highlight w:val="none"/>
          <w:lang w:val="en-US" w:eastAsia="zh-CN"/>
        </w:rPr>
        <w:t>Q取2；</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object>
          <v:shape id="_x0000_i1033" o:spt="75" type="#_x0000_t75" style="height:13pt;width:12pt;" o:ole="t" filled="f" o:preferrelative="t" stroked="f" coordsize="21600,21600">
            <v:path/>
            <v:fill on="f" focussize="0,0"/>
            <v:stroke on="f"/>
            <v:imagedata r:id="rId48" o:title=""/>
            <o:lock v:ext="edit" aspectratio="t"/>
            <w10:wrap type="none"/>
            <w10:anchorlock/>
          </v:shape>
          <o:OLEObject Type="Embed" ProgID="Equation.KSEE3" ShapeID="_x0000_i1033" DrawAspect="Content" ObjectID="_1468075733" r:id="rId47">
            <o:LockedField>false</o:LockedField>
          </o:OLEObject>
        </w:object>
      </w:r>
      <w:r>
        <w:rPr>
          <w:rFonts w:hint="default" w:ascii="Times New Roman" w:hAnsi="Times New Roman" w:eastAsia="宋体" w:cs="Times New Roman"/>
          <w:caps w:val="0"/>
          <w:smallCaps w:val="0"/>
          <w:color w:val="auto"/>
          <w:spacing w:val="0"/>
          <w:w w:val="100"/>
          <w:kern w:val="0"/>
          <w:sz w:val="24"/>
          <w:szCs w:val="24"/>
          <w:highlight w:val="none"/>
          <w:lang w:val="en-US" w:eastAsia="zh-CN"/>
        </w:rPr>
        <w:t>--房间常数；</w:t>
      </w:r>
      <w:r>
        <w:rPr>
          <w:rFonts w:hint="default" w:ascii="Times New Roman" w:hAnsi="Times New Roman" w:eastAsia="宋体" w:cs="Times New Roman"/>
          <w:caps w:val="0"/>
          <w:smallCaps w:val="0"/>
          <w:color w:val="auto"/>
          <w:spacing w:val="0"/>
          <w:w w:val="100"/>
          <w:kern w:val="0"/>
          <w:sz w:val="24"/>
          <w:szCs w:val="24"/>
          <w:highlight w:val="none"/>
          <w:lang w:val="en-US" w:eastAsia="zh-CN"/>
        </w:rPr>
        <w:object>
          <v:shape id="_x0000_i1034" o:spt="75" type="#_x0000_t75" style="height:16pt;width:75pt;" o:ole="t" filled="f" o:preferrelative="t" stroked="f" coordsize="21600,21600">
            <v:path/>
            <v:fill on="f" focussize="0,0"/>
            <v:stroke on="f"/>
            <v:imagedata r:id="rId50" o:title=""/>
            <o:lock v:ext="edit" aspectratio="t"/>
            <w10:wrap type="none"/>
            <w10:anchorlock/>
          </v:shape>
          <o:OLEObject Type="Embed" ProgID="Equation.KSEE3" ShapeID="_x0000_i1034" DrawAspect="Content" ObjectID="_1468075734" r:id="rId49">
            <o:LockedField>false</o:LockedField>
          </o:OLEObject>
        </w:objec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object>
          <v:shape id="_x0000_i1035" o:spt="75" type="#_x0000_t75" style="height:13.95pt;width:11pt;" o:ole="t" filled="f" o:preferrelative="t" stroked="f" coordsize="21600,21600">
            <v:path/>
            <v:fill on="f" focussize="0,0"/>
            <v:stroke on="f"/>
            <v:imagedata r:id="rId52" o:title=""/>
            <o:lock v:ext="edit" aspectratio="t"/>
            <w10:wrap type="none"/>
            <w10:anchorlock/>
          </v:shape>
          <o:OLEObject Type="Embed" ProgID="Equation.KSEE3" ShapeID="_x0000_i1035" DrawAspect="Content" ObjectID="_1468075735" r:id="rId51">
            <o:LockedField>false</o:LockedField>
          </o:OLEObject>
        </w:object>
      </w:r>
      <w:r>
        <w:rPr>
          <w:rFonts w:hint="default" w:ascii="Times New Roman" w:hAnsi="Times New Roman" w:eastAsia="宋体" w:cs="Times New Roman"/>
          <w:caps w:val="0"/>
          <w:smallCaps w:val="0"/>
          <w:color w:val="auto"/>
          <w:spacing w:val="0"/>
          <w:w w:val="100"/>
          <w:kern w:val="0"/>
          <w:sz w:val="24"/>
          <w:szCs w:val="24"/>
          <w:highlight w:val="none"/>
          <w:lang w:val="en-US" w:eastAsia="zh-CN"/>
        </w:rPr>
        <w:t>为房间内表面面积，m2；</w:t>
      </w:r>
      <w:r>
        <w:rPr>
          <w:rFonts w:hint="default" w:ascii="Times New Roman" w:hAnsi="Times New Roman" w:eastAsia="宋体" w:cs="Times New Roman"/>
          <w:caps w:val="0"/>
          <w:smallCaps w:val="0"/>
          <w:color w:val="auto"/>
          <w:spacing w:val="0"/>
          <w:w w:val="100"/>
          <w:kern w:val="0"/>
          <w:sz w:val="24"/>
          <w:szCs w:val="24"/>
          <w:highlight w:val="none"/>
          <w:lang w:val="en-US" w:eastAsia="zh-CN"/>
        </w:rPr>
        <w:object>
          <v:shape id="_x0000_i1036" o:spt="75" type="#_x0000_t75" style="height:11pt;width:12pt;" o:ole="t" filled="f" o:preferrelative="t" stroked="f" coordsize="21600,21600">
            <v:path/>
            <v:fill on="f" focussize="0,0"/>
            <v:stroke on="f"/>
            <v:imagedata r:id="rId54" o:title=""/>
            <o:lock v:ext="edit" aspectratio="t"/>
            <w10:wrap type="none"/>
            <w10:anchorlock/>
          </v:shape>
          <o:OLEObject Type="Embed" ProgID="Equation.KSEE3" ShapeID="_x0000_i1036" DrawAspect="Content" ObjectID="_1468075736" r:id="rId53">
            <o:LockedField>false</o:LockedField>
          </o:OLEObject>
        </w:object>
      </w:r>
      <w:r>
        <w:rPr>
          <w:rFonts w:hint="default" w:ascii="Times New Roman" w:hAnsi="Times New Roman" w:eastAsia="宋体" w:cs="Times New Roman"/>
          <w:caps w:val="0"/>
          <w:smallCaps w:val="0"/>
          <w:color w:val="auto"/>
          <w:spacing w:val="0"/>
          <w:w w:val="100"/>
          <w:kern w:val="0"/>
          <w:sz w:val="24"/>
          <w:szCs w:val="24"/>
          <w:highlight w:val="none"/>
          <w:lang w:val="en-US" w:eastAsia="zh-CN"/>
        </w:rPr>
        <w:t>为平均吸声系数；锅炉房为钢筋混凝土结构，α取值0.02，锅炉房层高为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m，S为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70</w:t>
      </w:r>
      <w:r>
        <w:rPr>
          <w:rFonts w:hint="default" w:ascii="Times New Roman" w:hAnsi="Times New Roman" w:eastAsia="宋体" w:cs="Times New Roman"/>
          <w:caps w:val="0"/>
          <w:smallCaps w:val="0"/>
          <w:color w:val="auto"/>
          <w:spacing w:val="0"/>
          <w:w w:val="100"/>
          <w:kern w:val="0"/>
          <w:sz w:val="24"/>
          <w:szCs w:val="24"/>
          <w:highlight w:val="none"/>
          <w:lang w:val="en-US" w:eastAsia="zh-CN"/>
        </w:rPr>
        <w:t>，计算R为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；1.43</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object>
          <v:shape id="_x0000_i1037" o:spt="75" type="#_x0000_t75" style="height:10pt;width:9pt;" o:ole="t" filled="f" o:preferrelative="t" stroked="f" coordsize="21600,21600">
            <v:path/>
            <v:fill on="f" focussize="0,0"/>
            <v:stroke on="f"/>
            <v:imagedata r:id="rId56" o:title=""/>
            <o:lock v:ext="edit" aspectratio="t"/>
            <w10:wrap type="none"/>
            <w10:anchorlock/>
          </v:shape>
          <o:OLEObject Type="Embed" ProgID="Equation.KSEE3" ShapeID="_x0000_i1037" DrawAspect="Content" ObjectID="_1468075737" r:id="rId55">
            <o:LockedField>false</o:LockedField>
          </o:OLEObject>
        </w:object>
      </w:r>
      <w:r>
        <w:rPr>
          <w:rFonts w:hint="default" w:ascii="Times New Roman" w:hAnsi="Times New Roman" w:eastAsia="宋体" w:cs="Times New Roman"/>
          <w:caps w:val="0"/>
          <w:smallCaps w:val="0"/>
          <w:color w:val="auto"/>
          <w:spacing w:val="0"/>
          <w:w w:val="100"/>
          <w:kern w:val="0"/>
          <w:sz w:val="24"/>
          <w:szCs w:val="24"/>
          <w:highlight w:val="none"/>
          <w:lang w:val="en-US" w:eastAsia="zh-CN"/>
        </w:rPr>
        <w:t>--声源到靠近围护结构某点处的距离；m。</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object>
          <v:shape id="_x0000_i1038" o:spt="75" type="#_x0000_t75" style="height:19pt;width:96pt;" o:ole="t" filled="f" o:preferrelative="t" stroked="f" coordsize="21600,21600">
            <v:path/>
            <v:fill on="f" focussize="0,0"/>
            <v:stroke on="f"/>
            <v:imagedata r:id="rId58" o:title=""/>
            <o:lock v:ext="edit" aspectratio="t"/>
            <w10:wrap type="none"/>
            <w10:anchorlock/>
          </v:shape>
          <o:OLEObject Type="Embed" ProgID="Equation.KSEE3" ShapeID="_x0000_i1038" DrawAspect="Content" ObjectID="_1468075738" r:id="rId57">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式中：</w:t>
      </w:r>
      <w:r>
        <w:rPr>
          <w:rFonts w:hint="default" w:ascii="Times New Roman" w:hAnsi="Times New Roman" w:eastAsia="宋体" w:cs="Times New Roman"/>
          <w:caps w:val="0"/>
          <w:smallCaps w:val="0"/>
          <w:color w:val="auto"/>
          <w:spacing w:val="0"/>
          <w:w w:val="100"/>
          <w:kern w:val="0"/>
          <w:sz w:val="24"/>
          <w:szCs w:val="24"/>
          <w:highlight w:val="none"/>
          <w:lang w:val="en-US" w:eastAsia="zh-CN"/>
        </w:rPr>
        <w:object>
          <v:shape id="_x0000_i1039" o:spt="75" type="#_x0000_t75" style="height:19pt;width:19pt;" o:ole="t" filled="f" o:preferrelative="t" stroked="f" coordsize="21600,21600">
            <v:path/>
            <v:fill on="f" focussize="0,0"/>
            <v:stroke on="f"/>
            <v:imagedata r:id="rId60" o:title=""/>
            <o:lock v:ext="edit" aspectratio="t"/>
            <w10:wrap type="none"/>
            <w10:anchorlock/>
          </v:shape>
          <o:OLEObject Type="Embed" ProgID="Equation.KSEE3" ShapeID="_x0000_i1039" DrawAspect="Content" ObjectID="_1468075739" r:id="rId59">
            <o:LockedField>false</o:LockedField>
          </o:OLEObject>
        </w:object>
      </w:r>
      <w:r>
        <w:rPr>
          <w:rFonts w:hint="default" w:ascii="Times New Roman" w:hAnsi="Times New Roman" w:eastAsia="宋体" w:cs="Times New Roman"/>
          <w:caps w:val="0"/>
          <w:smallCaps w:val="0"/>
          <w:color w:val="auto"/>
          <w:spacing w:val="0"/>
          <w:w w:val="100"/>
          <w:kern w:val="0"/>
          <w:sz w:val="24"/>
          <w:szCs w:val="24"/>
          <w:highlight w:val="none"/>
          <w:lang w:val="en-US" w:eastAsia="zh-CN"/>
        </w:rPr>
        <w:t>--靠近</w:t>
      </w:r>
      <w:r>
        <w:rPr>
          <w:rFonts w:hint="eastAsia" w:ascii="Times New Roman" w:hAnsi="Times New Roman" w:eastAsia="宋体" w:cs="Times New Roman"/>
          <w:caps w:val="0"/>
          <w:smallCaps w:val="0"/>
          <w:color w:val="auto"/>
          <w:spacing w:val="0"/>
          <w:w w:val="100"/>
          <w:kern w:val="0"/>
          <w:sz w:val="24"/>
          <w:szCs w:val="24"/>
          <w:highlight w:val="none"/>
          <w:lang w:val="en-US" w:eastAsia="zh-CN"/>
        </w:rPr>
        <w:t>围护结构</w:t>
      </w:r>
      <w:r>
        <w:rPr>
          <w:rFonts w:hint="default" w:ascii="Times New Roman" w:hAnsi="Times New Roman" w:eastAsia="宋体" w:cs="Times New Roman"/>
          <w:caps w:val="0"/>
          <w:smallCaps w:val="0"/>
          <w:color w:val="auto"/>
          <w:spacing w:val="0"/>
          <w:w w:val="100"/>
          <w:kern w:val="0"/>
          <w:sz w:val="24"/>
          <w:szCs w:val="24"/>
          <w:highlight w:val="none"/>
          <w:lang w:val="en-US" w:eastAsia="zh-CN"/>
        </w:rPr>
        <w:t>室外某倍频带的声压级或A声级，dB；</w:t>
      </w:r>
    </w:p>
    <w:p>
      <w:pPr>
        <w:keepNext w:val="0"/>
        <w:keepLines w:val="0"/>
        <w:pageBreakBefore w:val="0"/>
        <w:widowControl w:val="0"/>
        <w:kinsoku/>
        <w:wordWrap/>
        <w:overflowPunct/>
        <w:topLinePunct w:val="0"/>
        <w:autoSpaceDE/>
        <w:autoSpaceDN/>
        <w:bidi w:val="0"/>
        <w:adjustRightInd w:val="0"/>
        <w:snapToGrid w:val="0"/>
        <w:spacing w:line="500" w:lineRule="exact"/>
        <w:ind w:firstLine="1200" w:firstLineChars="5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object>
          <v:shape id="_x0000_i1040" o:spt="75" type="#_x0000_t75" style="height:13pt;width:17pt;" o:ole="t" filled="f" o:preferrelative="t" stroked="f" coordsize="21600,21600">
            <v:path/>
            <v:fill on="f" focussize="0,0"/>
            <v:stroke on="f"/>
            <v:imagedata r:id="rId62" o:title=""/>
            <o:lock v:ext="edit" aspectratio="t"/>
            <w10:wrap type="none"/>
            <w10:anchorlock/>
          </v:shape>
          <o:OLEObject Type="Embed" ProgID="Equation.KSEE3" ShapeID="_x0000_i1040" DrawAspect="Content" ObjectID="_1468075740" r:id="rId61">
            <o:LockedField>false</o:LockedField>
          </o:OLEObject>
        </w:object>
      </w:r>
      <w:r>
        <w:rPr>
          <w:rFonts w:hint="default" w:ascii="Times New Roman" w:hAnsi="Times New Roman" w:eastAsia="宋体" w:cs="Times New Roman"/>
          <w:caps w:val="0"/>
          <w:smallCaps w:val="0"/>
          <w:color w:val="auto"/>
          <w:spacing w:val="0"/>
          <w:w w:val="100"/>
          <w:kern w:val="0"/>
          <w:sz w:val="24"/>
          <w:szCs w:val="24"/>
          <w:highlight w:val="none"/>
          <w:lang w:val="en-US" w:eastAsia="zh-CN"/>
        </w:rPr>
        <w:t>--隔墙倍频带或A声级的隔声量，dB。</w:t>
      </w:r>
    </w:p>
    <w:p>
      <w:pPr>
        <w:rPr>
          <w:rFonts w:hint="eastAsia" w:ascii="Times New Roman" w:hAnsi="Times New Roman" w:eastAsia="宋体" w:cs="Times New Roman"/>
          <w:color w:val="auto"/>
          <w:spacing w:val="24"/>
          <w:sz w:val="24"/>
          <w:szCs w:val="24"/>
          <w:highlight w:val="none"/>
          <w:lang w:val="en-US" w:eastAsia="zh-CN"/>
        </w:rPr>
      </w:pPr>
      <w:r>
        <w:rPr>
          <w:rFonts w:hint="eastAsia" w:ascii="Times New Roman" w:hAnsi="Times New Roman" w:eastAsia="宋体" w:cs="Times New Roman"/>
          <w:color w:val="auto"/>
          <w:spacing w:val="24"/>
          <w:sz w:val="24"/>
          <w:szCs w:val="24"/>
          <w:highlight w:val="none"/>
          <w:lang w:val="en-US" w:eastAsia="zh-CN"/>
        </w:rPr>
        <w:br w:type="page"/>
      </w:r>
    </w:p>
    <w:p>
      <w:pPr>
        <w:pStyle w:val="15"/>
        <w:ind w:left="0" w:leftChars="0" w:firstLine="0" w:firstLineChars="0"/>
        <w:rPr>
          <w:rFonts w:hint="eastAsia"/>
          <w:color w:val="auto"/>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center"/>
        <w:textAlignment w:val="auto"/>
        <w:rPr>
          <w:rFonts w:hint="eastAsia" w:ascii="Times New Roman" w:hAnsi="Times New Roman" w:eastAsia="宋体" w:cs="Times New Roman"/>
          <w:b/>
          <w:bCs/>
          <w:smallCaps w:val="0"/>
          <w:color w:val="auto"/>
          <w:spacing w:val="0"/>
          <w:w w:val="100"/>
          <w:kern w:val="0"/>
          <w:sz w:val="24"/>
          <w:highlight w:val="none"/>
          <w:lang w:val="en-US" w:eastAsia="zh-CN" w:bidi="ar"/>
        </w:rPr>
      </w:pPr>
      <w:r>
        <w:rPr>
          <w:rFonts w:hint="eastAsia" w:ascii="Times New Roman" w:hAnsi="Times New Roman" w:eastAsia="宋体" w:cs="Times New Roman"/>
          <w:b/>
          <w:bCs/>
          <w:smallCaps w:val="0"/>
          <w:color w:val="auto"/>
          <w:spacing w:val="0"/>
          <w:w w:val="100"/>
          <w:kern w:val="0"/>
          <w:sz w:val="24"/>
          <w:highlight w:val="none"/>
          <w:lang w:val="en-US" w:eastAsia="zh-CN" w:bidi="ar"/>
        </w:rPr>
        <w:t>表5.2-6主要噪声源及源强一览表</w:t>
      </w:r>
    </w:p>
    <w:tbl>
      <w:tblPr>
        <w:tblStyle w:val="13"/>
        <w:tblW w:w="499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56"/>
        <w:gridCol w:w="842"/>
        <w:gridCol w:w="957"/>
        <w:gridCol w:w="1004"/>
        <w:gridCol w:w="866"/>
        <w:gridCol w:w="819"/>
        <w:gridCol w:w="784"/>
        <w:gridCol w:w="1738"/>
        <w:gridCol w:w="1470"/>
        <w:gridCol w:w="990"/>
        <w:gridCol w:w="1425"/>
        <w:gridCol w:w="1683"/>
        <w:gridCol w:w="93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1"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建筑物名称</w:t>
            </w:r>
          </w:p>
        </w:tc>
        <w:tc>
          <w:tcPr>
            <w:tcW w:w="297"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噪声源</w:t>
            </w:r>
          </w:p>
        </w:tc>
        <w:tc>
          <w:tcPr>
            <w:tcW w:w="337"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单台设备源强/dB（A）</w:t>
            </w:r>
          </w:p>
        </w:tc>
        <w:tc>
          <w:tcPr>
            <w:tcW w:w="35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声源控制措施</w:t>
            </w:r>
          </w:p>
        </w:tc>
        <w:tc>
          <w:tcPr>
            <w:tcW w:w="871"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空间相对位置/m</w:t>
            </w:r>
          </w:p>
        </w:tc>
        <w:tc>
          <w:tcPr>
            <w:tcW w:w="61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距室内边界距离/m</w:t>
            </w:r>
          </w:p>
        </w:tc>
        <w:tc>
          <w:tcPr>
            <w:tcW w:w="51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室内边界声级/dB（A）</w:t>
            </w:r>
          </w:p>
        </w:tc>
        <w:tc>
          <w:tcPr>
            <w:tcW w:w="34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运行时段</w:t>
            </w:r>
          </w:p>
        </w:tc>
        <w:tc>
          <w:tcPr>
            <w:tcW w:w="503"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建筑物插入损失/dB（A）</w:t>
            </w:r>
          </w:p>
        </w:tc>
        <w:tc>
          <w:tcPr>
            <w:tcW w:w="922"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建筑物外噪声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1"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297"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337"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354"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3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X</w:t>
            </w:r>
          </w:p>
        </w:tc>
        <w:tc>
          <w:tcPr>
            <w:tcW w:w="28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Y</w:t>
            </w:r>
          </w:p>
        </w:tc>
        <w:tc>
          <w:tcPr>
            <w:tcW w:w="27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Z</w:t>
            </w:r>
          </w:p>
        </w:tc>
        <w:tc>
          <w:tcPr>
            <w:tcW w:w="613"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518"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349"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503" w:type="pct"/>
            <w:vMerge w:val="continue"/>
            <w:tcBorders>
              <w:tl2br w:val="nil"/>
              <w:tr2bl w:val="nil"/>
            </w:tcBorders>
            <w:noWrap w:val="0"/>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59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声压级/dB(A)</w:t>
            </w:r>
          </w:p>
        </w:tc>
        <w:tc>
          <w:tcPr>
            <w:tcW w:w="32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default" w:ascii="Times New Roman" w:hAnsi="Times New Roman" w:cs="Times New Roman"/>
                <w:color w:val="auto"/>
                <w:sz w:val="21"/>
                <w:szCs w:val="21"/>
                <w:highlight w:val="none"/>
                <w:vertAlign w:val="baseline"/>
                <w:lang w:val="en-US" w:eastAsia="zh-CN"/>
              </w:rPr>
              <w:t>建筑物外距离/m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1"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w:t>
            </w:r>
          </w:p>
        </w:tc>
        <w:tc>
          <w:tcPr>
            <w:tcW w:w="2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提升泵1</w:t>
            </w:r>
          </w:p>
        </w:tc>
        <w:tc>
          <w:tcPr>
            <w:tcW w:w="3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90</w:t>
            </w:r>
          </w:p>
        </w:tc>
        <w:tc>
          <w:tcPr>
            <w:tcW w:w="35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室内布置、基础减振、厂房隔声</w:t>
            </w:r>
          </w:p>
        </w:tc>
        <w:tc>
          <w:tcPr>
            <w:tcW w:w="3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-289.6</w:t>
            </w:r>
          </w:p>
        </w:tc>
        <w:tc>
          <w:tcPr>
            <w:tcW w:w="28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558.7</w:t>
            </w:r>
          </w:p>
        </w:tc>
        <w:tc>
          <w:tcPr>
            <w:tcW w:w="27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131.6</w:t>
            </w:r>
          </w:p>
        </w:tc>
        <w:tc>
          <w:tcPr>
            <w:tcW w:w="6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提升泵房-北：12.62</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提升泵房-东：28.23</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提升泵房-南：23.64</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提升泵房-西：7.13</w:t>
            </w:r>
          </w:p>
        </w:tc>
        <w:tc>
          <w:tcPr>
            <w:tcW w:w="51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提升泵房-北：80.24</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提升泵房-东：80.23</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提升泵房-南：80.23</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提升泵房-西：80.29</w:t>
            </w:r>
          </w:p>
        </w:tc>
        <w:tc>
          <w:tcPr>
            <w:tcW w:w="3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全年运行，8760h</w:t>
            </w:r>
          </w:p>
        </w:tc>
        <w:tc>
          <w:tcPr>
            <w:tcW w:w="50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提升泵房-北：41.00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提升泵房-东：41.00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提升泵房-南：41.00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提升泵房-西：41.00</w:t>
            </w:r>
          </w:p>
        </w:tc>
        <w:tc>
          <w:tcPr>
            <w:tcW w:w="59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提升泵房-北：39.24</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提升泵房-东：39.23</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提升泵房-南：39.23</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提升泵房-西：39.29</w:t>
            </w:r>
          </w:p>
        </w:tc>
        <w:tc>
          <w:tcPr>
            <w:tcW w:w="32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1"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2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提升泵2</w:t>
            </w:r>
          </w:p>
        </w:tc>
        <w:tc>
          <w:tcPr>
            <w:tcW w:w="3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90</w:t>
            </w:r>
          </w:p>
        </w:tc>
        <w:tc>
          <w:tcPr>
            <w:tcW w:w="35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3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-271.3</w:t>
            </w:r>
          </w:p>
        </w:tc>
        <w:tc>
          <w:tcPr>
            <w:tcW w:w="28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541.6</w:t>
            </w:r>
          </w:p>
        </w:tc>
        <w:tc>
          <w:tcPr>
            <w:tcW w:w="27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131.6</w:t>
            </w:r>
          </w:p>
        </w:tc>
        <w:tc>
          <w:tcPr>
            <w:tcW w:w="6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提升泵房-北：24.78</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提升泵房-东：7.85</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提升泵房-南：12.89</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提升泵房-西：28.87</w:t>
            </w:r>
          </w:p>
        </w:tc>
        <w:tc>
          <w:tcPr>
            <w:tcW w:w="51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提升泵房-北：80.23</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提升泵房-东：80.28</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提升泵房-南：80.24</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提升泵房-西：80.23</w:t>
            </w:r>
          </w:p>
        </w:tc>
        <w:tc>
          <w:tcPr>
            <w:tcW w:w="3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全年运行，8760h</w:t>
            </w:r>
          </w:p>
        </w:tc>
        <w:tc>
          <w:tcPr>
            <w:tcW w:w="50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提升泵房-北：41.00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提升泵房-东：41.00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提升泵房-南：41.00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提升泵房-西：41.00</w:t>
            </w:r>
          </w:p>
        </w:tc>
        <w:tc>
          <w:tcPr>
            <w:tcW w:w="59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提升泵房-北：39.23</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提升泵房-东：39.28</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提升泵房-南：39.24</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提升泵房-西：39.23</w:t>
            </w:r>
          </w:p>
        </w:tc>
        <w:tc>
          <w:tcPr>
            <w:tcW w:w="32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w:t>
            </w:r>
          </w:p>
        </w:tc>
        <w:tc>
          <w:tcPr>
            <w:tcW w:w="2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风机</w:t>
            </w:r>
          </w:p>
        </w:tc>
        <w:tc>
          <w:tcPr>
            <w:tcW w:w="3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80</w:t>
            </w:r>
          </w:p>
        </w:tc>
        <w:tc>
          <w:tcPr>
            <w:tcW w:w="35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3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-58.1</w:t>
            </w:r>
          </w:p>
        </w:tc>
        <w:tc>
          <w:tcPr>
            <w:tcW w:w="28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199.4</w:t>
            </w:r>
          </w:p>
        </w:tc>
        <w:tc>
          <w:tcPr>
            <w:tcW w:w="27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131.6</w:t>
            </w:r>
          </w:p>
        </w:tc>
        <w:tc>
          <w:tcPr>
            <w:tcW w:w="61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锅炉房-北：25.13</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锅炉房-东：13.30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锅炉房-南：11.16</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锅炉房-西：18.05</w:t>
            </w:r>
          </w:p>
        </w:tc>
        <w:tc>
          <w:tcPr>
            <w:tcW w:w="51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锅炉房-北：70.58</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锅炉房-东：70.60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锅炉房-南：70.60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锅炉房-西：70.59</w:t>
            </w:r>
          </w:p>
        </w:tc>
        <w:tc>
          <w:tcPr>
            <w:tcW w:w="3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运行180天，4320h</w:t>
            </w:r>
          </w:p>
        </w:tc>
        <w:tc>
          <w:tcPr>
            <w:tcW w:w="503"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锅炉房-北：41.00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锅炉房-东：41.00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锅炉房-南：41.00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锅炉房-西：41.00</w:t>
            </w:r>
          </w:p>
        </w:tc>
        <w:tc>
          <w:tcPr>
            <w:tcW w:w="59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锅炉房-北：29.58</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锅炉房-东：29.60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锅炉房-南：29.60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锅炉房-西：29.59</w:t>
            </w:r>
          </w:p>
        </w:tc>
        <w:tc>
          <w:tcPr>
            <w:tcW w:w="32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1"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w:t>
            </w:r>
          </w:p>
        </w:tc>
        <w:tc>
          <w:tcPr>
            <w:tcW w:w="29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风机</w:t>
            </w:r>
          </w:p>
        </w:tc>
        <w:tc>
          <w:tcPr>
            <w:tcW w:w="33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80</w:t>
            </w:r>
          </w:p>
        </w:tc>
        <w:tc>
          <w:tcPr>
            <w:tcW w:w="35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p>
        </w:tc>
        <w:tc>
          <w:tcPr>
            <w:tcW w:w="3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-71</w:t>
            </w:r>
          </w:p>
        </w:tc>
        <w:tc>
          <w:tcPr>
            <w:tcW w:w="28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24.9</w:t>
            </w:r>
          </w:p>
        </w:tc>
        <w:tc>
          <w:tcPr>
            <w:tcW w:w="27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131.5</w:t>
            </w:r>
          </w:p>
        </w:tc>
        <w:tc>
          <w:tcPr>
            <w:tcW w:w="1738"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综合楼-北：32.48</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综合楼-东：22.27</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综合楼-南：12.95</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综合楼-西：31.72</w:t>
            </w:r>
          </w:p>
        </w:tc>
        <w:tc>
          <w:tcPr>
            <w:tcW w:w="1470"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综合楼-北：64.16</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综合楼-东：64.17</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综合楼-南：64.22</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综合楼-西：64.16</w:t>
            </w:r>
          </w:p>
        </w:tc>
        <w:tc>
          <w:tcPr>
            <w:tcW w:w="34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w:t>
            </w:r>
          </w:p>
        </w:tc>
        <w:tc>
          <w:tcPr>
            <w:tcW w:w="1425"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综合楼-北：41.00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综合楼-东：41.00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综合楼-南：41.00</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综合楼-西：41.00</w:t>
            </w:r>
          </w:p>
        </w:tc>
        <w:tc>
          <w:tcPr>
            <w:tcW w:w="1683" w:type="dxa"/>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综合楼-北：23.16</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综合楼-东：23.17</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综合楼-南：23.22</w:t>
            </w:r>
          </w:p>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综合楼-西：23.16</w:t>
            </w:r>
          </w:p>
        </w:tc>
        <w:tc>
          <w:tcPr>
            <w:tcW w:w="32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w:t>
            </w:r>
          </w:p>
        </w:tc>
      </w:tr>
    </w:tbl>
    <w:p>
      <w:pPr>
        <w:rPr>
          <w:rFonts w:hint="eastAsia"/>
          <w:color w:val="auto"/>
          <w:highlight w:val="none"/>
          <w:lang w:val="en-US" w:eastAsia="zh-CN"/>
        </w:rPr>
      </w:pPr>
      <w:r>
        <w:rPr>
          <w:rFonts w:hint="eastAsia"/>
          <w:color w:val="auto"/>
          <w:highlight w:val="none"/>
          <w:lang w:val="en-US" w:eastAsia="zh-CN"/>
        </w:rPr>
        <w:br w:type="page"/>
      </w:r>
    </w:p>
    <w:p>
      <w:pPr>
        <w:pStyle w:val="15"/>
        <w:rPr>
          <w:rFonts w:hint="eastAsia"/>
          <w:color w:val="auto"/>
          <w:highlight w:val="none"/>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pPr>
        <w:rPr>
          <w:rFonts w:hint="eastAsia"/>
          <w:color w:val="auto"/>
          <w:highlight w:val="none"/>
          <w:lang w:val="en-US" w:eastAsia="zh-CN"/>
        </w:rPr>
      </w:pPr>
      <w:r>
        <w:rPr>
          <w:rFonts w:hint="eastAsia"/>
          <w:color w:val="auto"/>
          <w:highlight w:val="none"/>
          <w:lang w:val="en-US" w:eastAsia="zh-CN"/>
        </w:rPr>
        <w:drawing>
          <wp:inline distT="0" distB="0" distL="114300" distR="114300">
            <wp:extent cx="5260975" cy="3237230"/>
            <wp:effectExtent l="0" t="0" r="15875" b="1270"/>
            <wp:docPr id="24" name="图片 24" descr="运行期噪声预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运行期噪声预测图"/>
                    <pic:cNvPicPr>
                      <a:picLocks noChangeAspect="1"/>
                    </pic:cNvPicPr>
                  </pic:nvPicPr>
                  <pic:blipFill>
                    <a:blip r:embed="rId63"/>
                    <a:stretch>
                      <a:fillRect/>
                    </a:stretch>
                  </pic:blipFill>
                  <pic:spPr>
                    <a:xfrm>
                      <a:off x="0" y="0"/>
                      <a:ext cx="5260975" cy="3237230"/>
                    </a:xfrm>
                    <a:prstGeom prst="rect">
                      <a:avLst/>
                    </a:prstGeom>
                  </pic:spPr>
                </pic:pic>
              </a:graphicData>
            </a:graphic>
          </wp:inline>
        </w:drawing>
      </w:r>
    </w:p>
    <w:p>
      <w:pPr>
        <w:spacing w:line="500" w:lineRule="exact"/>
        <w:jc w:val="center"/>
        <w:rPr>
          <w:rFonts w:hint="default"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图 运行期噪声等线图</w:t>
      </w:r>
    </w:p>
    <w:p>
      <w:pPr>
        <w:spacing w:line="500" w:lineRule="exact"/>
        <w:jc w:val="center"/>
        <w:rPr>
          <w:rFonts w:hint="eastAsia" w:ascii="Times New Roman" w:hAnsi="Times New Roman" w:eastAsia="宋体" w:cs="Times New Roman"/>
          <w:b/>
          <w:bCs/>
          <w:color w:val="auto"/>
          <w:highlight w:val="none"/>
          <w:lang w:val="en-US" w:eastAsia="zh-CN"/>
        </w:rPr>
      </w:pPr>
      <w:r>
        <w:rPr>
          <w:rFonts w:hint="eastAsia" w:ascii="Times New Roman" w:hAnsi="Times New Roman" w:eastAsia="宋体" w:cs="Times New Roman"/>
          <w:b/>
          <w:bCs/>
          <w:color w:val="auto"/>
          <w:highlight w:val="none"/>
          <w:lang w:val="en-US" w:eastAsia="zh-CN"/>
        </w:rPr>
        <w:t>表5.6-7项目厂界噪声值预测结果一览表：dB(A)</w:t>
      </w:r>
    </w:p>
    <w:tbl>
      <w:tblPr>
        <w:tblStyle w:val="13"/>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63"/>
        <w:gridCol w:w="1063"/>
        <w:gridCol w:w="1063"/>
        <w:gridCol w:w="1066"/>
        <w:gridCol w:w="950"/>
        <w:gridCol w:w="1179"/>
        <w:gridCol w:w="1289"/>
        <w:gridCol w:w="83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预测</w:t>
            </w:r>
          </w:p>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方位</w:t>
            </w:r>
          </w:p>
        </w:tc>
        <w:tc>
          <w:tcPr>
            <w:tcW w:w="1874" w:type="pct"/>
            <w:gridSpan w:val="3"/>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空间相对位置/m</w:t>
            </w:r>
          </w:p>
        </w:tc>
        <w:tc>
          <w:tcPr>
            <w:tcW w:w="558"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时段</w:t>
            </w:r>
          </w:p>
        </w:tc>
        <w:tc>
          <w:tcPr>
            <w:tcW w:w="692"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预测值（dB(A)）</w:t>
            </w:r>
          </w:p>
        </w:tc>
        <w:tc>
          <w:tcPr>
            <w:tcW w:w="757"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标准限值（dB(A)）</w:t>
            </w:r>
          </w:p>
        </w:tc>
        <w:tc>
          <w:tcPr>
            <w:tcW w:w="492"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X</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Y</w:t>
            </w:r>
          </w:p>
        </w:tc>
        <w:tc>
          <w:tcPr>
            <w:tcW w:w="6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Z</w:t>
            </w:r>
          </w:p>
        </w:tc>
        <w:tc>
          <w:tcPr>
            <w:tcW w:w="558"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69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757"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492"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东侧</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1988.4</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222.5</w:t>
            </w:r>
          </w:p>
        </w:tc>
        <w:tc>
          <w:tcPr>
            <w:tcW w:w="6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133.5</w:t>
            </w:r>
          </w:p>
        </w:tc>
        <w:tc>
          <w:tcPr>
            <w:tcW w:w="5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昼间</w:t>
            </w:r>
          </w:p>
        </w:tc>
        <w:tc>
          <w:tcPr>
            <w:tcW w:w="6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7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60</w:t>
            </w:r>
          </w:p>
        </w:tc>
        <w:tc>
          <w:tcPr>
            <w:tcW w:w="4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东侧</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1988.4</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222.5</w:t>
            </w:r>
          </w:p>
        </w:tc>
        <w:tc>
          <w:tcPr>
            <w:tcW w:w="6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133.5</w:t>
            </w:r>
          </w:p>
        </w:tc>
        <w:tc>
          <w:tcPr>
            <w:tcW w:w="5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夜间</w:t>
            </w:r>
          </w:p>
        </w:tc>
        <w:tc>
          <w:tcPr>
            <w:tcW w:w="6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w:t>
            </w:r>
          </w:p>
        </w:tc>
        <w:tc>
          <w:tcPr>
            <w:tcW w:w="7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50</w:t>
            </w:r>
          </w:p>
        </w:tc>
        <w:tc>
          <w:tcPr>
            <w:tcW w:w="4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南侧</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-5.7</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-5.7</w:t>
            </w:r>
          </w:p>
        </w:tc>
        <w:tc>
          <w:tcPr>
            <w:tcW w:w="6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131.3</w:t>
            </w:r>
          </w:p>
        </w:tc>
        <w:tc>
          <w:tcPr>
            <w:tcW w:w="5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昼间</w:t>
            </w:r>
          </w:p>
        </w:tc>
        <w:tc>
          <w:tcPr>
            <w:tcW w:w="6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13.8</w:t>
            </w:r>
          </w:p>
        </w:tc>
        <w:tc>
          <w:tcPr>
            <w:tcW w:w="7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60</w:t>
            </w:r>
          </w:p>
        </w:tc>
        <w:tc>
          <w:tcPr>
            <w:tcW w:w="4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南侧</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-5.7</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-5.7</w:t>
            </w:r>
          </w:p>
        </w:tc>
        <w:tc>
          <w:tcPr>
            <w:tcW w:w="6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131.3</w:t>
            </w:r>
          </w:p>
        </w:tc>
        <w:tc>
          <w:tcPr>
            <w:tcW w:w="5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夜间</w:t>
            </w:r>
          </w:p>
        </w:tc>
        <w:tc>
          <w:tcPr>
            <w:tcW w:w="6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13.8</w:t>
            </w:r>
          </w:p>
        </w:tc>
        <w:tc>
          <w:tcPr>
            <w:tcW w:w="7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50</w:t>
            </w:r>
          </w:p>
        </w:tc>
        <w:tc>
          <w:tcPr>
            <w:tcW w:w="4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西侧</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-3.7</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3.1</w:t>
            </w:r>
          </w:p>
        </w:tc>
        <w:tc>
          <w:tcPr>
            <w:tcW w:w="6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131</w:t>
            </w:r>
          </w:p>
        </w:tc>
        <w:tc>
          <w:tcPr>
            <w:tcW w:w="5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昼间</w:t>
            </w:r>
          </w:p>
        </w:tc>
        <w:tc>
          <w:tcPr>
            <w:tcW w:w="6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14.2</w:t>
            </w:r>
          </w:p>
        </w:tc>
        <w:tc>
          <w:tcPr>
            <w:tcW w:w="7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60</w:t>
            </w:r>
          </w:p>
        </w:tc>
        <w:tc>
          <w:tcPr>
            <w:tcW w:w="4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西侧</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-3.7</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3.1</w:t>
            </w:r>
          </w:p>
        </w:tc>
        <w:tc>
          <w:tcPr>
            <w:tcW w:w="6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131</w:t>
            </w:r>
          </w:p>
        </w:tc>
        <w:tc>
          <w:tcPr>
            <w:tcW w:w="5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夜间</w:t>
            </w:r>
          </w:p>
        </w:tc>
        <w:tc>
          <w:tcPr>
            <w:tcW w:w="6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14.2</w:t>
            </w:r>
          </w:p>
        </w:tc>
        <w:tc>
          <w:tcPr>
            <w:tcW w:w="7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50</w:t>
            </w:r>
          </w:p>
        </w:tc>
        <w:tc>
          <w:tcPr>
            <w:tcW w:w="4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4"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北侧</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-256.3</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656.4</w:t>
            </w:r>
          </w:p>
        </w:tc>
        <w:tc>
          <w:tcPr>
            <w:tcW w:w="6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131.6</w:t>
            </w:r>
          </w:p>
        </w:tc>
        <w:tc>
          <w:tcPr>
            <w:tcW w:w="5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昼间</w:t>
            </w:r>
          </w:p>
        </w:tc>
        <w:tc>
          <w:tcPr>
            <w:tcW w:w="6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15.8</w:t>
            </w:r>
          </w:p>
        </w:tc>
        <w:tc>
          <w:tcPr>
            <w:tcW w:w="7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60</w:t>
            </w:r>
          </w:p>
        </w:tc>
        <w:tc>
          <w:tcPr>
            <w:tcW w:w="4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624" w:type="pct"/>
            <w:vMerge w:val="continue"/>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北侧</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-256.3</w:t>
            </w:r>
          </w:p>
        </w:tc>
        <w:tc>
          <w:tcPr>
            <w:tcW w:w="624"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656.4</w:t>
            </w:r>
          </w:p>
        </w:tc>
        <w:tc>
          <w:tcPr>
            <w:tcW w:w="62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131.6</w:t>
            </w:r>
          </w:p>
        </w:tc>
        <w:tc>
          <w:tcPr>
            <w:tcW w:w="55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夜间</w:t>
            </w:r>
          </w:p>
        </w:tc>
        <w:tc>
          <w:tcPr>
            <w:tcW w:w="6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15.8</w:t>
            </w:r>
          </w:p>
        </w:tc>
        <w:tc>
          <w:tcPr>
            <w:tcW w:w="75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50</w:t>
            </w:r>
          </w:p>
        </w:tc>
        <w:tc>
          <w:tcPr>
            <w:tcW w:w="49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达标</w:t>
            </w:r>
          </w:p>
        </w:tc>
      </w:tr>
    </w:tbl>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由上表数据可知，项目运行期间，通过采取屋内设备合理布局，基础减振及通过厂房墙体隔音降噪措施后，运行期间厂界噪声满足《工业企业厂界环境噪声排放标准》（GB12348-2008）2类标准的要求，无超标现象。本项目运营期噪声对当地环境的影响较小。</w:t>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color w:val="auto"/>
          <w:sz w:val="32"/>
          <w:highlight w:val="none"/>
          <w:lang w:val="en-US" w:eastAsia="zh-CN" w:bidi="ar-SA"/>
        </w:rPr>
      </w:pPr>
      <w:bookmarkStart w:id="713" w:name="_Toc19198"/>
      <w:r>
        <w:rPr>
          <w:rFonts w:hint="eastAsia" w:ascii="Times New Roman" w:hAnsi="Times New Roman" w:eastAsia="宋体" w:cs="Times New Roman"/>
          <w:snapToGrid/>
          <w:color w:val="auto"/>
          <w:sz w:val="32"/>
          <w:highlight w:val="none"/>
          <w:lang w:val="en-US" w:eastAsia="zh-CN" w:bidi="ar-SA"/>
        </w:rPr>
        <w:t>5.2.5运营期固废影响预测与评价</w:t>
      </w:r>
      <w:bookmarkEnd w:id="713"/>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本项目建设运行期间产生的固体废物主要为员工生活垃圾、植物废弃物、锅炉灰渣及除尘器收集沉渣。</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员工生活垃圾统一收集，拉运至村屯垃圾暂存点，等待集中拉运处置。植物废弃物送至生活垃圾填埋处理。锅炉灰渣及沉渣定期外售综合利用。运行期产生的固体废物均得到妥善处置，不会对环境产生明显影响。</w:t>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color w:val="auto"/>
          <w:sz w:val="32"/>
          <w:highlight w:val="none"/>
          <w:lang w:val="en-US" w:eastAsia="zh-CN" w:bidi="ar-SA"/>
        </w:rPr>
      </w:pPr>
      <w:bookmarkStart w:id="714" w:name="_Toc5462"/>
      <w:r>
        <w:rPr>
          <w:rFonts w:hint="eastAsia" w:ascii="Times New Roman" w:hAnsi="Times New Roman" w:eastAsia="宋体" w:cs="Times New Roman"/>
          <w:snapToGrid/>
          <w:color w:val="auto"/>
          <w:sz w:val="32"/>
          <w:highlight w:val="none"/>
          <w:lang w:val="en-US" w:eastAsia="zh-CN" w:bidi="ar-SA"/>
        </w:rPr>
        <w:t>5.2.6运营期生态影响预测及评价</w:t>
      </w:r>
      <w:bookmarkEnd w:id="714"/>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（1）对陆生生态影响分析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建设运行后，在湿地周围种植一些乔木植物，将原有裸土地进行绿化，增加单位面积陆生植物数量，有利于增加区域生物多样性。工程实施对动物生境的影响主要为改变原有占地生态环境，为生物提供良好栖息或觅(捕)食生境。项目所在区域陆生动物多为小型动物，栖息空间比较广泛，运行期动物生境基本不受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（2）对水生生态影响分析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安肇新河及库里泡水体内鱼类及其它水生生物都是河流水生环境中常见的物种，没有受保护或濒危物种，且安肇新河干渠内没有鱼类集中的产卵场、索饵场、越冬场。干渠水质得到改善，有助于水生生物的生长繁殖，改善水生生态环境，同时项目在运行期间安装视频监控设备，实时对进出水口及干渠内情况进行监控，防止发生干渠塌方情况。</w:t>
      </w:r>
    </w:p>
    <w:p>
      <w:pPr>
        <w:pStyle w:val="15"/>
        <w:rPr>
          <w:rFonts w:hint="eastAsia"/>
          <w:color w:val="auto"/>
          <w:highlight w:val="none"/>
          <w:lang w:val="en-US" w:eastAsia="zh-CN"/>
        </w:rPr>
      </w:pPr>
    </w:p>
    <w:p>
      <w:pPr>
        <w:rPr>
          <w:rFonts w:hint="eastAsia"/>
          <w:color w:val="auto"/>
          <w:highlight w:val="none"/>
          <w:lang w:val="en-US" w:eastAsia="zh-CN"/>
        </w:rPr>
      </w:pPr>
    </w:p>
    <w:p>
      <w:pPr>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br w:type="page"/>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b/>
          <w:bCs/>
          <w:smallCaps w:val="0"/>
          <w:snapToGrid/>
          <w:color w:val="auto"/>
          <w:kern w:val="44"/>
          <w:sz w:val="32"/>
          <w:szCs w:val="44"/>
          <w:highlight w:val="none"/>
          <w:lang w:val="en-US" w:eastAsia="zh-CN" w:bidi="ar-SA"/>
        </w:rPr>
      </w:pPr>
      <w:r>
        <w:rPr>
          <w:rFonts w:hint="default" w:ascii="Times New Roman" w:hAnsi="Times New Roman" w:eastAsia="宋体" w:cs="Times New Roman"/>
          <w:b/>
          <w:bCs/>
          <w:smallCaps w:val="0"/>
          <w:snapToGrid/>
          <w:color w:val="auto"/>
          <w:kern w:val="44"/>
          <w:sz w:val="32"/>
          <w:szCs w:val="44"/>
          <w:highlight w:val="none"/>
          <w:lang w:val="en-US" w:eastAsia="zh-CN" w:bidi="ar-SA"/>
        </w:rPr>
        <w:t>6环境保护措施及其可行性论证</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15" w:name="_Toc29320"/>
      <w:r>
        <w:rPr>
          <w:rFonts w:hint="default" w:ascii="Times New Roman" w:hAnsi="Times New Roman" w:eastAsia="宋体" w:cs="Times New Roman"/>
          <w:snapToGrid/>
          <w:color w:val="auto"/>
          <w:sz w:val="32"/>
          <w:highlight w:val="none"/>
          <w:lang w:val="en-US" w:eastAsia="zh-CN" w:bidi="ar-SA"/>
        </w:rPr>
        <w:t>6.1施工期污染防治措施</w:t>
      </w:r>
      <w:bookmarkEnd w:id="715"/>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16" w:name="_Toc30389"/>
      <w:r>
        <w:rPr>
          <w:rFonts w:hint="eastAsia" w:ascii="Times New Roman" w:hAnsi="Times New Roman" w:eastAsia="宋体" w:cs="Times New Roman"/>
          <w:snapToGrid/>
          <w:color w:val="auto"/>
          <w:sz w:val="32"/>
          <w:highlight w:val="none"/>
          <w:lang w:val="en-US" w:eastAsia="zh-CN" w:bidi="ar-SA"/>
        </w:rPr>
        <w:t>6.1.1</w:t>
      </w:r>
      <w:r>
        <w:rPr>
          <w:rFonts w:hint="default" w:ascii="Times New Roman" w:hAnsi="Times New Roman" w:eastAsia="宋体" w:cs="Times New Roman"/>
          <w:snapToGrid/>
          <w:color w:val="auto"/>
          <w:sz w:val="32"/>
          <w:highlight w:val="none"/>
          <w:lang w:val="en-US" w:eastAsia="zh-CN" w:bidi="ar-SA"/>
        </w:rPr>
        <w:t>大气污染防治措施可行性论证</w:t>
      </w:r>
      <w:bookmarkEnd w:id="716"/>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①施工扬尘</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项目施工期间，</w:t>
      </w:r>
      <w:r>
        <w:rPr>
          <w:rFonts w:hint="default" w:ascii="Times New Roman" w:hAnsi="Times New Roman" w:eastAsia="宋体" w:cs="Times New Roman"/>
          <w:caps w:val="0"/>
          <w:smallCaps w:val="0"/>
          <w:color w:val="auto"/>
          <w:spacing w:val="0"/>
          <w:w w:val="100"/>
          <w:kern w:val="0"/>
          <w:sz w:val="24"/>
          <w:szCs w:val="24"/>
          <w:highlight w:val="none"/>
          <w:lang w:val="en-US" w:eastAsia="zh-CN"/>
        </w:rPr>
        <w:t>对施工扬尘提出具体的如下治理措施：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结合季节特点、不同施工阶段，制定并实施相应的施工扬尘污染防治专项方案，并进行动态调整；向作业区运输土方、材料的道路应当硬化(素土夯实硬化)并采取洒水等防尘措施；现场进行破碎等易产生扬尘的施工作业时，应当采取洒水等防尘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距离</w:t>
      </w:r>
      <w:r>
        <w:rPr>
          <w:rFonts w:hint="eastAsia" w:ascii="Times New Roman" w:hAnsi="Times New Roman" w:eastAsia="宋体" w:cs="Times New Roman"/>
          <w:caps w:val="0"/>
          <w:smallCaps w:val="0"/>
          <w:color w:val="auto"/>
          <w:spacing w:val="0"/>
          <w:w w:val="100"/>
          <w:kern w:val="0"/>
          <w:sz w:val="24"/>
          <w:szCs w:val="24"/>
          <w:highlight w:val="none"/>
          <w:lang w:val="en-US" w:eastAsia="zh-CN"/>
        </w:rPr>
        <w:t>新立屯最近的</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施工现场根据需要设置围挡等防尘措施，将对周围环境空气的影响降至最小。</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在施工工地内堆放建筑土方等易产生扬尘的粉状、粒状的，应当采取密闭或者遮盖等防尘措施，挖方、填方时应当采取防尘措施。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施工废料应当及时清运，在场地内堆存的，应当集中堆放并采取密闭或者遮盖等防尘措施。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在土方施工作业过程中，合理控制土方开挖和存留时间，作业面应当采取洒水、喷雾等防尘措施，对已完成的作业面和未进行作业的裸露地面应当采取表面压实、遮盖等防尘措施，</w:t>
      </w:r>
      <w:r>
        <w:rPr>
          <w:rFonts w:hint="eastAsia" w:ascii="Times New Roman" w:hAnsi="Times New Roman" w:eastAsia="宋体" w:cs="Times New Roman"/>
          <w:caps w:val="0"/>
          <w:smallCaps w:val="0"/>
          <w:color w:val="auto"/>
          <w:spacing w:val="0"/>
          <w:w w:val="100"/>
          <w:kern w:val="0"/>
          <w:sz w:val="24"/>
          <w:szCs w:val="24"/>
          <w:highlight w:val="none"/>
          <w:lang w:val="en-US" w:eastAsia="zh-CN"/>
        </w:rPr>
        <w:t>对临时土方立方场进行遮盖。</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w:t>
      </w:r>
      <w:r>
        <w:rPr>
          <w:rFonts w:hint="default" w:ascii="Times New Roman" w:hAnsi="Times New Roman" w:eastAsia="宋体" w:cs="Times New Roman"/>
          <w:caps w:val="0"/>
          <w:smallCaps w:val="0"/>
          <w:color w:val="auto"/>
          <w:spacing w:val="0"/>
          <w:w w:val="100"/>
          <w:kern w:val="0"/>
          <w:sz w:val="24"/>
          <w:szCs w:val="24"/>
          <w:highlight w:val="none"/>
          <w:lang w:val="en-US" w:eastAsia="zh-CN"/>
        </w:rPr>
        <w:t>在重污染天气预警期间或者出现四级以上大风天气状况时，除应急抢险外，施工单位应当停止拆除、爆破、土石方等可能产生扬尘污染的作业。</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通过采取相关治理措施后，可有效控制施工扬尘对周围环境的影响，施工边界满足《大气污染物综合排放标准》（GB16297-1996）中表2无组织排放监控浓度限值</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扬尘治理措施可行。</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②其它施工废气</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施工期间，运输汽车、湿地开挖等大型机械施工中，由于使用柴油机等设备，将产生车辆尾气和燃烧烟气，产生量较小，在施工现场扩散，对局部地区的环境影响较轻。</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③加强环保主管部门的环境监管</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单位必须在开工15天前向当地环保局申报该工程的名称、施工路线、施工总期限，在各施工期可能产生扬尘污染的范围和污染程度，以及采取防治环境污染的措施。根据当地环保要求加强管理监督，采取抽查方式监测其施工扬尘，检查其施工中各项施工扬尘的防范措施是否落实到位限制其施工时间，把施工扬尘控制在允许范围之内。</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17" w:name="_Toc26003"/>
      <w:r>
        <w:rPr>
          <w:rFonts w:hint="default" w:ascii="Times New Roman" w:hAnsi="Times New Roman" w:eastAsia="宋体" w:cs="Times New Roman"/>
          <w:snapToGrid/>
          <w:color w:val="auto"/>
          <w:sz w:val="32"/>
          <w:highlight w:val="none"/>
          <w:lang w:val="en-US" w:eastAsia="zh-CN" w:bidi="ar-SA"/>
        </w:rPr>
        <w:t>6.1.2废水污染防治措施可行性论证</w:t>
      </w:r>
      <w:bookmarkEnd w:id="717"/>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项目施工期废水主要为雨天施工产生的</w:t>
      </w:r>
      <w:r>
        <w:rPr>
          <w:rFonts w:hint="eastAsia" w:ascii="Times New Roman" w:hAnsi="Times New Roman" w:eastAsia="宋体" w:cs="Times New Roman"/>
          <w:caps w:val="0"/>
          <w:smallCaps w:val="0"/>
          <w:color w:val="auto"/>
          <w:spacing w:val="0"/>
          <w:w w:val="100"/>
          <w:kern w:val="0"/>
          <w:sz w:val="24"/>
          <w:szCs w:val="24"/>
          <w:highlight w:val="none"/>
          <w:lang w:val="en-US" w:eastAsia="zh-CN"/>
        </w:rPr>
        <w:t>生活污水、</w:t>
      </w:r>
      <w:r>
        <w:rPr>
          <w:rFonts w:hint="default" w:ascii="Times New Roman" w:hAnsi="Times New Roman" w:eastAsia="宋体" w:cs="Times New Roman"/>
          <w:caps w:val="0"/>
          <w:smallCaps w:val="0"/>
          <w:color w:val="auto"/>
          <w:spacing w:val="0"/>
          <w:w w:val="100"/>
          <w:kern w:val="0"/>
          <w:sz w:val="24"/>
          <w:szCs w:val="24"/>
          <w:highlight w:val="none"/>
          <w:lang w:val="en-US" w:eastAsia="zh-CN"/>
        </w:rPr>
        <w:t>含泥沙雨水</w:t>
      </w:r>
      <w:r>
        <w:rPr>
          <w:rFonts w:hint="eastAsia" w:ascii="Times New Roman" w:hAnsi="Times New Roman" w:eastAsia="宋体" w:cs="Times New Roman"/>
          <w:caps w:val="0"/>
          <w:smallCaps w:val="0"/>
          <w:color w:val="auto"/>
          <w:spacing w:val="0"/>
          <w:w w:val="100"/>
          <w:kern w:val="0"/>
          <w:sz w:val="24"/>
          <w:szCs w:val="24"/>
          <w:highlight w:val="none"/>
          <w:lang w:val="en-US" w:eastAsia="zh-CN"/>
        </w:rPr>
        <w:t>、底泥出水及河塘内积水。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雨天施工产生的含泥沙雨水，经临时沉淀池将废水处理后用于场地泼洒抑尘。</w:t>
      </w:r>
      <w:r>
        <w:rPr>
          <w:rFonts w:hint="eastAsia" w:ascii="Times New Roman" w:hAnsi="Times New Roman" w:eastAsia="宋体" w:cs="Times New Roman"/>
          <w:caps w:val="0"/>
          <w:smallCaps w:val="0"/>
          <w:color w:val="auto"/>
          <w:spacing w:val="0"/>
          <w:w w:val="100"/>
          <w:kern w:val="0"/>
          <w:sz w:val="24"/>
          <w:szCs w:val="24"/>
          <w:highlight w:val="none"/>
          <w:lang w:val="en-US" w:eastAsia="zh-CN"/>
        </w:rPr>
        <w:t>生活污水排入临时移动环保旱厕内，定期清掏，外运堆肥。河塘积水及底泥出水进入临时沉淀池内沉淀，用于施工现场洒水抑尘。项目施工期废水均不往外排，</w:t>
      </w:r>
      <w:r>
        <w:rPr>
          <w:rFonts w:hint="default" w:ascii="Times New Roman" w:hAnsi="Times New Roman" w:eastAsia="宋体" w:cs="Times New Roman"/>
          <w:caps w:val="0"/>
          <w:smallCaps w:val="0"/>
          <w:color w:val="auto"/>
          <w:spacing w:val="0"/>
          <w:w w:val="100"/>
          <w:kern w:val="0"/>
          <w:sz w:val="24"/>
          <w:szCs w:val="24"/>
          <w:highlight w:val="none"/>
          <w:lang w:val="en-US" w:eastAsia="zh-CN"/>
        </w:rPr>
        <w:t>综上，施工期废水污染防治措施可行。</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6.1.3噪声污染防治措施可行性论证</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噪声机械的降噪措施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加大声源治理力度。选择低噪声施工机械，加强设备、车辆的日常维修保养，使施工机械保持良好运行状态，避免超过正常噪声运转。对于必须使用的高噪声设备，应采取加装消声器、隔声罩等措施，尽量降低其噪音的辐射强度。</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②合理布局施工现场。设备安装尽量远离</w:t>
      </w:r>
      <w:r>
        <w:rPr>
          <w:rFonts w:hint="eastAsia" w:ascii="Times New Roman" w:hAnsi="Times New Roman" w:eastAsia="宋体" w:cs="Times New Roman"/>
          <w:caps w:val="0"/>
          <w:smallCaps w:val="0"/>
          <w:color w:val="auto"/>
          <w:spacing w:val="0"/>
          <w:w w:val="100"/>
          <w:kern w:val="0"/>
          <w:sz w:val="24"/>
          <w:szCs w:val="24"/>
          <w:highlight w:val="none"/>
          <w:lang w:val="en-US" w:eastAsia="zh-CN"/>
        </w:rPr>
        <w:t>附近村屯，</w:t>
      </w:r>
      <w:r>
        <w:rPr>
          <w:rFonts w:hint="default" w:ascii="Times New Roman" w:hAnsi="Times New Roman" w:eastAsia="宋体" w:cs="Times New Roman"/>
          <w:caps w:val="0"/>
          <w:smallCaps w:val="0"/>
          <w:color w:val="auto"/>
          <w:spacing w:val="0"/>
          <w:w w:val="100"/>
          <w:kern w:val="0"/>
          <w:sz w:val="24"/>
          <w:szCs w:val="24"/>
          <w:highlight w:val="none"/>
          <w:lang w:val="en-US" w:eastAsia="zh-CN"/>
        </w:rPr>
        <w:t>同时避免在同一地点安排大量动力机械设备，以免局部声压级过高。</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③合理安排施工时间。在制定施工计划时，尽可能避免大量高噪声设备同时施工，高噪声设备施工安排在日间</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夜间减少施工量或尽量不施工。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控制作业时间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①施工作业时间控制在晚间作业不超过22时，早晨作业不早于6时。</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②严格执行《建筑施工场界环境噪声排放标准》对施工阶段噪声的要求，需要在夜间施工时，必须向当地环保部门提出申请，获准后方可在指定日期进行，并提前告知附近居民。施工车辆路过村庄时禁止鸣笛。</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施工期对近距离敏感点声环境进行监测，一旦发现有超标现象，根据现场实际情况采取降噪措施，如调整施工场地布局，建立临时围挡等，确保施工噪声满足《建筑施工场界环境噪声排放标准》(GB12523-2011)要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加强管理、监督作用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加强对施工期噪声的监督管理。建设单位的环保部门应按国家规定的建筑施工场界噪声标准，对施工现场进行定期检查，实施规范化管理，对发现的违章施工现象和群众投诉的热点、重点问题及时进行查处。同时，积极做好环境保护法规政策的宣传教育，加强与施工单位的协调，使施工单位做到文明施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通过采取以上措施后，施工噪声可满足《建筑施工场界环境噪声排放标准》(GB12523-2011)要求，治理措施可行。</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18" w:name="_Toc31420"/>
      <w:r>
        <w:rPr>
          <w:rFonts w:hint="default" w:ascii="Times New Roman" w:hAnsi="Times New Roman" w:eastAsia="宋体" w:cs="Times New Roman"/>
          <w:snapToGrid/>
          <w:color w:val="auto"/>
          <w:sz w:val="32"/>
          <w:highlight w:val="none"/>
          <w:lang w:val="en-US" w:eastAsia="zh-CN" w:bidi="ar-SA"/>
        </w:rPr>
        <w:t>6.1.4固废处置可行性分析</w:t>
      </w:r>
      <w:bookmarkEnd w:id="718"/>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本项目在施工建设时产生建筑垃圾</w:t>
      </w:r>
      <w:r>
        <w:rPr>
          <w:rFonts w:hint="eastAsia" w:ascii="Times New Roman" w:hAnsi="Times New Roman" w:eastAsia="宋体" w:cs="Times New Roman"/>
          <w:caps w:val="0"/>
          <w:smallCaps w:val="0"/>
          <w:color w:val="auto"/>
          <w:spacing w:val="0"/>
          <w:w w:val="100"/>
          <w:kern w:val="0"/>
          <w:sz w:val="24"/>
          <w:szCs w:val="24"/>
          <w:highlight w:val="none"/>
          <w:lang w:val="en-US" w:eastAsia="zh-CN"/>
        </w:rPr>
        <w:t>及施工人员生活垃圾</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工程施工阶段产生的建筑垃圾，包括砂石、水泥等，建筑垃圾应当分类集中堆存</w:t>
      </w:r>
      <w:r>
        <w:rPr>
          <w:rFonts w:hint="eastAsia" w:ascii="Times New Roman" w:hAnsi="Times New Roman" w:eastAsia="宋体" w:cs="Times New Roman"/>
          <w:caps w:val="0"/>
          <w:smallCaps w:val="0"/>
          <w:color w:val="auto"/>
          <w:spacing w:val="0"/>
          <w:w w:val="100"/>
          <w:kern w:val="0"/>
          <w:sz w:val="24"/>
          <w:szCs w:val="24"/>
          <w:highlight w:val="none"/>
          <w:lang w:val="en-US" w:eastAsia="zh-CN"/>
        </w:rPr>
        <w:t>，统一收集后拉到县区有关部门要求的地方进行处置。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生活垃圾统一收集，拉运至村屯垃圾暂存点，等待集中拉运处置。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通过采取以上措施后，项目产生的固体废物均得到合理的处置，治理措施可行。</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19" w:name="_Toc23079"/>
      <w:r>
        <w:rPr>
          <w:rFonts w:hint="default" w:ascii="Times New Roman" w:hAnsi="Times New Roman" w:eastAsia="宋体" w:cs="Times New Roman"/>
          <w:snapToGrid/>
          <w:color w:val="auto"/>
          <w:sz w:val="32"/>
          <w:highlight w:val="none"/>
          <w:lang w:val="en-US" w:eastAsia="zh-CN" w:bidi="ar-SA"/>
        </w:rPr>
        <w:t>6.1.5地表水环境保护措施可行性论证</w:t>
      </w:r>
      <w:bookmarkEnd w:id="719"/>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施工废水主要是雨天施工产生的含泥沙雨</w:t>
      </w:r>
      <w:r>
        <w:rPr>
          <w:rFonts w:hint="eastAsia" w:ascii="Times New Roman" w:hAnsi="Times New Roman" w:eastAsia="宋体" w:cs="Times New Roman"/>
          <w:caps w:val="0"/>
          <w:smallCaps w:val="0"/>
          <w:color w:val="auto"/>
          <w:spacing w:val="0"/>
          <w:w w:val="100"/>
          <w:kern w:val="0"/>
          <w:sz w:val="24"/>
          <w:szCs w:val="24"/>
          <w:highlight w:val="none"/>
          <w:lang w:val="en-US" w:eastAsia="zh-CN"/>
        </w:rPr>
        <w:t>水、河塘积水及底泥出水。</w:t>
      </w:r>
      <w:r>
        <w:rPr>
          <w:rFonts w:hint="default" w:ascii="Times New Roman" w:hAnsi="Times New Roman" w:eastAsia="宋体" w:cs="Times New Roman"/>
          <w:caps w:val="0"/>
          <w:smallCaps w:val="0"/>
          <w:color w:val="auto"/>
          <w:spacing w:val="0"/>
          <w:w w:val="100"/>
          <w:kern w:val="0"/>
          <w:sz w:val="24"/>
          <w:szCs w:val="24"/>
          <w:highlight w:val="none"/>
          <w:lang w:val="en-US" w:eastAsia="zh-CN"/>
        </w:rPr>
        <w:t>在施工期间，必须严格管理，文明施工，采取一定措施防止工地污水影响周围环境。</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施工废水，严禁直接排入</w:t>
      </w:r>
      <w:r>
        <w:rPr>
          <w:rFonts w:hint="eastAsia" w:ascii="Times New Roman" w:hAnsi="Times New Roman" w:eastAsia="宋体" w:cs="Times New Roman"/>
          <w:caps w:val="0"/>
          <w:smallCaps w:val="0"/>
          <w:color w:val="auto"/>
          <w:spacing w:val="0"/>
          <w:w w:val="100"/>
          <w:kern w:val="0"/>
          <w:sz w:val="24"/>
          <w:szCs w:val="24"/>
          <w:highlight w:val="none"/>
          <w:lang w:val="en-US" w:eastAsia="zh-CN"/>
        </w:rPr>
        <w:t>干渠内，</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施工期建设沉淀池等临时处理装置，</w:t>
      </w:r>
      <w:r>
        <w:rPr>
          <w:rFonts w:hint="eastAsia" w:ascii="Times New Roman" w:hAnsi="Times New Roman" w:eastAsia="宋体" w:cs="Times New Roman"/>
          <w:caps w:val="0"/>
          <w:smallCaps w:val="0"/>
          <w:color w:val="auto"/>
          <w:spacing w:val="0"/>
          <w:w w:val="100"/>
          <w:kern w:val="0"/>
          <w:sz w:val="24"/>
          <w:szCs w:val="24"/>
          <w:highlight w:val="none"/>
          <w:lang w:val="en-US" w:eastAsia="zh-CN"/>
        </w:rPr>
        <w:t>经沉淀后的雨水、河塘积水及底泥出水用于场地洒水抑尘</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20" w:name="_Toc21155"/>
      <w:r>
        <w:rPr>
          <w:rFonts w:hint="default" w:ascii="Times New Roman" w:hAnsi="Times New Roman" w:eastAsia="宋体" w:cs="Times New Roman"/>
          <w:snapToGrid/>
          <w:color w:val="auto"/>
          <w:sz w:val="32"/>
          <w:highlight w:val="none"/>
          <w:lang w:val="en-US" w:eastAsia="zh-CN" w:bidi="ar-SA"/>
        </w:rPr>
        <w:t>6.1.6生态环境保护措施</w:t>
      </w:r>
      <w:bookmarkEnd w:id="720"/>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为将施工过程对生态环境的影响降至最低，建设单位应与施工单位签订生态环境保护责任书，落实各项生态保护措施，并进行有效的监督管理。施工单位建立健全生态环境保护规章和制度，设立专门的环保管理部门，配备专门的管理人员，便于落实科学、有效的生态环境保护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工程施工期间，严格划定施工范围，施工活动不得超过征地范围。防止人为对工程外的土壤、植被等的破坏；施工场地内的林木应及时迁移，不得随意乱砍乱伐；如确需砍伐的，应报当地园林主管部门批准；同时施工期间严格车辆、机械以及施工人员的活动范围，尽量缩小施工作业带的宽度，以减少对地表植被的碾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（3）工程施工基地、施工临时便道、</w:t>
      </w:r>
      <w:r>
        <w:rPr>
          <w:rFonts w:hint="eastAsia" w:ascii="Times New Roman" w:hAnsi="Times New Roman" w:eastAsia="宋体" w:cs="Times New Roman"/>
          <w:caps w:val="0"/>
          <w:smallCaps w:val="0"/>
          <w:color w:val="auto"/>
          <w:spacing w:val="0"/>
          <w:w w:val="100"/>
          <w:kern w:val="0"/>
          <w:sz w:val="24"/>
          <w:szCs w:val="24"/>
          <w:highlight w:val="none"/>
          <w:lang w:val="en-US" w:eastAsia="zh-CN"/>
        </w:rPr>
        <w:t>材料堆放</w:t>
      </w:r>
      <w:r>
        <w:rPr>
          <w:rFonts w:hint="default" w:ascii="Times New Roman" w:hAnsi="Times New Roman" w:eastAsia="宋体" w:cs="Times New Roman"/>
          <w:caps w:val="0"/>
          <w:smallCaps w:val="0"/>
          <w:color w:val="auto"/>
          <w:spacing w:val="0"/>
          <w:w w:val="100"/>
          <w:kern w:val="0"/>
          <w:sz w:val="24"/>
          <w:szCs w:val="24"/>
          <w:highlight w:val="none"/>
          <w:lang w:val="en-US" w:eastAsia="zh-CN"/>
        </w:rPr>
        <w:t>场、</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临时堆土</w:t>
      </w:r>
      <w:r>
        <w:rPr>
          <w:rFonts w:hint="default" w:ascii="Times New Roman" w:hAnsi="Times New Roman" w:eastAsia="宋体" w:cs="Times New Roman"/>
          <w:caps w:val="0"/>
          <w:smallCaps w:val="0"/>
          <w:color w:val="auto"/>
          <w:spacing w:val="0"/>
          <w:w w:val="100"/>
          <w:kern w:val="0"/>
          <w:sz w:val="24"/>
          <w:szCs w:val="24"/>
          <w:highlight w:val="none"/>
          <w:lang w:val="en-US" w:eastAsia="zh-CN"/>
        </w:rPr>
        <w:t>场等临时占地应按照少占</w:t>
      </w:r>
      <w:r>
        <w:rPr>
          <w:rFonts w:hint="eastAsia" w:ascii="Times New Roman" w:hAnsi="Times New Roman" w:eastAsia="宋体" w:cs="Times New Roman"/>
          <w:caps w:val="0"/>
          <w:smallCaps w:val="0"/>
          <w:color w:val="auto"/>
          <w:spacing w:val="0"/>
          <w:w w:val="100"/>
          <w:kern w:val="0"/>
          <w:sz w:val="24"/>
          <w:szCs w:val="24"/>
          <w:highlight w:val="none"/>
          <w:lang w:val="en-US" w:eastAsia="zh-CN"/>
        </w:rPr>
        <w:t>草地</w:t>
      </w:r>
      <w:r>
        <w:rPr>
          <w:rFonts w:hint="default" w:ascii="Times New Roman" w:hAnsi="Times New Roman" w:eastAsia="宋体" w:cs="Times New Roman"/>
          <w:caps w:val="0"/>
          <w:smallCaps w:val="0"/>
          <w:color w:val="auto"/>
          <w:spacing w:val="0"/>
          <w:w w:val="100"/>
          <w:kern w:val="0"/>
          <w:sz w:val="24"/>
          <w:szCs w:val="24"/>
          <w:highlight w:val="none"/>
          <w:lang w:val="en-US" w:eastAsia="zh-CN"/>
        </w:rPr>
        <w:t>，同时避开可能造成水土流失的生态脆弱区。在施工结束后，对临时</w:t>
      </w:r>
      <w:r>
        <w:rPr>
          <w:rFonts w:hint="eastAsia" w:ascii="Times New Roman" w:hAnsi="Times New Roman" w:eastAsia="宋体" w:cs="Times New Roman"/>
          <w:caps w:val="0"/>
          <w:smallCaps w:val="0"/>
          <w:color w:val="auto"/>
          <w:spacing w:val="0"/>
          <w:w w:val="100"/>
          <w:kern w:val="0"/>
          <w:sz w:val="24"/>
          <w:szCs w:val="24"/>
          <w:highlight w:val="none"/>
          <w:lang w:val="en-US" w:eastAsia="zh-CN"/>
        </w:rPr>
        <w:t>的土地</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，施工后应及时恢复原貌或进行绿化。</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（4）采用封闭式施工方式，施工活动不得超越征地范围。尽量减少对陆生脊椎动物及其栖息地的破坏，施工中避免破坏野生动物集中栖息的洞穴、窝巢等，对工程建设区域内的各类生物群落予以保护。</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（5）为降低施工对底栖动物的影响，施工过程中应尽量减少沙石的散落；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（6）对施工人员进行生态环境保护宣传教育，禁止捕食野生动物，一旦发现保护级动植物，应立即向上级报告，禁止私自处理。</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7）工程施工监理中应包含环境及生态保护的内容，监理人员应对施工区和生活区进行现场检查和监测，全面监督和检查环境保护措施的落实情况，对不符合要求的生态保护措施应提出限期整改的要求，将施工过程中生态环境影响降至最低。</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（8）尽量缩短施工时间，减小对生态环境的影响。工程施工完毕，应将临时占用的施工场地和施工临时道路恢复原状，</w:t>
      </w:r>
      <w:r>
        <w:rPr>
          <w:rFonts w:hint="eastAsia" w:ascii="Times New Roman" w:hAnsi="Times New Roman" w:eastAsia="宋体" w:cs="Times New Roman"/>
          <w:caps w:val="0"/>
          <w:smallCaps w:val="0"/>
          <w:color w:val="auto"/>
          <w:spacing w:val="0"/>
          <w:w w:val="100"/>
          <w:kern w:val="0"/>
          <w:sz w:val="24"/>
          <w:szCs w:val="24"/>
          <w:highlight w:val="none"/>
          <w:lang w:val="en-US" w:eastAsia="zh-CN"/>
        </w:rPr>
        <w:t>进行</w:t>
      </w:r>
      <w:r>
        <w:rPr>
          <w:rFonts w:hint="default" w:ascii="Times New Roman" w:hAnsi="Times New Roman" w:eastAsia="宋体" w:cs="Times New Roman"/>
          <w:caps w:val="0"/>
          <w:smallCaps w:val="0"/>
          <w:color w:val="auto"/>
          <w:spacing w:val="0"/>
          <w:w w:val="100"/>
          <w:kern w:val="0"/>
          <w:sz w:val="24"/>
          <w:szCs w:val="24"/>
          <w:highlight w:val="none"/>
          <w:lang w:val="en-US" w:eastAsia="zh-CN"/>
        </w:rPr>
        <w:t>植被恢复。</w:t>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color w:val="auto"/>
          <w:sz w:val="32"/>
          <w:highlight w:val="none"/>
          <w:lang w:val="en-US" w:eastAsia="zh-CN" w:bidi="ar-SA"/>
        </w:rPr>
      </w:pPr>
      <w:bookmarkStart w:id="721" w:name="_Toc2727"/>
      <w:r>
        <w:rPr>
          <w:rFonts w:hint="eastAsia" w:ascii="Times New Roman" w:hAnsi="Times New Roman" w:eastAsia="宋体" w:cs="Times New Roman"/>
          <w:snapToGrid/>
          <w:color w:val="auto"/>
          <w:sz w:val="32"/>
          <w:highlight w:val="none"/>
          <w:lang w:val="en-US" w:eastAsia="zh-CN" w:bidi="ar-SA"/>
        </w:rPr>
        <w:t>6.1.7水土流失影响对策措施</w:t>
      </w:r>
      <w:bookmarkEnd w:id="721"/>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本方案主要临时拦挡、覆盖措施及提出水土保持要求与建议。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1）临时措施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为防止构筑物基础、沟槽等开挖临时堆土在强降雨作用下造成水土流失，对该区开挖临时堆土采取表面铺塑料布的方式进行防护,塑料布可以重复利用。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2）要求与建议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①工程时段应选择在枯水期且避开雨天施工，以免</w:t>
      </w:r>
      <w:r>
        <w:rPr>
          <w:rFonts w:hint="eastAsia" w:ascii="Times New Roman" w:hAnsi="Times New Roman" w:eastAsia="宋体" w:cs="Times New Roman"/>
          <w:caps w:val="0"/>
          <w:smallCaps w:val="0"/>
          <w:color w:val="auto"/>
          <w:spacing w:val="0"/>
          <w:w w:val="100"/>
          <w:kern w:val="0"/>
          <w:sz w:val="24"/>
          <w:szCs w:val="24"/>
          <w:highlight w:val="none"/>
          <w:lang w:val="en-US" w:eastAsia="zh-CN"/>
        </w:rPr>
        <w:t>河岸施工时，</w:t>
      </w:r>
      <w:r>
        <w:rPr>
          <w:rFonts w:hint="default" w:ascii="Times New Roman" w:hAnsi="Times New Roman" w:eastAsia="宋体" w:cs="Times New Roman"/>
          <w:caps w:val="0"/>
          <w:smallCaps w:val="0"/>
          <w:color w:val="auto"/>
          <w:spacing w:val="0"/>
          <w:w w:val="100"/>
          <w:kern w:val="0"/>
          <w:sz w:val="24"/>
          <w:szCs w:val="24"/>
          <w:highlight w:val="none"/>
          <w:lang w:val="en-US" w:eastAsia="zh-CN"/>
        </w:rPr>
        <w:t>设施土石方的转运途中发生大的水土流失。</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②设施开挖土石方和河道清淤应随挖、随运，减少松散土石方裸露时间，遇暴雨或大风天气应加强临时防护措施，做好转运渣、料的临时覆盖。</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合理安排施工时序，在同施工区域内再进行分段施工，做到工程开挖料与利用料在施工时序上的有效衔接，统筹安排施工工艺与施工时序，提高工程土石方的转运效率，减少施工场地临时堆土压力，减少土石方的地表裸露时间</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）主体建筑、道路防治区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建筑工程要对现状下垫面进行开挖，打地基，由于此次建筑工程均临近水域，土壤含水量高，加上降雨和波浪影响，易造成较大的水土流失。道路工程施工尽量利用现有园路进行提升改造，道路施工主要产生道路边坡不稳定的影响，如果防护不当，工程施工将造成水土流失。针对建筑、道路防治区水土流失特点，在主体工程已有水土保持措施的基础上，补充临时排水沟、临时拦挡、覆盖等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①工程措施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主体建筑、道路工程周边布设临时排水沟，在临时排水沟出口设临时沉沙池，临时排水沟采用梯形断面，土质结构，底宽0.3m，深0.3m，边坡1:0.5，沟底纵坡与地表坡度一致，且不低于2%，排出口与自然沟道顺接。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②临时措施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为防止建筑基础、沟槽等开挖临时堆土在强降雨作用下造成水土流失，对该区开挖临时堆土采取表面铺塑料布的方式进行防护，塑料布可以重复利用。</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22" w:name="_Toc3365"/>
      <w:r>
        <w:rPr>
          <w:rFonts w:hint="default" w:ascii="Times New Roman" w:hAnsi="Times New Roman" w:eastAsia="宋体" w:cs="Times New Roman"/>
          <w:snapToGrid/>
          <w:color w:val="auto"/>
          <w:sz w:val="32"/>
          <w:highlight w:val="none"/>
          <w:lang w:val="en-US" w:eastAsia="zh-CN" w:bidi="ar-SA"/>
        </w:rPr>
        <w:t>6.2运营期污染防治措施可行性论证</w:t>
      </w:r>
      <w:bookmarkEnd w:id="722"/>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23" w:name="_Toc6457"/>
      <w:r>
        <w:rPr>
          <w:rFonts w:hint="eastAsia" w:ascii="Times New Roman" w:hAnsi="Times New Roman" w:eastAsia="宋体" w:cs="Times New Roman"/>
          <w:snapToGrid/>
          <w:color w:val="auto"/>
          <w:sz w:val="32"/>
          <w:highlight w:val="none"/>
          <w:lang w:val="en-US" w:eastAsia="zh-CN" w:bidi="ar-SA"/>
        </w:rPr>
        <w:t>6.2.1</w:t>
      </w:r>
      <w:r>
        <w:rPr>
          <w:rFonts w:hint="default" w:ascii="Times New Roman" w:hAnsi="Times New Roman" w:eastAsia="宋体" w:cs="Times New Roman"/>
          <w:snapToGrid/>
          <w:color w:val="auto"/>
          <w:sz w:val="32"/>
          <w:highlight w:val="none"/>
          <w:lang w:val="en-US" w:eastAsia="zh-CN" w:bidi="ar-SA"/>
        </w:rPr>
        <w:t>地表水污染防治措施可行性论证</w:t>
      </w:r>
      <w:bookmarkEnd w:id="723"/>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w:t>
      </w:r>
      <w:r>
        <w:rPr>
          <w:rFonts w:hint="eastAsia" w:ascii="Times New Roman" w:hAnsi="Times New Roman" w:eastAsia="宋体" w:cs="Times New Roman"/>
          <w:caps w:val="0"/>
          <w:smallCaps w:val="0"/>
          <w:color w:val="auto"/>
          <w:spacing w:val="0"/>
          <w:w w:val="100"/>
          <w:kern w:val="0"/>
          <w:sz w:val="24"/>
          <w:szCs w:val="24"/>
          <w:highlight w:val="none"/>
          <w:lang w:val="en-US" w:eastAsia="zh-CN"/>
        </w:rPr>
        <w:t>安肇新河来水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对照《关于印发＜人工湿地水质净化技术指南＞的通知》（环办水体函〔2021〕173号），本次从人工湿地水质净化技术适用范围、选址要求、总体布置、工艺设计及运行维护方面进行论证。</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1）污水来源及水质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安肇新河接收处理达标的工业废水及生活污水，根据2016-2021年水体现状监测报告，安肇新河入库里泡排口上游融雪期COD浓度在60mg/L左右，氨氮浓度4mg/L左右，总磷在0.4mg/L左右，冰封期COD浓度在30-40mg/L左右，氨氮浓度1.5-2mg/L左右，总磷在0.1-0.15mg/L左右，略高于地表水Ⅴ类水体，属于低污染水，可采用人工湿地水质净化工程进行污水处理。</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2）项目选址及总体布置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本项目位于大同区安肇新河入库里泡排口上游左侧岸边处，主要占地为天然低洼地形成的河塘及荒草地，河塘与安肇新河不相连，项目施工不会造成干渠内水量、流速、径流、水位等水文要素的变化。场地</w:t>
      </w:r>
      <w:r>
        <w:rPr>
          <w:rFonts w:hint="default" w:ascii="Times New Roman" w:hAnsi="Times New Roman" w:eastAsia="宋体" w:cs="Times New Roman"/>
          <w:caps w:val="0"/>
          <w:smallCaps w:val="0"/>
          <w:color w:val="auto"/>
          <w:spacing w:val="0"/>
          <w:w w:val="100"/>
          <w:kern w:val="0"/>
          <w:sz w:val="24"/>
          <w:szCs w:val="24"/>
          <w:highlight w:val="none"/>
          <w:lang w:val="en-US" w:eastAsia="zh-CN"/>
        </w:rPr>
        <w:t>相对平整</w:t>
      </w:r>
      <w:r>
        <w:rPr>
          <w:rFonts w:hint="eastAsia" w:ascii="Times New Roman" w:hAnsi="Times New Roman" w:eastAsia="宋体" w:cs="Times New Roman"/>
          <w:caps w:val="0"/>
          <w:smallCaps w:val="0"/>
          <w:color w:val="auto"/>
          <w:spacing w:val="0"/>
          <w:w w:val="100"/>
          <w:kern w:val="0"/>
          <w:sz w:val="24"/>
          <w:szCs w:val="24"/>
          <w:highlight w:val="none"/>
          <w:lang w:val="en-US" w:eastAsia="zh-CN"/>
        </w:rPr>
        <w:t>，区内现状高程129.57～132.55m，整体地势北高、南低，红线外区域地形高程与项目区内高程基本一致。湿地总平面布置遵循地形走向进行布置，采用总体矩形布局，湿地周围设置围挡，内置一级步道及二级步道，方便后期湿地运行及维护，安装视频监控设备，实时对进出水口及干渠内情况进行监控，项目建设满足总体布置要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河水通过明渠-暗涵自流至生态稳定塘，生态稳定塘运行水位130m，出水通过泵站分别输送至生态砾石床、半自然湿地，生态砾石床进水高程133.4m，出水高程132.9m，自流至表流湿地；表流湿地进水高程132.9m，出水高程132.8m，自流至潜流湿地；潜流湿地进水高程132.8m，出水高程132.2m，自流至半自然湿地；半自然湿地进水高程132.2m，经过5级湿地，出水控制高程为131m，超过五年一遇防洪水位，通过退水管排入安肇新河。安肇新河平均高程为129.65m，本项目人工湿地出水标高应高于受纳水体常水位。项目选址可行。</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3）工程组成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本项目生态净化区主要建设生态稳定塘、生态砾石床、表流湿地、潜流湿地及半自然湿地，属于多级复合人工湿地，采取微生物降解+植物吸收+水体自净工艺，对污水处理。</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其中生态稳定塘及生态砾石床为预处理单元；污水先进入生态砾石床进行沉淀，去除水中大量悬浮物，一半退水再进入生态砾石床，去除有机物及氨氮；一半退水进入半自然湿地利用植物吸收及水体净化直接进行处理。</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生态砾石床退水经半自然湿地，表流湿地+潜流湿地+半自然湿地，两种途径净化后，回流至安肇新河内。项目出水指标满足《地表水环境质量标准》（GB3838-2002）</w:t>
      </w:r>
      <w:r>
        <w:rPr>
          <w:rFonts w:hint="default" w:ascii="Times New Roman" w:hAnsi="Times New Roman" w:eastAsia="宋体" w:cs="Times New Roman"/>
          <w:caps w:val="0"/>
          <w:smallCaps w:val="0"/>
          <w:color w:val="auto"/>
          <w:spacing w:val="0"/>
          <w:w w:val="100"/>
          <w:kern w:val="0"/>
          <w:sz w:val="24"/>
          <w:szCs w:val="24"/>
          <w:highlight w:val="none"/>
          <w:lang w:val="en-US" w:eastAsia="zh-CN"/>
        </w:rPr>
        <w:t>Ⅴ</w:t>
      </w:r>
      <w:r>
        <w:rPr>
          <w:rFonts w:hint="eastAsia" w:ascii="Times New Roman" w:hAnsi="Times New Roman" w:eastAsia="宋体" w:cs="Times New Roman"/>
          <w:caps w:val="0"/>
          <w:smallCaps w:val="0"/>
          <w:color w:val="auto"/>
          <w:spacing w:val="0"/>
          <w:w w:val="100"/>
          <w:kern w:val="0"/>
          <w:sz w:val="24"/>
          <w:szCs w:val="24"/>
          <w:highlight w:val="none"/>
          <w:lang w:val="en-US" w:eastAsia="zh-CN"/>
        </w:rPr>
        <w:t>标准限值要求。</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4）运行维护</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项目运行期间设置</w:t>
      </w:r>
      <w:r>
        <w:rPr>
          <w:rFonts w:hint="default" w:ascii="Times New Roman" w:hAnsi="Times New Roman" w:eastAsia="宋体" w:cs="Times New Roman"/>
          <w:caps w:val="0"/>
          <w:smallCaps w:val="0"/>
          <w:color w:val="auto"/>
          <w:spacing w:val="0"/>
          <w:w w:val="100"/>
          <w:kern w:val="0"/>
          <w:sz w:val="24"/>
          <w:szCs w:val="24"/>
          <w:highlight w:val="none"/>
          <w:lang w:val="en-US" w:eastAsia="zh-CN"/>
        </w:rPr>
        <w:t>湿地植物管护</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沉水植物管理养护</w:t>
      </w:r>
      <w:r>
        <w:rPr>
          <w:rFonts w:hint="eastAsia" w:ascii="Times New Roman" w:hAnsi="Times New Roman" w:eastAsia="宋体" w:cs="Times New Roman"/>
          <w:caps w:val="0"/>
          <w:smallCaps w:val="0"/>
          <w:color w:val="auto"/>
          <w:spacing w:val="0"/>
          <w:w w:val="100"/>
          <w:kern w:val="0"/>
          <w:sz w:val="24"/>
          <w:szCs w:val="24"/>
          <w:highlight w:val="none"/>
          <w:lang w:val="en-US" w:eastAsia="zh-CN"/>
        </w:rPr>
        <w:t>及</w:t>
      </w:r>
      <w:r>
        <w:rPr>
          <w:rFonts w:hint="default" w:ascii="Times New Roman" w:hAnsi="Times New Roman" w:eastAsia="宋体" w:cs="Times New Roman"/>
          <w:caps w:val="0"/>
          <w:smallCaps w:val="0"/>
          <w:color w:val="auto"/>
          <w:spacing w:val="0"/>
          <w:w w:val="100"/>
          <w:kern w:val="0"/>
          <w:sz w:val="24"/>
          <w:szCs w:val="24"/>
          <w:highlight w:val="none"/>
          <w:lang w:val="en-US" w:eastAsia="zh-CN"/>
        </w:rPr>
        <w:t>挺水植物管理养护</w:t>
      </w:r>
      <w:r>
        <w:rPr>
          <w:rFonts w:hint="eastAsia" w:ascii="Times New Roman" w:hAnsi="Times New Roman" w:eastAsia="宋体" w:cs="Times New Roman"/>
          <w:caps w:val="0"/>
          <w:smallCaps w:val="0"/>
          <w:color w:val="auto"/>
          <w:spacing w:val="0"/>
          <w:w w:val="100"/>
          <w:kern w:val="0"/>
          <w:sz w:val="24"/>
          <w:szCs w:val="24"/>
          <w:highlight w:val="none"/>
          <w:lang w:val="en-US" w:eastAsia="zh-CN"/>
        </w:rPr>
        <w:t>方案，</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在进入冬季后需要对挺水植物进行合理的收割，收割水面以上的植物枯败的残体。其中挺水植物中，芦苇等高大挺水植物每年收割其中50%的群落进行收割，其余不收割，每年对不同的区域进行收割。</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沉水植物休眠后，茎叶失去活性，应及时予以收割，避免发生枯叶二次污染。另外，高体型沉水植物过度生长，会影响水面的清洁与景观，应予以及时修剪。</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挺水植物生长期内合理修剪可有效促使其生长、开花。应根据植物生长情况，合理修剪，并结合疏删弱枝弱株，达到通风透光的目的。</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同时设置运维专员，</w:t>
      </w:r>
      <w:r>
        <w:rPr>
          <w:rFonts w:hint="default" w:ascii="Times New Roman" w:hAnsi="Times New Roman" w:eastAsia="宋体" w:cs="Times New Roman"/>
          <w:caps w:val="0"/>
          <w:smallCaps w:val="0"/>
          <w:color w:val="auto"/>
          <w:spacing w:val="0"/>
          <w:w w:val="100"/>
          <w:kern w:val="0"/>
          <w:sz w:val="24"/>
          <w:szCs w:val="24"/>
          <w:highlight w:val="none"/>
          <w:lang w:val="en-US" w:eastAsia="zh-CN"/>
        </w:rPr>
        <w:t>其中管理人员配备</w:t>
      </w: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人，负责人工湿地工程区日常行政事务、信息收集管理；维护人员配备</w:t>
      </w:r>
      <w:r>
        <w:rPr>
          <w:rFonts w:hint="eastAsia" w:ascii="Times New Roman" w:hAnsi="Times New Roman" w:eastAsia="宋体" w:cs="Times New Roman"/>
          <w:caps w:val="0"/>
          <w:smallCaps w:val="0"/>
          <w:color w:val="auto"/>
          <w:spacing w:val="0"/>
          <w:w w:val="100"/>
          <w:kern w:val="0"/>
          <w:sz w:val="24"/>
          <w:szCs w:val="24"/>
          <w:highlight w:val="none"/>
          <w:lang w:val="en-US" w:eastAsia="zh-CN"/>
        </w:rPr>
        <w:t>7</w:t>
      </w:r>
      <w:r>
        <w:rPr>
          <w:rFonts w:hint="default" w:ascii="Times New Roman" w:hAnsi="Times New Roman" w:eastAsia="宋体" w:cs="Times New Roman"/>
          <w:caps w:val="0"/>
          <w:smallCaps w:val="0"/>
          <w:color w:val="auto"/>
          <w:spacing w:val="0"/>
          <w:w w:val="100"/>
          <w:kern w:val="0"/>
          <w:sz w:val="24"/>
          <w:szCs w:val="24"/>
          <w:highlight w:val="none"/>
          <w:lang w:val="en-US" w:eastAsia="zh-CN"/>
        </w:rPr>
        <w:t>人，负责设施、设备、构筑物的日常维护等工作。</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w:t>
      </w:r>
      <w:r>
        <w:rPr>
          <w:rFonts w:hint="eastAsia" w:ascii="Times New Roman" w:hAnsi="Times New Roman" w:eastAsia="宋体" w:cs="Times New Roman"/>
          <w:caps w:val="0"/>
          <w:smallCaps w:val="0"/>
          <w:color w:val="auto"/>
          <w:spacing w:val="0"/>
          <w:w w:val="100"/>
          <w:kern w:val="0"/>
          <w:sz w:val="24"/>
          <w:szCs w:val="24"/>
          <w:highlight w:val="none"/>
          <w:lang w:val="en-US" w:eastAsia="zh-CN"/>
        </w:rPr>
        <w:t>生活污水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运维人员产生的生活污水排入化粪池内，定期清掏，拉运至大同污水处理厂处理；食堂废水经隔油池处置后，排入化粪池，与生活污水一同拉运处置。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大同区污水处理厂现处理规模为10000m3/d，大同区节假日高峰期高峰污水量为0.55万m</w:t>
      </w:r>
      <w:r>
        <w:rPr>
          <w:rFonts w:hint="eastAsia" w:ascii="Times New Roman" w:hAnsi="Times New Roman" w:eastAsia="宋体" w:cs="Times New Roman"/>
          <w:caps w:val="0"/>
          <w:smallCaps w:val="0"/>
          <w:color w:val="auto"/>
          <w:spacing w:val="0"/>
          <w:w w:val="100"/>
          <w:kern w:val="0"/>
          <w:sz w:val="24"/>
          <w:szCs w:val="24"/>
          <w:highlight w:val="none"/>
          <w:vertAlign w:val="superscript"/>
          <w:lang w:val="en-US" w:eastAsia="zh-CN"/>
        </w:rPr>
        <w:t>3</w:t>
      </w:r>
      <w:r>
        <w:rPr>
          <w:rFonts w:hint="eastAsia" w:ascii="Times New Roman" w:hAnsi="Times New Roman" w:eastAsia="宋体" w:cs="Times New Roman"/>
          <w:caps w:val="0"/>
          <w:smallCaps w:val="0"/>
          <w:color w:val="auto"/>
          <w:spacing w:val="0"/>
          <w:w w:val="100"/>
          <w:kern w:val="0"/>
          <w:sz w:val="24"/>
          <w:szCs w:val="24"/>
          <w:highlight w:val="none"/>
          <w:lang w:val="en-US" w:eastAsia="zh-CN"/>
        </w:rPr>
        <w:t>/d，本项目日排水量为0.64m3/d，满足污水处理厂日剩余处理量要求。大同污水处理厂采用“AO+混凝沉淀+过滤+紫外消毒”工艺处理后，尾水满足《城镇污水处理厂污染物排放标准》（GB18918-2002）一级A标准，排入安肇新河内。安肇新河水体再次进行人工湿地净化净化处理。</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w:t>
      </w:r>
      <w:r>
        <w:rPr>
          <w:rFonts w:hint="eastAsia" w:ascii="Times New Roman" w:hAnsi="Times New Roman" w:eastAsia="宋体" w:cs="Times New Roman"/>
          <w:caps w:val="0"/>
          <w:smallCaps w:val="0"/>
          <w:color w:val="auto"/>
          <w:spacing w:val="0"/>
          <w:w w:val="100"/>
          <w:kern w:val="0"/>
          <w:sz w:val="24"/>
          <w:szCs w:val="24"/>
          <w:highlight w:val="none"/>
          <w:lang w:val="en-US" w:eastAsia="zh-CN"/>
        </w:rPr>
        <w:t>锅炉排污水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锅炉排污水属于清净下水，主要污染物为pH、化学需氧量、溶解性总固体（全盐量），排入潜流湿地内，经生态填料净化后，排入安肇新河内未可行性措施。</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24" w:name="_Toc16578"/>
      <w:r>
        <w:rPr>
          <w:rFonts w:hint="eastAsia" w:ascii="Times New Roman" w:hAnsi="Times New Roman" w:eastAsia="宋体" w:cs="Times New Roman"/>
          <w:snapToGrid/>
          <w:color w:val="auto"/>
          <w:sz w:val="32"/>
          <w:highlight w:val="none"/>
          <w:lang w:val="en-US" w:eastAsia="zh-CN" w:bidi="ar-SA"/>
        </w:rPr>
        <w:t>6.2.2大气污染防治措施</w:t>
      </w:r>
      <w:bookmarkEnd w:id="724"/>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运行期间产生的废气主要为供暖期锅炉烟气及食堂油烟。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项目外购生物质燃料，燃烧烟气经袋式除尘器除尘后通过1根20m排气筒排放。根据《排污许可证申请与核发技术规范 锅炉》（HJ953-2018）表7，本项目为生物质层燃炉，项目配套安装的除尘设施为可行性技术。锅炉烟气污染物排放浓度满足《锅炉大气污染物排放标准》（GB13271-2014）表2新建燃煤锅炉大气污染物排放浓度限值。</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锅炉房烟囱周围半径200m距离内，最高建筑物高度为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12m，</w:t>
      </w: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本项目烟囱高度</w:t>
      </w:r>
      <w:r>
        <w:rPr>
          <w:rFonts w:hint="eastAsia" w:ascii="Times New Roman" w:hAnsi="Times New Roman" w:eastAsia="宋体" w:cs="Times New Roman"/>
          <w:caps w:val="0"/>
          <w:smallCaps w:val="0"/>
          <w:color w:val="auto"/>
          <w:spacing w:val="0"/>
          <w:w w:val="100"/>
          <w:kern w:val="0"/>
          <w:sz w:val="24"/>
          <w:szCs w:val="24"/>
          <w:highlight w:val="none"/>
          <w:lang w:val="en-US" w:eastAsia="zh-CN"/>
        </w:rPr>
        <w:t>20</w:t>
      </w:r>
      <w:r>
        <w:rPr>
          <w:rFonts w:hint="default" w:ascii="Times New Roman" w:hAnsi="Times New Roman" w:eastAsia="宋体" w:cs="Times New Roman"/>
          <w:caps w:val="0"/>
          <w:smallCaps w:val="0"/>
          <w:color w:val="auto"/>
          <w:spacing w:val="0"/>
          <w:w w:val="100"/>
          <w:kern w:val="0"/>
          <w:sz w:val="24"/>
          <w:szCs w:val="24"/>
          <w:highlight w:val="none"/>
          <w:lang w:val="en-US" w:eastAsia="zh-CN"/>
        </w:rPr>
        <w:t>m，满足《锅炉大气污染物排放标准》（GB13271-2014）中燃煤锅炉房烟囱最低允许高度及烟囱高出最高建筑物3m以上要求</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食堂油烟经集气罩收集后，通过油烟净化器净化，通过专用烟道，高于屋顶排放。</w:t>
      </w:r>
      <w:r>
        <w:rPr>
          <w:rFonts w:hint="eastAsia" w:ascii="Times New Roman" w:hAnsi="Times New Roman" w:eastAsia="宋体" w:cs="Times New Roman"/>
          <w:caps w:val="0"/>
          <w:smallCaps w:val="0"/>
          <w:color w:val="auto"/>
          <w:spacing w:val="0"/>
          <w:w w:val="100"/>
          <w:kern w:val="0"/>
          <w:sz w:val="24"/>
          <w:szCs w:val="24"/>
          <w:highlight w:val="none"/>
          <w:lang w:val="en-US" w:eastAsia="zh-CN"/>
        </w:rPr>
        <w:t>经处理后排放的油烟满足《饮食业油烟排放标准》（GB18483-2001）排放限值要求。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综上，本项目采取以上废气治理措施，为可行性措施。</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25" w:name="_Toc5004"/>
      <w:r>
        <w:rPr>
          <w:rFonts w:hint="eastAsia" w:ascii="Times New Roman" w:hAnsi="Times New Roman" w:eastAsia="宋体" w:cs="Times New Roman"/>
          <w:snapToGrid/>
          <w:color w:val="auto"/>
          <w:sz w:val="32"/>
          <w:highlight w:val="none"/>
          <w:lang w:val="en-US" w:eastAsia="zh-CN" w:bidi="ar-SA"/>
        </w:rPr>
        <w:t>6.2.3</w:t>
      </w:r>
      <w:r>
        <w:rPr>
          <w:rFonts w:hint="default" w:ascii="Times New Roman" w:hAnsi="Times New Roman" w:eastAsia="宋体" w:cs="Times New Roman"/>
          <w:snapToGrid/>
          <w:color w:val="auto"/>
          <w:sz w:val="32"/>
          <w:highlight w:val="none"/>
          <w:lang w:val="en-US" w:eastAsia="zh-CN" w:bidi="ar-SA"/>
        </w:rPr>
        <w:t>声环境保护措施</w:t>
      </w:r>
      <w:bookmarkEnd w:id="725"/>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本项目运营期主要噪声源为</w:t>
      </w:r>
      <w:r>
        <w:rPr>
          <w:rFonts w:hint="eastAsia" w:ascii="Times New Roman" w:hAnsi="Times New Roman" w:eastAsia="宋体" w:cs="Times New Roman"/>
          <w:caps w:val="0"/>
          <w:smallCaps w:val="0"/>
          <w:color w:val="auto"/>
          <w:spacing w:val="0"/>
          <w:w w:val="100"/>
          <w:kern w:val="0"/>
          <w:sz w:val="24"/>
          <w:szCs w:val="24"/>
          <w:highlight w:val="none"/>
          <w:lang w:val="en-US" w:eastAsia="zh-CN"/>
        </w:rPr>
        <w:t>泵类及风机。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项目采取的声环境保护措施如下：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①尽量选用低噪声、振动小的设备。</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②项目</w:t>
      </w:r>
      <w:r>
        <w:rPr>
          <w:rFonts w:hint="eastAsia" w:ascii="Times New Roman" w:hAnsi="Times New Roman" w:eastAsia="宋体" w:cs="Times New Roman"/>
          <w:caps w:val="0"/>
          <w:smallCaps w:val="0"/>
          <w:color w:val="auto"/>
          <w:spacing w:val="0"/>
          <w:w w:val="100"/>
          <w:kern w:val="0"/>
          <w:sz w:val="24"/>
          <w:szCs w:val="24"/>
          <w:highlight w:val="none"/>
          <w:lang w:val="en-US" w:eastAsia="zh-CN"/>
        </w:rPr>
        <w:t>提升泵主要位于</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下，在保证工艺生产的同时注意选用低噪声的设备、对有振动的设备考虑设备基础的隔振、减振。水泵吸水管和出水管上，应装设可曲绕橡胶接头、可曲绕橡胶异径管等隔振管件；水泵机组的出水管架空管段（在泵房内）采用弹性悬吊支架；水泵出水管到穿墙或楼板时，洞口与管外壁间填充弹性材料，防固体传声。少量位于地面的设备（风机）布置在室内，并安装隔声门窗。</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③运行过程中加强对闸门、泵站的维护和管理，减少设备非正常运行所产生的噪声对周边环境的影响；同时应尽可能避免因工作人员操作失误或者对某些故障处理不当而导致的设备噪声</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p>
    <w:p>
      <w:pPr>
        <w:pStyle w:val="3"/>
        <w:widowControl w:val="0"/>
        <w:kinsoku/>
        <w:autoSpaceDE/>
        <w:autoSpaceDN/>
        <w:adjustRightInd/>
        <w:snapToGrid/>
        <w:spacing w:before="120" w:after="120" w:line="360" w:lineRule="auto"/>
        <w:jc w:val="both"/>
        <w:textAlignment w:val="auto"/>
        <w:rPr>
          <w:rFonts w:hint="eastAsia" w:ascii="Times New Roman" w:hAnsi="Times New Roman" w:eastAsia="宋体" w:cs="Times New Roman"/>
          <w:snapToGrid/>
          <w:color w:val="auto"/>
          <w:sz w:val="32"/>
          <w:highlight w:val="none"/>
          <w:lang w:val="en-US" w:eastAsia="zh-CN" w:bidi="ar-SA"/>
        </w:rPr>
      </w:pPr>
      <w:bookmarkStart w:id="726" w:name="_Toc30957"/>
      <w:r>
        <w:rPr>
          <w:rFonts w:hint="eastAsia" w:ascii="Times New Roman" w:hAnsi="Times New Roman" w:eastAsia="宋体" w:cs="Times New Roman"/>
          <w:snapToGrid/>
          <w:color w:val="auto"/>
          <w:sz w:val="32"/>
          <w:highlight w:val="none"/>
          <w:lang w:val="en-US" w:eastAsia="zh-CN" w:bidi="ar-SA"/>
        </w:rPr>
        <w:t>6.2.4固体废物</w:t>
      </w:r>
      <w:bookmarkEnd w:id="726"/>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本项目建设运行期间产生的固体废物主要为员工生活垃圾、植物废弃物、锅炉灰渣及除尘器收集沉渣。</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员工生活垃圾统一收集，拉运至村屯垃圾暂存点，等待集中拉运处置。植物废弃物送至生活垃圾填埋处理。锅炉灰渣及沉渣定期外售综合利用。运行期产生的固体废物均得到妥善处置，不会对环境产生明显影响。</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27" w:name="_Toc16829"/>
      <w:r>
        <w:rPr>
          <w:rFonts w:hint="eastAsia" w:ascii="Times New Roman" w:hAnsi="Times New Roman" w:eastAsia="宋体" w:cs="Times New Roman"/>
          <w:snapToGrid/>
          <w:color w:val="auto"/>
          <w:sz w:val="32"/>
          <w:highlight w:val="none"/>
          <w:lang w:val="en-US" w:eastAsia="zh-CN" w:bidi="ar-SA"/>
        </w:rPr>
        <w:t>6.2.5湿地运维方案</w:t>
      </w:r>
      <w:bookmarkEnd w:id="727"/>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①湿地植物管护</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每年在进入冬季后需要对挺水植物进行合理的收割，收割水面以上的植物枯败的残体。其中挺水植物中，芦苇等高大挺水植物每年收割其中50%的群落进行收割，其余不收割，每年对不同的区域进行收割。</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②沉水植物管理养护</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沉水植物休眠后，茎叶失去活性，应及时予以收割，避免发生枯叶二次污染。另外，高体型沉水植物过度生长，会影响水面的清洁与景观，应予以及时修剪。</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尤其是在秋末，需将眼子菜等茎叶较长的植物进行修剪，防止因光合作用较弱导致的茎叶枯萎腐烂等；另一方面，修剪眼子菜等可以增加秋冬季节的水体透明度，将水体下部予以光照，不仅利于水下的茎较短的沉水植物，也对其中的大型水生动物（尤其是底栖动物）有利的。</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③挺水植物管理养护</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枯萎枝叶的整修清理是挺水植物养护管理的重要内容。植物收割是利用专用刀具收割水生植物的茎叶部分，不伤及根系。用修剪刀修剪时，整剪留茬应低矮整齐。另外，挺水植物生长期内合理修剪可有效促使其生长、开花。应根据植物生长情况，合理修剪，并结合疏删弱枝弱株，达到通风透光的目的。植物收割的植物由维护看管单位统一运到垃圾发电厂或附近农家进行资源化利用，不得任意遗弃在湿地及周边区域。挺水植物与浮叶植物群落生长一段时间后，应及时进行疏密移植，避免某个区域挺水植物生长过为拥挤，一般在秋季实施挺水植物分株。</w:t>
      </w:r>
    </w:p>
    <w:p>
      <w:pPr>
        <w:rPr>
          <w:rFonts w:hint="default" w:ascii="Times New Roman" w:hAnsi="Times New Roman" w:eastAsia="宋体" w:cs="Times New Roman"/>
          <w:color w:val="auto"/>
          <w:spacing w:val="24"/>
          <w:sz w:val="24"/>
          <w:szCs w:val="24"/>
          <w:highlight w:val="none"/>
          <w:lang w:val="en-US" w:eastAsia="zh-CN"/>
        </w:rPr>
      </w:pPr>
      <w:r>
        <w:rPr>
          <w:rFonts w:hint="default" w:ascii="Times New Roman" w:hAnsi="Times New Roman" w:eastAsia="宋体" w:cs="Times New Roman"/>
          <w:color w:val="auto"/>
          <w:spacing w:val="24"/>
          <w:sz w:val="24"/>
          <w:szCs w:val="24"/>
          <w:highlight w:val="none"/>
          <w:lang w:val="en-US" w:eastAsia="zh-CN"/>
        </w:rPr>
        <w:br w:type="page"/>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b/>
          <w:bCs/>
          <w:smallCaps w:val="0"/>
          <w:snapToGrid/>
          <w:color w:val="auto"/>
          <w:kern w:val="44"/>
          <w:sz w:val="32"/>
          <w:szCs w:val="32"/>
          <w:highlight w:val="none"/>
          <w:lang w:val="en-US" w:eastAsia="zh-CN" w:bidi="ar-SA"/>
        </w:rPr>
      </w:pPr>
      <w:r>
        <w:rPr>
          <w:rFonts w:hint="default" w:ascii="Times New Roman" w:hAnsi="Times New Roman" w:eastAsia="宋体" w:cs="Times New Roman"/>
          <w:b/>
          <w:bCs/>
          <w:smallCaps w:val="0"/>
          <w:snapToGrid/>
          <w:color w:val="auto"/>
          <w:kern w:val="44"/>
          <w:sz w:val="32"/>
          <w:szCs w:val="32"/>
          <w:highlight w:val="none"/>
          <w:lang w:val="en-US" w:eastAsia="zh-CN" w:bidi="ar-SA"/>
        </w:rPr>
        <w:t>7</w:t>
      </w:r>
      <w:r>
        <w:rPr>
          <w:rFonts w:hint="eastAsia" w:ascii="Times New Roman" w:hAnsi="Times New Roman" w:eastAsia="宋体" w:cs="Times New Roman"/>
          <w:b/>
          <w:bCs/>
          <w:smallCaps w:val="0"/>
          <w:snapToGrid/>
          <w:color w:val="auto"/>
          <w:kern w:val="44"/>
          <w:sz w:val="32"/>
          <w:szCs w:val="32"/>
          <w:highlight w:val="none"/>
          <w:lang w:val="en-US" w:eastAsia="zh-CN" w:bidi="ar-SA"/>
        </w:rPr>
        <w:t>.</w:t>
      </w:r>
      <w:r>
        <w:rPr>
          <w:rFonts w:hint="default" w:ascii="Times New Roman" w:hAnsi="Times New Roman" w:eastAsia="宋体" w:cs="Times New Roman"/>
          <w:b/>
          <w:bCs/>
          <w:smallCaps w:val="0"/>
          <w:snapToGrid/>
          <w:color w:val="auto"/>
          <w:kern w:val="44"/>
          <w:sz w:val="32"/>
          <w:szCs w:val="32"/>
          <w:highlight w:val="none"/>
          <w:lang w:val="en-US" w:eastAsia="zh-CN" w:bidi="ar-SA"/>
        </w:rPr>
        <w:t>环境影响经济损益分析</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28" w:name="_Toc1505"/>
      <w:r>
        <w:rPr>
          <w:rFonts w:hint="default" w:ascii="Times New Roman" w:hAnsi="Times New Roman" w:eastAsia="宋体" w:cs="Times New Roman"/>
          <w:snapToGrid/>
          <w:color w:val="auto"/>
          <w:sz w:val="32"/>
          <w:highlight w:val="none"/>
          <w:lang w:val="en-US" w:eastAsia="zh-CN" w:bidi="ar-SA"/>
        </w:rPr>
        <w:t>7.1环保投资估算</w:t>
      </w:r>
      <w:bookmarkEnd w:id="728"/>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本项目投资总额为18278.52万元，其中环保投资</w:t>
      </w:r>
      <w:r>
        <w:rPr>
          <w:rFonts w:hint="eastAsia" w:ascii="Times New Roman" w:hAnsi="Times New Roman" w:eastAsia="宋体" w:cs="Times New Roman"/>
          <w:caps w:val="0"/>
          <w:smallCaps w:val="0"/>
          <w:color w:val="auto"/>
          <w:spacing w:val="0"/>
          <w:w w:val="100"/>
          <w:kern w:val="0"/>
          <w:sz w:val="24"/>
          <w:szCs w:val="24"/>
          <w:highlight w:val="none"/>
          <w:lang w:val="en-US" w:eastAsia="zh-CN"/>
        </w:rPr>
        <w:t>153</w:t>
      </w:r>
      <w:r>
        <w:rPr>
          <w:rFonts w:hint="default" w:ascii="Times New Roman" w:hAnsi="Times New Roman" w:eastAsia="宋体" w:cs="Times New Roman"/>
          <w:caps w:val="0"/>
          <w:smallCaps w:val="0"/>
          <w:color w:val="auto"/>
          <w:spacing w:val="0"/>
          <w:w w:val="100"/>
          <w:kern w:val="0"/>
          <w:sz w:val="24"/>
          <w:szCs w:val="24"/>
          <w:highlight w:val="none"/>
          <w:lang w:val="en-US" w:eastAsia="zh-CN"/>
        </w:rPr>
        <w:t>万元，占拟建工程总 投资的</w:t>
      </w:r>
      <w:r>
        <w:rPr>
          <w:rFonts w:hint="eastAsia" w:ascii="Times New Roman" w:hAnsi="Times New Roman" w:eastAsia="宋体" w:cs="Times New Roman"/>
          <w:caps w:val="0"/>
          <w:smallCaps w:val="0"/>
          <w:color w:val="auto"/>
          <w:spacing w:val="0"/>
          <w:w w:val="100"/>
          <w:kern w:val="0"/>
          <w:sz w:val="24"/>
          <w:szCs w:val="24"/>
          <w:highlight w:val="none"/>
          <w:lang w:val="en-US" w:eastAsia="zh-CN"/>
        </w:rPr>
        <w:t>0.8</w:t>
      </w:r>
      <w:r>
        <w:rPr>
          <w:rFonts w:hint="default" w:ascii="Times New Roman" w:hAnsi="Times New Roman" w:eastAsia="宋体" w:cs="Times New Roman"/>
          <w:caps w:val="0"/>
          <w:smallCaps w:val="0"/>
          <w:color w:val="auto"/>
          <w:spacing w:val="0"/>
          <w:w w:val="100"/>
          <w:kern w:val="0"/>
          <w:sz w:val="24"/>
          <w:szCs w:val="24"/>
          <w:highlight w:val="none"/>
          <w:lang w:val="en-US" w:eastAsia="zh-CN"/>
        </w:rPr>
        <w:t>%，具体见下表。</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center"/>
        <w:textAlignment w:val="auto"/>
        <w:rPr>
          <w:rFonts w:hint="default" w:ascii="Times New Roman" w:hAnsi="Times New Roman" w:eastAsia="宋体" w:cs="Times New Roman"/>
          <w:b/>
          <w:bCs/>
          <w:caps w:val="0"/>
          <w:smallCaps w:val="0"/>
          <w:color w:val="auto"/>
          <w:spacing w:val="0"/>
          <w:w w:val="100"/>
          <w:ker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表7.1环保投资估算表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108"/>
        <w:gridCol w:w="21"/>
        <w:gridCol w:w="2129"/>
        <w:gridCol w:w="2129"/>
        <w:gridCol w:w="212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gridSpan w:val="3"/>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具体内容</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费用 (万元)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5"/>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08"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大气污染控制</w:t>
            </w:r>
          </w:p>
        </w:tc>
        <w:tc>
          <w:tcPr>
            <w:tcW w:w="2150" w:type="dxa"/>
            <w:gridSpan w:val="2"/>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施工扬尘治理</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场地施工遮挡</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0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2150" w:type="dxa"/>
            <w:gridSpan w:val="2"/>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洒水降尘</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0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水环境治理</w:t>
            </w:r>
          </w:p>
        </w:tc>
        <w:tc>
          <w:tcPr>
            <w:tcW w:w="215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施工废水治理</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临时沉淀池、排水沟、排水管道</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08"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声环境防治</w:t>
            </w:r>
          </w:p>
        </w:tc>
        <w:tc>
          <w:tcPr>
            <w:tcW w:w="215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施工噪声防治</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指示牌、隔音墙、机械减振措施等</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08"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固体废物处置</w:t>
            </w:r>
          </w:p>
        </w:tc>
        <w:tc>
          <w:tcPr>
            <w:tcW w:w="215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生活垃圾</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统一收集，拉运至村屯垃圾暂存点，等待集中拉运处置</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08" w:type="dxa"/>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2150"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建筑垃圾</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拉到县区有关部门要求的地方</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5"/>
            <w:tcBorders>
              <w:tl2br w:val="nil"/>
              <w:tr2bl w:val="nil"/>
            </w:tcBorders>
          </w:tcPr>
          <w:p>
            <w:pPr>
              <w:pStyle w:val="15"/>
              <w:jc w:val="center"/>
              <w:rPr>
                <w:rFonts w:hint="default"/>
                <w:color w:val="auto"/>
                <w:highlight w:val="none"/>
                <w:vertAlign w:val="baseline"/>
                <w:lang w:val="en-US" w:eastAsia="zh-CN"/>
              </w:rPr>
            </w:pPr>
            <w:r>
              <w:rPr>
                <w:rFonts w:hint="eastAsia" w:ascii="Times New Roman" w:hAnsi="Times New Roman" w:cs="Times New Roman" w:eastAsiaTheme="minorEastAsia"/>
                <w:color w:val="auto"/>
                <w:kern w:val="2"/>
                <w:sz w:val="21"/>
                <w:szCs w:val="21"/>
                <w:highlight w:val="none"/>
                <w:vertAlign w:val="baseline"/>
                <w:lang w:val="en-US" w:eastAsia="zh-CN" w:bidi="ar-SA"/>
              </w:rPr>
              <w:t>运行期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gridSpan w:val="2"/>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大气污染控制</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锅炉烟气</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袋式除尘器+20m排气筒</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gridSpan w:val="2"/>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食堂油烟</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集气罩+油烟净化器+专用烟道</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gridSpan w:val="2"/>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水环境治理</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生活污水</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排入化粪池，定期清掏，拉运至大同污水处理厂处理</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gridSpan w:val="2"/>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食堂废水</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经隔油池处理后，排入化粪池，与生活污水一同拉运处置。</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声环境防治</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泵及风机噪声</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基础减振，厂墙隔音</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gridSpan w:val="2"/>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固体废物处置</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生活垃圾</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统一收集，拉运至村屯垃圾暂存点，等待集中拉运处置</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gridSpan w:val="2"/>
            <w:vMerge w:val="continue"/>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植物废弃物</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送至生活垃圾填埋场填埋</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129" w:type="dxa"/>
            <w:gridSpan w:val="2"/>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生态保护</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植物</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both"/>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抚育管护、加强对湿地的检查、加强对重点保护植物的管理维护</w:t>
            </w:r>
          </w:p>
        </w:tc>
        <w:tc>
          <w:tcPr>
            <w:tcW w:w="212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gridSpan w:val="3"/>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合计</w:t>
            </w:r>
          </w:p>
        </w:tc>
        <w:tc>
          <w:tcPr>
            <w:tcW w:w="4258" w:type="dxa"/>
            <w:gridSpan w:val="2"/>
            <w:tcBorders>
              <w:tl2br w:val="nil"/>
              <w:tr2bl w:val="nil"/>
            </w:tcBorders>
            <w:vAlign w:val="top"/>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153</w:t>
            </w:r>
          </w:p>
        </w:tc>
      </w:tr>
    </w:tbl>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29" w:name="_Toc358"/>
      <w:r>
        <w:rPr>
          <w:rFonts w:hint="default" w:ascii="Times New Roman" w:hAnsi="Times New Roman" w:eastAsia="宋体" w:cs="Times New Roman"/>
          <w:snapToGrid/>
          <w:color w:val="auto"/>
          <w:sz w:val="32"/>
          <w:highlight w:val="none"/>
          <w:lang w:val="en-US" w:eastAsia="zh-CN" w:bidi="ar-SA"/>
        </w:rPr>
        <w:t>7.2环境经济损益分析</w:t>
      </w:r>
      <w:bookmarkEnd w:id="729"/>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7.2.1环境影响损失</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w:t>
      </w:r>
      <w:r>
        <w:rPr>
          <w:rFonts w:hint="default" w:ascii="Times New Roman" w:hAnsi="Times New Roman" w:eastAsia="宋体" w:cs="Times New Roman"/>
          <w:caps w:val="0"/>
          <w:smallCaps w:val="0"/>
          <w:color w:val="auto"/>
          <w:spacing w:val="0"/>
          <w:w w:val="100"/>
          <w:kern w:val="0"/>
          <w:sz w:val="24"/>
          <w:szCs w:val="24"/>
          <w:highlight w:val="none"/>
          <w:lang w:val="en-US" w:eastAsia="zh-CN"/>
        </w:rPr>
        <w:t>建设带来的环境经济损失主要表现在：</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土地资源损失</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永久占地主要是人工湿地占地，临时占地则是施工道路及临时堆土场布置占地。根据工程总体布置，占地</w:t>
      </w:r>
      <w:r>
        <w:rPr>
          <w:rFonts w:hint="eastAsia" w:ascii="Times New Roman" w:hAnsi="Times New Roman" w:eastAsia="宋体" w:cs="Times New Roman"/>
          <w:caps w:val="0"/>
          <w:smallCaps w:val="0"/>
          <w:color w:val="auto"/>
          <w:spacing w:val="0"/>
          <w:w w:val="100"/>
          <w:kern w:val="0"/>
          <w:sz w:val="24"/>
          <w:szCs w:val="24"/>
          <w:highlight w:val="none"/>
          <w:lang w:val="en-US" w:eastAsia="zh-CN"/>
        </w:rPr>
        <w:t>原为自然形成的河塘</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陆生生态完整性损失</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本工程施工生产区</w:t>
      </w:r>
      <w:r>
        <w:rPr>
          <w:rFonts w:hint="eastAsia" w:ascii="Times New Roman" w:hAnsi="Times New Roman" w:eastAsia="宋体" w:cs="Times New Roman"/>
          <w:caps w:val="0"/>
          <w:smallCaps w:val="0"/>
          <w:color w:val="auto"/>
          <w:spacing w:val="0"/>
          <w:w w:val="100"/>
          <w:kern w:val="0"/>
          <w:sz w:val="24"/>
          <w:szCs w:val="24"/>
          <w:highlight w:val="none"/>
          <w:lang w:val="en-US" w:eastAsia="zh-CN"/>
        </w:rPr>
        <w:t>布设在项目占地内，占地主要为河塘及少量的荒草地。施工会对原有</w:t>
      </w:r>
      <w:r>
        <w:rPr>
          <w:rFonts w:hint="default" w:ascii="Times New Roman" w:hAnsi="Times New Roman" w:eastAsia="宋体" w:cs="Times New Roman"/>
          <w:caps w:val="0"/>
          <w:smallCaps w:val="0"/>
          <w:color w:val="auto"/>
          <w:spacing w:val="0"/>
          <w:w w:val="100"/>
          <w:kern w:val="0"/>
          <w:sz w:val="24"/>
          <w:szCs w:val="24"/>
          <w:highlight w:val="none"/>
          <w:lang w:val="en-US" w:eastAsia="zh-CN"/>
        </w:rPr>
        <w:t>植被等会遭到一定程度的破坏，</w:t>
      </w:r>
      <w:r>
        <w:rPr>
          <w:rFonts w:hint="eastAsia" w:ascii="Times New Roman" w:hAnsi="Times New Roman" w:eastAsia="宋体" w:cs="Times New Roman"/>
          <w:caps w:val="0"/>
          <w:smallCaps w:val="0"/>
          <w:color w:val="auto"/>
          <w:spacing w:val="0"/>
          <w:w w:val="100"/>
          <w:kern w:val="0"/>
          <w:sz w:val="24"/>
          <w:szCs w:val="24"/>
          <w:highlight w:val="none"/>
          <w:lang w:val="en-US" w:eastAsia="zh-CN"/>
        </w:rPr>
        <w:t>但该区域未被利用，占地内无珍稀保护动植物分布，植被量较少，与周围其他生态环境无连接性，因此，项目建设不会</w:t>
      </w:r>
      <w:r>
        <w:rPr>
          <w:rFonts w:hint="default" w:ascii="Times New Roman" w:hAnsi="Times New Roman" w:eastAsia="宋体" w:cs="Times New Roman"/>
          <w:caps w:val="0"/>
          <w:smallCaps w:val="0"/>
          <w:color w:val="auto"/>
          <w:spacing w:val="0"/>
          <w:w w:val="100"/>
          <w:kern w:val="0"/>
          <w:sz w:val="24"/>
          <w:szCs w:val="24"/>
          <w:highlight w:val="none"/>
          <w:lang w:val="en-US" w:eastAsia="zh-CN"/>
        </w:rPr>
        <w:t>影响当地植被的整体性和多样性，</w:t>
      </w:r>
      <w:r>
        <w:rPr>
          <w:rFonts w:hint="eastAsia" w:ascii="Times New Roman" w:hAnsi="Times New Roman" w:eastAsia="宋体" w:cs="Times New Roman"/>
          <w:caps w:val="0"/>
          <w:smallCaps w:val="0"/>
          <w:color w:val="auto"/>
          <w:spacing w:val="0"/>
          <w:w w:val="100"/>
          <w:kern w:val="0"/>
          <w:sz w:val="24"/>
          <w:szCs w:val="24"/>
          <w:highlight w:val="none"/>
          <w:lang w:val="en-US" w:eastAsia="zh-CN"/>
        </w:rPr>
        <w:t>对</w:t>
      </w:r>
      <w:r>
        <w:rPr>
          <w:rFonts w:hint="default" w:ascii="Times New Roman" w:hAnsi="Times New Roman" w:eastAsia="宋体" w:cs="Times New Roman"/>
          <w:caps w:val="0"/>
          <w:smallCaps w:val="0"/>
          <w:color w:val="auto"/>
          <w:spacing w:val="0"/>
          <w:w w:val="100"/>
          <w:kern w:val="0"/>
          <w:sz w:val="24"/>
          <w:szCs w:val="24"/>
          <w:highlight w:val="none"/>
          <w:lang w:val="en-US" w:eastAsia="zh-CN"/>
        </w:rPr>
        <w:t>陆生生态环境的影响较小。</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水生生物损失</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本项目位于干渠岸边，项目进出水口建设，短时间内会造成水体扰动，但由于安肇新河地表水体恶劣，无珍稀保护水生动物存在，</w:t>
      </w:r>
      <w:r>
        <w:rPr>
          <w:rFonts w:hint="default" w:ascii="Times New Roman" w:hAnsi="Times New Roman" w:eastAsia="宋体" w:cs="Times New Roman"/>
          <w:caps w:val="0"/>
          <w:smallCaps w:val="0"/>
          <w:color w:val="auto"/>
          <w:spacing w:val="0"/>
          <w:w w:val="100"/>
          <w:kern w:val="0"/>
          <w:sz w:val="24"/>
          <w:szCs w:val="24"/>
          <w:highlight w:val="none"/>
          <w:lang w:val="en-US" w:eastAsia="zh-CN"/>
        </w:rPr>
        <w:t>没有受保护或濒危物种</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施工期水生群落生物量和净生产量的损失量不大，造成的生物多样性损失也不大，对水生生态的影响不大。</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周边环境影响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项目施工期间，产生的废气、废水、噪声及固体废物均采取相应防范措施进行治理，对周围环境影响可被接受；施工结束后，影响随即消失。</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同时本项目施工期间采取一些列的水土保持，防止出现干渠塌方及水土流失的现场；对于临时占地，施工结束后，进行场地平整，恢复原有地植及绿貌，与区域地表植被环境自然衔接。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7.2.2  环境效益分析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1</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生态环境效益</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安肇新河为上世纪开凿的人工干渠，为大庆市城市建设提供的重要的保障，由于上游污染源较重，接收的</w:t>
      </w:r>
      <w:r>
        <w:rPr>
          <w:rFonts w:hint="default" w:ascii="Times New Roman" w:hAnsi="Times New Roman" w:eastAsia="宋体" w:cs="Times New Roman"/>
          <w:caps w:val="0"/>
          <w:smallCaps w:val="0"/>
          <w:color w:val="auto"/>
          <w:spacing w:val="0"/>
          <w:w w:val="100"/>
          <w:kern w:val="0"/>
          <w:sz w:val="24"/>
          <w:szCs w:val="24"/>
          <w:highlight w:val="none"/>
          <w:lang w:val="en-US" w:eastAsia="zh-CN"/>
        </w:rPr>
        <w:t>处理达标的工业废水及生活污水</w:t>
      </w:r>
      <w:r>
        <w:rPr>
          <w:rFonts w:hint="eastAsia" w:ascii="Times New Roman" w:hAnsi="Times New Roman" w:eastAsia="宋体" w:cs="Times New Roman"/>
          <w:caps w:val="0"/>
          <w:smallCaps w:val="0"/>
          <w:color w:val="auto"/>
          <w:spacing w:val="0"/>
          <w:w w:val="100"/>
          <w:kern w:val="0"/>
          <w:sz w:val="24"/>
          <w:szCs w:val="24"/>
          <w:highlight w:val="none"/>
          <w:lang w:val="en-US" w:eastAsia="zh-CN"/>
        </w:rPr>
        <w:t>原超于安肇新河水体的自净能力，导致安肇新河水体常年为劣Ⅴ类。导致进入库里泡污染物量较大，库里泡出水顺着安肇新河下游，经古恰泄洪口进入松花江内，使松花江水体变差。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为改善安肇新河入库里泡排口区域水体的质量，</w:t>
      </w:r>
      <w:r>
        <w:rPr>
          <w:rFonts w:hint="default" w:ascii="Times New Roman" w:hAnsi="Times New Roman" w:eastAsia="宋体" w:cs="Times New Roman"/>
          <w:caps w:val="0"/>
          <w:smallCaps w:val="0"/>
          <w:color w:val="auto"/>
          <w:spacing w:val="0"/>
          <w:w w:val="100"/>
          <w:kern w:val="0"/>
          <w:sz w:val="24"/>
          <w:szCs w:val="24"/>
          <w:highlight w:val="none"/>
          <w:lang w:val="en-US" w:eastAsia="zh-CN"/>
        </w:rPr>
        <w:t>恢复其生态功能，截断污染物的输入途径，亟需对</w:t>
      </w:r>
      <w:r>
        <w:rPr>
          <w:rFonts w:hint="eastAsia" w:ascii="Times New Roman" w:hAnsi="Times New Roman" w:eastAsia="宋体" w:cs="Times New Roman"/>
          <w:caps w:val="0"/>
          <w:smallCaps w:val="0"/>
          <w:color w:val="auto"/>
          <w:spacing w:val="0"/>
          <w:w w:val="100"/>
          <w:kern w:val="0"/>
          <w:sz w:val="24"/>
          <w:szCs w:val="24"/>
          <w:highlight w:val="none"/>
          <w:lang w:val="en-US" w:eastAsia="zh-CN"/>
        </w:rPr>
        <w:t>安肇新河</w:t>
      </w:r>
      <w:r>
        <w:rPr>
          <w:rFonts w:hint="default" w:ascii="Times New Roman" w:hAnsi="Times New Roman" w:eastAsia="宋体" w:cs="Times New Roman"/>
          <w:caps w:val="0"/>
          <w:smallCaps w:val="0"/>
          <w:color w:val="auto"/>
          <w:spacing w:val="0"/>
          <w:w w:val="100"/>
          <w:kern w:val="0"/>
          <w:sz w:val="24"/>
          <w:szCs w:val="24"/>
          <w:highlight w:val="none"/>
          <w:lang w:val="en-US" w:eastAsia="zh-CN"/>
        </w:rPr>
        <w:t>进行污染治理及生态修复，消减污染物进入</w:t>
      </w:r>
      <w:r>
        <w:rPr>
          <w:rFonts w:hint="eastAsia" w:ascii="Times New Roman" w:hAnsi="Times New Roman" w:eastAsia="宋体" w:cs="Times New Roman"/>
          <w:caps w:val="0"/>
          <w:smallCaps w:val="0"/>
          <w:color w:val="auto"/>
          <w:spacing w:val="0"/>
          <w:w w:val="100"/>
          <w:kern w:val="0"/>
          <w:sz w:val="24"/>
          <w:szCs w:val="24"/>
          <w:highlight w:val="none"/>
          <w:lang w:val="en-US" w:eastAsia="zh-CN"/>
        </w:rPr>
        <w:t>库里泡</w:t>
      </w:r>
      <w:r>
        <w:rPr>
          <w:rFonts w:hint="default" w:ascii="Times New Roman" w:hAnsi="Times New Roman" w:eastAsia="宋体" w:cs="Times New Roman"/>
          <w:caps w:val="0"/>
          <w:smallCaps w:val="0"/>
          <w:color w:val="auto"/>
          <w:spacing w:val="0"/>
          <w:w w:val="100"/>
          <w:kern w:val="0"/>
          <w:sz w:val="24"/>
          <w:szCs w:val="24"/>
          <w:highlight w:val="none"/>
          <w:lang w:val="en-US" w:eastAsia="zh-CN"/>
        </w:rPr>
        <w:t>的总量。</w:t>
      </w: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本项目建设，不进改善区域水体质量，改善排口区域水生环境，同时改善陆地生态环境，种植乔木及灌木，增加生态物种多样性。</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7.2.3  社会效益分析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项目实施后可以提高人民的生活质量，陶冶人民的情操，提高社会的文明度。 同时项目实施后可提高周边土地的开发利用价值，为项目区招商引资搭建有利的社会环境平台，有利于项目区经济快速增长。因此，工程的兴建其社会效益显著。</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7.2.4  经济损益综合分析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本工程实施后，具有较好的经济效益，从国民经济角度分析，该工程是可行的，再加上不能以货币计算的社会效益和生态环境效益，本工程的综合效益是显著的。</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color w:val="auto"/>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本工程实施后，还具有巨大的社会和生态效益。提升</w:t>
      </w:r>
      <w:r>
        <w:rPr>
          <w:rFonts w:hint="eastAsia" w:ascii="Times New Roman" w:hAnsi="Times New Roman" w:eastAsia="宋体" w:cs="Times New Roman"/>
          <w:caps w:val="0"/>
          <w:smallCaps w:val="0"/>
          <w:color w:val="auto"/>
          <w:spacing w:val="0"/>
          <w:w w:val="100"/>
          <w:kern w:val="0"/>
          <w:sz w:val="24"/>
          <w:szCs w:val="24"/>
          <w:highlight w:val="none"/>
          <w:lang w:val="en-US" w:eastAsia="zh-CN"/>
        </w:rPr>
        <w:t>安肇新河及库里泡区域水体环境，</w:t>
      </w:r>
      <w:r>
        <w:rPr>
          <w:rFonts w:hint="default" w:ascii="Times New Roman" w:hAnsi="Times New Roman" w:eastAsia="宋体" w:cs="Times New Roman"/>
          <w:caps w:val="0"/>
          <w:smallCaps w:val="0"/>
          <w:color w:val="auto"/>
          <w:spacing w:val="0"/>
          <w:w w:val="100"/>
          <w:kern w:val="0"/>
          <w:sz w:val="24"/>
          <w:szCs w:val="24"/>
          <w:highlight w:val="none"/>
          <w:lang w:val="en-US" w:eastAsia="zh-CN"/>
        </w:rPr>
        <w:t>同时提升</w:t>
      </w:r>
      <w:r>
        <w:rPr>
          <w:rFonts w:hint="eastAsia" w:ascii="Times New Roman" w:hAnsi="Times New Roman" w:eastAsia="宋体" w:cs="Times New Roman"/>
          <w:caps w:val="0"/>
          <w:smallCaps w:val="0"/>
          <w:color w:val="auto"/>
          <w:spacing w:val="0"/>
          <w:w w:val="100"/>
          <w:kern w:val="0"/>
          <w:sz w:val="24"/>
          <w:szCs w:val="24"/>
          <w:highlight w:val="none"/>
          <w:lang w:val="en-US" w:eastAsia="zh-CN"/>
        </w:rPr>
        <w:t>大同区</w:t>
      </w:r>
      <w:r>
        <w:rPr>
          <w:rFonts w:hint="default" w:ascii="Times New Roman" w:hAnsi="Times New Roman" w:eastAsia="宋体" w:cs="Times New Roman"/>
          <w:caps w:val="0"/>
          <w:smallCaps w:val="0"/>
          <w:color w:val="auto"/>
          <w:spacing w:val="0"/>
          <w:w w:val="100"/>
          <w:kern w:val="0"/>
          <w:sz w:val="24"/>
          <w:szCs w:val="24"/>
          <w:highlight w:val="none"/>
          <w:lang w:val="en-US" w:eastAsia="zh-CN"/>
        </w:rPr>
        <w:t>区容区貌，构建新区优美生态环境，促进区域内人民安 居乐业和国民经济持续稳定发展；改善区域防洪环境和生态条件，为该区域社会 经济稳定发展创造良好的外部环境。</w:t>
      </w:r>
      <w:r>
        <w:rPr>
          <w:rFonts w:hint="default"/>
          <w:color w:val="auto"/>
          <w:highlight w:val="none"/>
          <w:lang w:val="en-US" w:eastAsia="zh-CN"/>
        </w:rPr>
        <w:br w:type="page"/>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30" w:name="_Toc3062"/>
      <w:r>
        <w:rPr>
          <w:rFonts w:hint="default" w:ascii="Times New Roman" w:hAnsi="Times New Roman" w:eastAsia="宋体" w:cs="Times New Roman"/>
          <w:snapToGrid/>
          <w:color w:val="auto"/>
          <w:sz w:val="32"/>
          <w:highlight w:val="none"/>
          <w:lang w:val="en-US" w:eastAsia="zh-CN" w:bidi="ar-SA"/>
        </w:rPr>
        <w:t>8环境管理与监测计划</w:t>
      </w:r>
      <w:bookmarkEnd w:id="730"/>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31" w:name="_Toc13850"/>
      <w:r>
        <w:rPr>
          <w:rFonts w:hint="default" w:ascii="Times New Roman" w:hAnsi="Times New Roman" w:eastAsia="宋体" w:cs="Times New Roman"/>
          <w:snapToGrid/>
          <w:color w:val="auto"/>
          <w:sz w:val="32"/>
          <w:highlight w:val="none"/>
          <w:lang w:val="en-US" w:eastAsia="zh-CN" w:bidi="ar-SA"/>
        </w:rPr>
        <w:t>8.1环境管理</w:t>
      </w:r>
      <w:bookmarkEnd w:id="731"/>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环境管理是工程管理的一部分，是工程环境保护工作有效实施的重要环节。建设项目环境管理的目的在于保证工程各项环境保护措施的顺利实施，使工程兴建对环境的不利影响得以减免，保证工程地区环保工作顺利进行，促进工程地区社会经济与生态环境相互协调的良性发展。</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8.1.1  环境管理机构、职责</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环境管理机构</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根据国家环境保护管理的规定，应设置工程环境保护管理机构。环境保护管理机构是工程管理机构的重要组成部分，在业务上接受当地环境保护部门的指导。</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本项目设计配置</w:t>
      </w:r>
      <w:r>
        <w:rPr>
          <w:rFonts w:hint="eastAsia" w:ascii="Times New Roman" w:hAnsi="Times New Roman" w:eastAsia="宋体" w:cs="Times New Roman"/>
          <w:caps w:val="0"/>
          <w:smallCaps w:val="0"/>
          <w:color w:val="auto"/>
          <w:spacing w:val="0"/>
          <w:w w:val="100"/>
          <w:kern w:val="0"/>
          <w:sz w:val="24"/>
          <w:szCs w:val="24"/>
          <w:highlight w:val="none"/>
          <w:lang w:val="en-US" w:eastAsia="zh-CN"/>
        </w:rPr>
        <w:t>10</w:t>
      </w:r>
      <w:r>
        <w:rPr>
          <w:rFonts w:hint="default" w:ascii="Times New Roman" w:hAnsi="Times New Roman" w:eastAsia="宋体" w:cs="Times New Roman"/>
          <w:caps w:val="0"/>
          <w:smallCaps w:val="0"/>
          <w:color w:val="auto"/>
          <w:spacing w:val="0"/>
          <w:w w:val="100"/>
          <w:kern w:val="0"/>
          <w:sz w:val="24"/>
          <w:szCs w:val="24"/>
          <w:highlight w:val="none"/>
          <w:lang w:val="en-US" w:eastAsia="zh-CN"/>
        </w:rPr>
        <w:t>名现场管理人员，其中管理人员配备</w:t>
      </w: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人，负责人工湿地工程区日常行政事务、信息收集管理；维护人员配备</w:t>
      </w:r>
      <w:r>
        <w:rPr>
          <w:rFonts w:hint="eastAsia" w:ascii="Times New Roman" w:hAnsi="Times New Roman" w:eastAsia="宋体" w:cs="Times New Roman"/>
          <w:caps w:val="0"/>
          <w:smallCaps w:val="0"/>
          <w:color w:val="auto"/>
          <w:spacing w:val="0"/>
          <w:w w:val="100"/>
          <w:kern w:val="0"/>
          <w:sz w:val="24"/>
          <w:szCs w:val="24"/>
          <w:highlight w:val="none"/>
          <w:lang w:val="en-US" w:eastAsia="zh-CN"/>
        </w:rPr>
        <w:t>7</w:t>
      </w:r>
      <w:r>
        <w:rPr>
          <w:rFonts w:hint="default" w:ascii="Times New Roman" w:hAnsi="Times New Roman" w:eastAsia="宋体" w:cs="Times New Roman"/>
          <w:caps w:val="0"/>
          <w:smallCaps w:val="0"/>
          <w:color w:val="auto"/>
          <w:spacing w:val="0"/>
          <w:w w:val="100"/>
          <w:kern w:val="0"/>
          <w:sz w:val="24"/>
          <w:szCs w:val="24"/>
          <w:highlight w:val="none"/>
          <w:lang w:val="en-US" w:eastAsia="zh-CN"/>
        </w:rPr>
        <w:t>人，负责设施、设备、构筑物的日常维护等工作。</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环境管理机构的职责</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环境管理机构负责工程建设期与运营期环境管理与环境监测工作，主要职责：</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①编制、提出工程建设期、运营期短期环境保护计划及长远环境保护计划；</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②贯彻落实国家和地方的环境保护法律、法规、政策和标准，直接接受行业主管部门、环保局的监督、领导，配合环境保护主管部门作好环保工作；</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③制定和实施环境监测方案，负责所有环保设施的日常运行管理，保障各环保设施的正常运行，并对环保设施的改进提出积极的建议；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④在工程建设阶段负责监督环保设施的施工、安装、调试等，落实项目的环境保护</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三同时</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制度；</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⑤监督污染物总量排放及达标情况，确保污染物排放达到国家排放标准和 总量控制指标；</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⑥参与环保设施竣工验收工作；</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⑦负责对职工环保宣传教育工作及检查、监督各岗位环保制度的执行情况；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⑧领导并组织环境监测工作，建立污染源与监测档案，定期向主管部门及环保部门上报监测报表。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8.1.2环境管理任务</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环境管理工作应贯穿工程建设前期、建设期和运营期的全过程，根据各阶段对环保工作的不同要求，各个不同时期环境管理工作的具体内容也分别有所侧重。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施工准备阶段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在施工准备阶段，环境管理的任务是：</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①完成机构设置；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②参与设计阶段的环境保护设计审查，对工程施工准备阶段环境保护问题进行研究；</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③为工程招标文件准备有关的环保条文，并确保环评工作的结果被包括在设计文件中，环保条文应包括由施工单位遵循的环保制约条款；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④准备实施环境监测方案；</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⑤对所有负责实施环境保护措施的各部门和单位进行动员。</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在工程招标过程中将环境保护措施纳入工程建设招标合同内容，包括废水的沉淀处理、建筑材料堆放过程中需完全遮盖、对敏感区的噪声防护项内容。每个施工工程指挥部设立环境管理科室，每个施工单位各配置</w:t>
      </w: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名专职环保人员，负责本单位在施工过程中的环境保护工作。具体职责为：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①对施工活动进行监控；</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②与地方环保局共同工作，实施各项环保措施；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③执行环境监测方案；</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④贯彻环境控制检查措施及控制施工单位施工行为；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⑤检查工作人员住地卫生防疫措施；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⑥检查工程附近环境敏感点的环保措施的实施；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⑦检查施工取土和堆土场的选择处理是否合适；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⑧制订施工阶段中施工单位必须遵守的协约；</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⑨定期检查及上报施工期间进行的监测项目。</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运营期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工程运营期环境管理工作由工程管理单位负责，环境管理的内容为收集工程影响范围内各环境因子变化情况，确保环境保护总目标的实现。</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32" w:name="_Toc22179"/>
      <w:r>
        <w:rPr>
          <w:rFonts w:hint="default" w:ascii="Times New Roman" w:hAnsi="Times New Roman" w:eastAsia="宋体" w:cs="Times New Roman"/>
          <w:snapToGrid/>
          <w:color w:val="auto"/>
          <w:sz w:val="32"/>
          <w:highlight w:val="none"/>
          <w:lang w:val="en-US" w:eastAsia="zh-CN" w:bidi="ar-SA"/>
        </w:rPr>
        <w:t>8.2环境监理</w:t>
      </w:r>
      <w:bookmarkEnd w:id="732"/>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为了落实拟建项目的各项环保措施和环境管理方案，对建设工程施工期生态护和预防污染环境及生态恢复进行监督管理，确保建设工程环境目标的实现，建议项目在设计、施工阶段委托有环境工程监理资质的单位进行环境监理，并作为工程竣工环保验收的依据。环境监理主要包括施工期环境保护达标监理及生态保护措施监理。环境监理单位接受业主的委托，对设计施工阶段的</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三同时</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措施以及有关环保管理方案进行全过程的监督管理，并配合环保主管部门开展工作。通过环境监理，制定影响的环境管理政策，并采取相应的环保措施，使其影响降到最低程度。</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8.2.1</w:t>
      </w:r>
      <w:r>
        <w:rPr>
          <w:rFonts w:hint="default" w:ascii="Times New Roman" w:hAnsi="Times New Roman" w:eastAsia="宋体" w:cs="Times New Roman"/>
          <w:caps w:val="0"/>
          <w:smallCaps w:val="0"/>
          <w:color w:val="auto"/>
          <w:spacing w:val="0"/>
          <w:w w:val="100"/>
          <w:kern w:val="0"/>
          <w:sz w:val="24"/>
          <w:szCs w:val="24"/>
          <w:highlight w:val="none"/>
          <w:lang w:val="en-US" w:eastAsia="zh-CN"/>
        </w:rPr>
        <w:t>机构及人员设置</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环境监理实行环境监理工程师负责制，监理人员应具备环境保护方面的专业知识。本项目应设立环境监理办公室，设置一名环境监理总监和</w:t>
      </w: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名环境监理工程师。总监理工程师可全面负责项目的环境监理，并在合同中应明确规定有停工的权力。具体负责审定、监理部门内部人员的工作，并组织编写日报、月报、季报及竣工后的报告等。并定期巡视现场，参与环境破坏事故处理，定期召开监理工作会议，如确实存在重大环境问题在征求监理指挥同意后，可以要求在</w:t>
      </w:r>
      <w:r>
        <w:rPr>
          <w:rFonts w:hint="eastAsia" w:ascii="Times New Roman" w:hAnsi="Times New Roman" w:eastAsia="宋体" w:cs="Times New Roman"/>
          <w:caps w:val="0"/>
          <w:smallCaps w:val="0"/>
          <w:color w:val="auto"/>
          <w:spacing w:val="0"/>
          <w:w w:val="100"/>
          <w:kern w:val="0"/>
          <w:sz w:val="24"/>
          <w:szCs w:val="24"/>
          <w:highlight w:val="none"/>
          <w:lang w:val="en-US" w:eastAsia="zh-CN"/>
        </w:rPr>
        <w:t>24h</w:t>
      </w:r>
      <w:r>
        <w:rPr>
          <w:rFonts w:hint="default" w:ascii="Times New Roman" w:hAnsi="Times New Roman" w:eastAsia="宋体" w:cs="Times New Roman"/>
          <w:caps w:val="0"/>
          <w:smallCaps w:val="0"/>
          <w:color w:val="auto"/>
          <w:spacing w:val="0"/>
          <w:w w:val="100"/>
          <w:kern w:val="0"/>
          <w:sz w:val="24"/>
          <w:szCs w:val="24"/>
          <w:highlight w:val="none"/>
          <w:lang w:val="en-US" w:eastAsia="zh-CN"/>
        </w:rPr>
        <w:t>内停工。</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8.2.2</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环境监理工作目标</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环境监理依据国家和相关主管部门制定的法律、法规、技术标准，以及经批准的设计文件和依法签订的建立、施工承包合同，按环境监理服务的范围和内容，履行环境监理义务，独立、公正、科学、有效地服务于本工程，实施全面环境监理，使工程在设计、施工、营运等方面达到环境保护要求，有效控制工程环境污染及生态破坏，并协助业主使工程最终通过国家环境保护验收。</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环境监理工作方式</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审核工程初步设计，环境保护措施是否正确落实了经批准的环境影响报告书提出的环境保护措施，参与施工图设计，并将环境保护内容列入其中；</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协助建设单位组织工程施工、设计、管理人员的环境保护培训；</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33" w:name="_Toc25312"/>
      <w:r>
        <w:rPr>
          <w:rFonts w:hint="default" w:ascii="Times New Roman" w:hAnsi="Times New Roman" w:eastAsia="宋体" w:cs="Times New Roman"/>
          <w:snapToGrid/>
          <w:color w:val="auto"/>
          <w:sz w:val="32"/>
          <w:highlight w:val="none"/>
          <w:lang w:val="en-US" w:eastAsia="zh-CN" w:bidi="ar-SA"/>
        </w:rPr>
        <w:t>8.3环境监测</w:t>
      </w:r>
      <w:bookmarkEnd w:id="733"/>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8.3.1制定目的、原则</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通过项目的环境影响预测结果，为及时掌握项目施工期对环境的影响程度及可能出现的新问题，需要及时实施环境监测，根据监测结果及时调整环境保护行动计划，为环保措施的实施时间和实施方案提供依据。</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8.3.2环境监测机构及设备配置</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环境监测是环境保护的基础，是进行污染治理和监督管理的依据。根据《全 国环境监测管理条例》要求，本次评价建议本项目的环境监测工作可委托当地有 资质的环境监测机构承担。</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8.3.3环境监测工作任务</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依据国家颁发的环境质量标准、污染物排放标准及地方环保主管部门的要求，制定监测计划和工作方案。</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根据监测计划预定的监测任务进行监测，编制监测报告表，建立监测档案，并将监测结果和环境考核指标及时上报各级主管部门。</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通过对监测结果的综合分析，提出污染源发展趋势，防止污染事故的发生，如果出现异常情况及时反馈到有关部门，以便采取应急措施。</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参加公司环保治理工程的竣工验收，污染事故的调查与监测分析工作。</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8.3.4监测计划</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监测重点为施工期环境噪声、水质和环境空气，常规监测要求定点和不定点、定时和不定时抽检相结合的方式进行。因此应根据施工时间，对不同监测点的监测时间进行适当调整。具体监测计划见表8.3-1。</w:t>
      </w:r>
    </w:p>
    <w:p>
      <w:pPr>
        <w:pStyle w:val="8"/>
        <w:jc w:val="center"/>
        <w:rPr>
          <w:rFonts w:hint="default"/>
          <w:b/>
          <w:bCs/>
          <w:color w:val="auto"/>
          <w:highlight w:val="none"/>
          <w:lang w:val="en-US" w:eastAsia="zh-CN"/>
        </w:rPr>
      </w:pP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表8.3-1 环境监测计划一览表</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331"/>
        <w:gridCol w:w="2946"/>
        <w:gridCol w:w="1800"/>
        <w:gridCol w:w="243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项目</w:t>
            </w:r>
          </w:p>
        </w:tc>
        <w:tc>
          <w:tcPr>
            <w:tcW w:w="2946"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监测因子</w:t>
            </w:r>
          </w:p>
        </w:tc>
        <w:tc>
          <w:tcPr>
            <w:tcW w:w="1800"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监测站点</w:t>
            </w:r>
          </w:p>
        </w:tc>
        <w:tc>
          <w:tcPr>
            <w:tcW w:w="24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监测频次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大气</w:t>
            </w:r>
          </w:p>
        </w:tc>
        <w:tc>
          <w:tcPr>
            <w:tcW w:w="2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PM10</w:t>
            </w:r>
          </w:p>
        </w:tc>
        <w:tc>
          <w:tcPr>
            <w:tcW w:w="1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新立屯散户、三不管屯</w:t>
            </w:r>
          </w:p>
        </w:tc>
        <w:tc>
          <w:tcPr>
            <w:tcW w:w="2439"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施工高峰期监测1次，每次连续7天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噪声</w:t>
            </w:r>
          </w:p>
        </w:tc>
        <w:tc>
          <w:tcPr>
            <w:tcW w:w="2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噪声</w:t>
            </w:r>
          </w:p>
        </w:tc>
        <w:tc>
          <w:tcPr>
            <w:tcW w:w="1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新立屯散户</w:t>
            </w:r>
          </w:p>
        </w:tc>
        <w:tc>
          <w:tcPr>
            <w:tcW w:w="24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施工高峰期监测1次，每次昼/夜各测一次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废水</w:t>
            </w:r>
          </w:p>
        </w:tc>
        <w:tc>
          <w:tcPr>
            <w:tcW w:w="2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水量、pH、SS、耗氧量、高锰酸盐指数、COD、BOD5、NH3-N、TP、TN、石油类、透明度、叶绿素a、藻密度</w:t>
            </w:r>
          </w:p>
        </w:tc>
        <w:tc>
          <w:tcPr>
            <w:tcW w:w="1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施工区安肇新河区域及入库里泡排口区域</w:t>
            </w:r>
          </w:p>
        </w:tc>
        <w:tc>
          <w:tcPr>
            <w:tcW w:w="24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施工高峰期监测1次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生态</w:t>
            </w:r>
          </w:p>
        </w:tc>
        <w:tc>
          <w:tcPr>
            <w:tcW w:w="2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生态</w:t>
            </w:r>
          </w:p>
        </w:tc>
        <w:tc>
          <w:tcPr>
            <w:tcW w:w="1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施工场、绿化区域</w:t>
            </w:r>
          </w:p>
        </w:tc>
        <w:tc>
          <w:tcPr>
            <w:tcW w:w="24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监督，2次/季</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516" w:type="dxa"/>
            <w:gridSpan w:val="4"/>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运行期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1"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地表水</w:t>
            </w:r>
          </w:p>
        </w:tc>
        <w:tc>
          <w:tcPr>
            <w:tcW w:w="2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水温、pH 、SS、溶解氧、高锰酸盐指数、COD、BOD5、氨氮、总磷、总氮、铜、锌、氟化物、硒、砷、汞、镉、六价铬、铅、氰化物、挥发酚、石油类、阴离子表面活性剂、硫化物、粪大肠菌群、铁、锰、透明度、叶绿素a、藻密度</w:t>
            </w:r>
          </w:p>
        </w:tc>
        <w:tc>
          <w:tcPr>
            <w:tcW w:w="1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湿地进、出水口、安肇新河入库里泡排口</w:t>
            </w:r>
          </w:p>
        </w:tc>
        <w:tc>
          <w:tcPr>
            <w:tcW w:w="24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枯平丰每期各检测1次</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废气</w:t>
            </w:r>
          </w:p>
        </w:tc>
        <w:tc>
          <w:tcPr>
            <w:tcW w:w="2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颗粒物、二氧化硫、氮氧化物</w:t>
            </w:r>
          </w:p>
        </w:tc>
        <w:tc>
          <w:tcPr>
            <w:tcW w:w="1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锅炉烟气排气筒</w:t>
            </w:r>
          </w:p>
        </w:tc>
        <w:tc>
          <w:tcPr>
            <w:tcW w:w="24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1次/年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3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噪声</w:t>
            </w:r>
          </w:p>
        </w:tc>
        <w:tc>
          <w:tcPr>
            <w:tcW w:w="294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等效连续A声级</w:t>
            </w:r>
          </w:p>
        </w:tc>
        <w:tc>
          <w:tcPr>
            <w:tcW w:w="180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湿地厂界</w:t>
            </w:r>
          </w:p>
        </w:tc>
        <w:tc>
          <w:tcPr>
            <w:tcW w:w="24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1次/季度</w:t>
            </w:r>
          </w:p>
        </w:tc>
      </w:tr>
    </w:tbl>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8.4  污染物排放清单</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color w:val="auto"/>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本项目污染物在施工期和运营期均有污染物产生，其排放清单见下表。</w:t>
      </w:r>
    </w:p>
    <w:p>
      <w:pPr>
        <w:pStyle w:val="8"/>
        <w:jc w:val="center"/>
        <w:rPr>
          <w:rFonts w:hint="default" w:ascii="Times New Roman" w:hAnsi="Times New Roman" w:eastAsia="宋体" w:cs="Times New Roman"/>
          <w:b/>
          <w:bCs/>
          <w:caps w:val="0"/>
          <w:smallCaps w:val="0"/>
          <w:color w:val="auto"/>
          <w:spacing w:val="0"/>
          <w:w w:val="100"/>
          <w:kern w:val="0"/>
          <w:sz w:val="24"/>
          <w:szCs w:val="24"/>
          <w:highlight w:val="none"/>
          <w:lang w:val="en-US" w:eastAsia="zh-CN"/>
        </w:rPr>
      </w:pP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表8.4-1 污染物排放清单</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778"/>
        <w:gridCol w:w="792"/>
        <w:gridCol w:w="804"/>
        <w:gridCol w:w="1380"/>
        <w:gridCol w:w="802"/>
        <w:gridCol w:w="1770"/>
        <w:gridCol w:w="219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时段</w:t>
            </w:r>
          </w:p>
        </w:tc>
        <w:tc>
          <w:tcPr>
            <w:tcW w:w="1596"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污染源</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污染物</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排放量</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环境保护措施或设施及运行参数</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执行的环境标准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施工期</w:t>
            </w:r>
          </w:p>
        </w:tc>
        <w:tc>
          <w:tcPr>
            <w:tcW w:w="79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废气</w:t>
            </w: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施工扬尘</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PM10</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设置钢板硬围挡、对运输车辆进行清洗、粉状物料运输过程进行覆盖、施工场地定期洒水等</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default" w:ascii="Times New Roman" w:hAnsi="Times New Roman" w:eastAsia="宋体" w:cs="Times New Roman"/>
                <w:caps w:val="0"/>
                <w:smallCaps w:val="0"/>
                <w:color w:val="auto"/>
                <w:spacing w:val="0"/>
                <w:w w:val="100"/>
                <w:kern w:val="0"/>
                <w:sz w:val="21"/>
                <w:szCs w:val="21"/>
                <w:highlight w:val="none"/>
                <w:lang w:val="en-US" w:eastAsia="zh-CN"/>
              </w:rPr>
              <w:t>《大气污染物综合排放标准》（GB16297-1996）中表2无组织排放监控浓度限值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车辆尾气</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空气扩散</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废水</w:t>
            </w: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生活污水</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COD 、氨氮、SS、BOD5等</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排入移动环保旱厕内，定期清掏，外运堆肥</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含泥沙雨水</w:t>
            </w:r>
          </w:p>
        </w:tc>
        <w:tc>
          <w:tcPr>
            <w:tcW w:w="138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SS</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c>
          <w:tcPr>
            <w:tcW w:w="177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设置临时沉淀池，经沉淀后用于施工区域抑尘</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河塘积水</w:t>
            </w:r>
          </w:p>
        </w:tc>
        <w:tc>
          <w:tcPr>
            <w:tcW w:w="13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c>
          <w:tcPr>
            <w:tcW w:w="17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1"/>
                <w:szCs w:val="21"/>
                <w:highlight w:val="none"/>
                <w:lang w:val="en-US" w:eastAsia="zh-CN"/>
              </w:rPr>
            </w:pP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底泥出水</w:t>
            </w:r>
          </w:p>
        </w:tc>
        <w:tc>
          <w:tcPr>
            <w:tcW w:w="138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c>
          <w:tcPr>
            <w:tcW w:w="17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eastAsia" w:ascii="Times New Roman" w:hAnsi="Times New Roman" w:eastAsia="宋体" w:cs="Times New Roman"/>
                <w:caps w:val="0"/>
                <w:smallCaps w:val="0"/>
                <w:color w:val="auto"/>
                <w:spacing w:val="0"/>
                <w:w w:val="100"/>
                <w:kern w:val="0"/>
                <w:sz w:val="21"/>
                <w:szCs w:val="21"/>
                <w:highlight w:val="none"/>
                <w:lang w:val="en-US" w:eastAsia="zh-CN"/>
              </w:rPr>
            </w:pP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噪声</w:t>
            </w: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施工噪声</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等效连续A声级</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合理布局、隔音墙、机械减振</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eastAsia"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《建筑施工场界环境噪声排放标准》(GB12523-2011)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固废</w:t>
            </w: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生活垃圾</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生活垃圾</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8.85</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统一收集，拉运至村屯垃圾暂存点，等待集中拉运处置</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建筑垃圾</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砂石、水泥</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分类集中堆存，统一收集后拉到县区有关部门要求的地方进行处置</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运行期</w:t>
            </w:r>
          </w:p>
        </w:tc>
        <w:tc>
          <w:tcPr>
            <w:tcW w:w="79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废气</w:t>
            </w:r>
          </w:p>
        </w:tc>
        <w:tc>
          <w:tcPr>
            <w:tcW w:w="804"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锅炉烟气</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二氧化硫</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0.054</w:t>
            </w:r>
          </w:p>
        </w:tc>
        <w:tc>
          <w:tcPr>
            <w:tcW w:w="177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袋式除尘器+20m排气筒</w:t>
            </w:r>
          </w:p>
        </w:tc>
        <w:tc>
          <w:tcPr>
            <w:tcW w:w="219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《锅炉大气污染物排放标准》（GB13271-2014）表2燃煤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80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氮氧化物</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0.082</w:t>
            </w:r>
          </w:p>
        </w:tc>
        <w:tc>
          <w:tcPr>
            <w:tcW w:w="17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21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804"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颗粒物</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0.0004</w:t>
            </w:r>
          </w:p>
        </w:tc>
        <w:tc>
          <w:tcPr>
            <w:tcW w:w="17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21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食堂油烟</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食堂油烟</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0.0022</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集气罩+专用烟道</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《饮食业油烟排放标准》（GB18483-2001）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废水</w:t>
            </w: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生活污水</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COD、氨氮、SS、BOD5、总磷、总氮</w:t>
            </w:r>
          </w:p>
        </w:tc>
        <w:tc>
          <w:tcPr>
            <w:tcW w:w="80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234</w:t>
            </w:r>
          </w:p>
        </w:tc>
        <w:tc>
          <w:tcPr>
            <w:tcW w:w="177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生活污水排入化粪池内，定期清掏，拉运至大同污水处理厂处理；食堂废水经隔油池处置后，排入化粪池，与生活污水一同拉运处置。</w:t>
            </w:r>
          </w:p>
        </w:tc>
        <w:tc>
          <w:tcPr>
            <w:tcW w:w="219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大同区污水处理厂进水标准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食堂废水</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COD、氨氮、SS、BOD5、总磷、总氮、动植物油</w:t>
            </w:r>
          </w:p>
        </w:tc>
        <w:tc>
          <w:tcPr>
            <w:tcW w:w="80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17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219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锅炉排污水</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pH、化学需氧量、溶解性总固体（全盐量）</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21</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排入潜流湿地，净化后排入安肇新河内</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《地表水环境质量》（GB3838-2002）Ⅴ类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噪声</w:t>
            </w: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泵及风机</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等效连续A声级</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合理布局，基准减振，墙体隔音</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《工业企业厂界环境噪声排放标准》（GB12348-2008）2类标准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固废</w:t>
            </w: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生活垃圾</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生活垃圾</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1.83</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统一收集，拉运至村屯垃圾暂存点，等待集中拉运处置</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植物废弃物</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植物废弃物</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c>
          <w:tcPr>
            <w:tcW w:w="17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生活垃圾填埋场处置</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锅炉灰渣</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锅炉灰渣</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13</w:t>
            </w:r>
          </w:p>
        </w:tc>
        <w:tc>
          <w:tcPr>
            <w:tcW w:w="177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外售，综合利用</w:t>
            </w: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7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79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8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沉渣</w:t>
            </w:r>
          </w:p>
        </w:tc>
        <w:tc>
          <w:tcPr>
            <w:tcW w:w="138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沉渣</w:t>
            </w:r>
          </w:p>
        </w:tc>
        <w:tc>
          <w:tcPr>
            <w:tcW w:w="8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0.04</w:t>
            </w:r>
          </w:p>
        </w:tc>
        <w:tc>
          <w:tcPr>
            <w:tcW w:w="177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p>
        </w:tc>
        <w:tc>
          <w:tcPr>
            <w:tcW w:w="219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caps w:val="0"/>
                <w:smallCaps w:val="0"/>
                <w:color w:val="auto"/>
                <w:spacing w:val="0"/>
                <w:w w:val="100"/>
                <w:kern w:val="0"/>
                <w:sz w:val="21"/>
                <w:szCs w:val="21"/>
                <w:highlight w:val="none"/>
                <w:lang w:val="en-US" w:eastAsia="zh-CN"/>
              </w:rPr>
            </w:pPr>
            <w:r>
              <w:rPr>
                <w:rFonts w:hint="eastAsia" w:ascii="Times New Roman" w:hAnsi="Times New Roman" w:eastAsia="宋体" w:cs="Times New Roman"/>
                <w:caps w:val="0"/>
                <w:smallCaps w:val="0"/>
                <w:color w:val="auto"/>
                <w:spacing w:val="0"/>
                <w:w w:val="100"/>
                <w:kern w:val="0"/>
                <w:sz w:val="21"/>
                <w:szCs w:val="21"/>
                <w:highlight w:val="none"/>
                <w:lang w:val="en-US" w:eastAsia="zh-CN"/>
              </w:rPr>
              <w:t>/</w:t>
            </w:r>
          </w:p>
        </w:tc>
      </w:tr>
    </w:tbl>
    <w:p>
      <w:pPr>
        <w:rPr>
          <w:rFonts w:hint="default"/>
          <w:color w:val="auto"/>
          <w:highlight w:val="none"/>
          <w:lang w:val="en-US" w:eastAsia="zh-CN"/>
        </w:rPr>
      </w:pPr>
      <w:r>
        <w:rPr>
          <w:rFonts w:hint="default"/>
          <w:color w:val="auto"/>
          <w:highlight w:val="none"/>
          <w:lang w:val="en-US" w:eastAsia="zh-CN"/>
        </w:rPr>
        <w:br w:type="page"/>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b/>
          <w:bCs/>
          <w:smallCaps w:val="0"/>
          <w:snapToGrid/>
          <w:color w:val="auto"/>
          <w:kern w:val="44"/>
          <w:sz w:val="32"/>
          <w:szCs w:val="32"/>
          <w:highlight w:val="none"/>
          <w:lang w:val="en-US" w:eastAsia="zh-CN" w:bidi="ar-SA"/>
        </w:rPr>
      </w:pPr>
      <w:r>
        <w:rPr>
          <w:rFonts w:hint="default" w:ascii="Times New Roman" w:hAnsi="Times New Roman" w:eastAsia="宋体" w:cs="Times New Roman"/>
          <w:b/>
          <w:bCs/>
          <w:smallCaps w:val="0"/>
          <w:snapToGrid/>
          <w:color w:val="auto"/>
          <w:kern w:val="44"/>
          <w:sz w:val="32"/>
          <w:szCs w:val="32"/>
          <w:highlight w:val="none"/>
          <w:lang w:val="en-US" w:eastAsia="zh-CN" w:bidi="ar-SA"/>
        </w:rPr>
        <w:t>9环境影响评价结论</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34" w:name="_Toc21651"/>
      <w:r>
        <w:rPr>
          <w:rFonts w:hint="default" w:ascii="Times New Roman" w:hAnsi="Times New Roman" w:eastAsia="宋体" w:cs="Times New Roman"/>
          <w:snapToGrid/>
          <w:color w:val="auto"/>
          <w:sz w:val="32"/>
          <w:highlight w:val="none"/>
          <w:lang w:val="en-US" w:eastAsia="zh-CN" w:bidi="ar-SA"/>
        </w:rPr>
        <w:t>9.1结论</w:t>
      </w:r>
      <w:bookmarkEnd w:id="734"/>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35" w:name="_Toc23659"/>
      <w:r>
        <w:rPr>
          <w:rFonts w:hint="default" w:ascii="Times New Roman" w:hAnsi="Times New Roman" w:eastAsia="宋体" w:cs="Times New Roman"/>
          <w:snapToGrid/>
          <w:color w:val="auto"/>
          <w:sz w:val="32"/>
          <w:highlight w:val="none"/>
          <w:lang w:val="en-US" w:eastAsia="zh-CN" w:bidi="ar-SA"/>
        </w:rPr>
        <w:t>9.1.1项目概况</w:t>
      </w:r>
      <w:bookmarkEnd w:id="735"/>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项目名称：大庆市安肇新河人工湿地水质净化工程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建设单位：大庆市城发自然生态保护管理有限公司</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建设性质：新建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建设地点：</w:t>
      </w: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位于大庆市大同区安肇新河入库里泡排口上游左侧岸边处，项目中心地理坐标为东经124°53′48.972″，北纬45°56′1.761″。项目所在地西侧为安肇新河，北侧及南侧为自然形成河塘，东侧为一般草地，距离项目占地边界最近的敏感点为进场道路南侧的277m新立屯散户。</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建设内容：</w:t>
      </w: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本项目占地面积1360亩，包括湿地管护路，为进场道路，起点为大肇路，终点为人工湿地大门，道路长1.922公里，占地50亩；生态净化区占地1310亩。</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生态净化区主要建设生态稳定塘、生态砾石床、表流湿地、垂直潜流湿地、半自然湿地净化单元，配套建设运维人工生活办公区，包括锅炉房及综合楼。</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在干渠左岸新建引水口，向岸边内陆延伸，建设进水明渠，将安肇新河干渠内部分污水先引至生态稳定塘进行沉淀，去除悬浮物；再通过提升泵及管道进入生态砾石床、表流湿地、垂直潜流湿地进行处置，最终汇入半自然湿地，通过退水涵洞及在干渠左岸新建退水口，回流至安肇新河内，与干渠内其他污水混合，起到稀释作用，通过安肇新河入库里泡排口进入库里泡内。</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（6）</w:t>
      </w:r>
      <w:r>
        <w:rPr>
          <w:rFonts w:hint="default" w:ascii="Times New Roman" w:hAnsi="Times New Roman" w:eastAsia="宋体" w:cs="Times New Roman"/>
          <w:caps w:val="0"/>
          <w:smallCaps w:val="0"/>
          <w:color w:val="auto"/>
          <w:spacing w:val="0"/>
          <w:w w:val="100"/>
          <w:kern w:val="0"/>
          <w:sz w:val="24"/>
          <w:szCs w:val="24"/>
          <w:highlight w:val="none"/>
          <w:lang w:val="en-US" w:eastAsia="zh-CN"/>
        </w:rPr>
        <w:t>项目总投资及来源：本项目总投资</w:t>
      </w:r>
      <w:r>
        <w:rPr>
          <w:rFonts w:hint="eastAsia" w:ascii="Times New Roman" w:hAnsi="Times New Roman" w:eastAsia="宋体" w:cs="Times New Roman"/>
          <w:caps w:val="0"/>
          <w:smallCaps w:val="0"/>
          <w:color w:val="auto"/>
          <w:spacing w:val="0"/>
          <w:w w:val="100"/>
          <w:kern w:val="0"/>
          <w:sz w:val="24"/>
          <w:szCs w:val="24"/>
          <w:highlight w:val="none"/>
          <w:lang w:val="en-US" w:eastAsia="zh-CN"/>
        </w:rPr>
        <w:t>18278.52</w:t>
      </w:r>
      <w:r>
        <w:rPr>
          <w:rFonts w:hint="default" w:ascii="Times New Roman" w:hAnsi="Times New Roman" w:eastAsia="宋体" w:cs="Times New Roman"/>
          <w:caps w:val="0"/>
          <w:smallCaps w:val="0"/>
          <w:color w:val="auto"/>
          <w:spacing w:val="0"/>
          <w:w w:val="100"/>
          <w:kern w:val="0"/>
          <w:sz w:val="24"/>
          <w:szCs w:val="24"/>
          <w:highlight w:val="none"/>
          <w:lang w:val="en-US" w:eastAsia="zh-CN"/>
        </w:rPr>
        <w:t>万元，其中环保投资</w:t>
      </w:r>
      <w:r>
        <w:rPr>
          <w:rFonts w:hint="eastAsia" w:ascii="Times New Roman" w:hAnsi="Times New Roman" w:eastAsia="宋体" w:cs="Times New Roman"/>
          <w:caps w:val="0"/>
          <w:smallCaps w:val="0"/>
          <w:color w:val="auto"/>
          <w:spacing w:val="0"/>
          <w:w w:val="100"/>
          <w:kern w:val="0"/>
          <w:sz w:val="24"/>
          <w:szCs w:val="24"/>
          <w:highlight w:val="none"/>
          <w:lang w:val="en-US" w:eastAsia="zh-CN"/>
        </w:rPr>
        <w:t>153</w:t>
      </w:r>
      <w:r>
        <w:rPr>
          <w:rFonts w:hint="default" w:ascii="Times New Roman" w:hAnsi="Times New Roman" w:eastAsia="宋体" w:cs="Times New Roman"/>
          <w:caps w:val="0"/>
          <w:smallCaps w:val="0"/>
          <w:color w:val="auto"/>
          <w:spacing w:val="0"/>
          <w:w w:val="100"/>
          <w:kern w:val="0"/>
          <w:sz w:val="24"/>
          <w:szCs w:val="24"/>
          <w:highlight w:val="none"/>
          <w:lang w:val="en-US" w:eastAsia="zh-CN"/>
        </w:rPr>
        <w:t>万元，占拟建工程总投资的</w:t>
      </w:r>
      <w:r>
        <w:rPr>
          <w:rFonts w:hint="eastAsia" w:ascii="Times New Roman" w:hAnsi="Times New Roman" w:eastAsia="宋体" w:cs="Times New Roman"/>
          <w:caps w:val="0"/>
          <w:smallCaps w:val="0"/>
          <w:color w:val="auto"/>
          <w:spacing w:val="0"/>
          <w:w w:val="100"/>
          <w:kern w:val="0"/>
          <w:sz w:val="24"/>
          <w:szCs w:val="24"/>
          <w:highlight w:val="none"/>
          <w:lang w:val="en-US" w:eastAsia="zh-CN"/>
        </w:rPr>
        <w:t>0.8</w:t>
      </w:r>
      <w:r>
        <w:rPr>
          <w:rFonts w:hint="default" w:ascii="Times New Roman" w:hAnsi="Times New Roman" w:eastAsia="宋体" w:cs="Times New Roman"/>
          <w:caps w:val="0"/>
          <w:smallCaps w:val="0"/>
          <w:color w:val="auto"/>
          <w:spacing w:val="0"/>
          <w:w w:val="100"/>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（7）</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施工时限：</w:t>
      </w:r>
      <w:r>
        <w:rPr>
          <w:rFonts w:hint="eastAsia" w:ascii="Times New Roman" w:hAnsi="Times New Roman" w:eastAsia="宋体" w:cs="Times New Roman"/>
          <w:caps w:val="0"/>
          <w:smallCaps w:val="0"/>
          <w:color w:val="auto"/>
          <w:spacing w:val="0"/>
          <w:w w:val="100"/>
          <w:kern w:val="0"/>
          <w:sz w:val="24"/>
          <w:szCs w:val="24"/>
          <w:highlight w:val="none"/>
          <w:lang w:val="en-US" w:eastAsia="zh-CN"/>
        </w:rPr>
        <w:t>14</w:t>
      </w:r>
      <w:r>
        <w:rPr>
          <w:rFonts w:hint="default" w:ascii="Times New Roman" w:hAnsi="Times New Roman" w:eastAsia="宋体" w:cs="Times New Roman"/>
          <w:caps w:val="0"/>
          <w:smallCaps w:val="0"/>
          <w:color w:val="auto"/>
          <w:spacing w:val="0"/>
          <w:w w:val="100"/>
          <w:kern w:val="0"/>
          <w:sz w:val="24"/>
          <w:szCs w:val="24"/>
          <w:highlight w:val="none"/>
          <w:lang w:val="en-US" w:eastAsia="zh-CN"/>
        </w:rPr>
        <w:t>个月。</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（8）</w:t>
      </w:r>
      <w:r>
        <w:rPr>
          <w:rFonts w:hint="default" w:ascii="Times New Roman" w:hAnsi="Times New Roman" w:eastAsia="宋体" w:cs="Times New Roman"/>
          <w:caps w:val="0"/>
          <w:smallCaps w:val="0"/>
          <w:color w:val="auto"/>
          <w:spacing w:val="0"/>
          <w:w w:val="100"/>
          <w:kern w:val="0"/>
          <w:sz w:val="24"/>
          <w:szCs w:val="24"/>
          <w:highlight w:val="none"/>
          <w:lang w:val="en-US" w:eastAsia="zh-CN"/>
        </w:rPr>
        <w:t>工作制度：管理人员：8小时工作制，</w:t>
      </w: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施工天数</w:t>
      </w:r>
      <w:r>
        <w:rPr>
          <w:rFonts w:hint="default" w:ascii="Times New Roman" w:hAnsi="Times New Roman" w:eastAsia="宋体" w:cs="Times New Roman"/>
          <w:caps w:val="0"/>
          <w:smallCaps w:val="0"/>
          <w:color w:val="auto"/>
          <w:spacing w:val="0"/>
          <w:w w:val="100"/>
          <w:kern w:val="0"/>
          <w:sz w:val="24"/>
          <w:szCs w:val="24"/>
          <w:highlight w:val="none"/>
          <w:lang w:val="en-US" w:eastAsia="zh-CN"/>
        </w:rPr>
        <w:t>365天；维护人员：8小时工作制，年工作</w:t>
      </w:r>
      <w:r>
        <w:rPr>
          <w:rFonts w:hint="eastAsia" w:ascii="Times New Roman" w:hAnsi="Times New Roman" w:eastAsia="宋体" w:cs="Times New Roman"/>
          <w:caps w:val="0"/>
          <w:smallCaps w:val="0"/>
          <w:color w:val="auto"/>
          <w:spacing w:val="0"/>
          <w:w w:val="100"/>
          <w:kern w:val="0"/>
          <w:sz w:val="24"/>
          <w:szCs w:val="24"/>
          <w:highlight w:val="none"/>
          <w:lang w:val="en-US" w:eastAsia="zh-CN"/>
        </w:rPr>
        <w:t>365</w:t>
      </w:r>
      <w:r>
        <w:rPr>
          <w:rFonts w:hint="default" w:ascii="Times New Roman" w:hAnsi="Times New Roman" w:eastAsia="宋体" w:cs="Times New Roman"/>
          <w:caps w:val="0"/>
          <w:smallCaps w:val="0"/>
          <w:color w:val="auto"/>
          <w:spacing w:val="0"/>
          <w:w w:val="100"/>
          <w:kern w:val="0"/>
          <w:sz w:val="24"/>
          <w:szCs w:val="24"/>
          <w:highlight w:val="none"/>
          <w:lang w:val="en-US" w:eastAsia="zh-CN"/>
        </w:rPr>
        <w:t>天。</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36" w:name="_Toc3455"/>
      <w:r>
        <w:rPr>
          <w:rFonts w:hint="default" w:ascii="Times New Roman" w:hAnsi="Times New Roman" w:eastAsia="宋体" w:cs="Times New Roman"/>
          <w:snapToGrid/>
          <w:color w:val="auto"/>
          <w:sz w:val="32"/>
          <w:highlight w:val="none"/>
          <w:lang w:val="en-US" w:eastAsia="zh-CN" w:bidi="ar-SA"/>
        </w:rPr>
        <w:t>9.1.2  产业政策符合性</w:t>
      </w:r>
      <w:bookmarkEnd w:id="736"/>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对照《产业结构调整指导目录(</w:t>
      </w:r>
      <w:r>
        <w:rPr>
          <w:rFonts w:hint="eastAsia" w:ascii="Times New Roman" w:hAnsi="Times New Roman" w:eastAsia="宋体" w:cs="Times New Roman"/>
          <w:caps w:val="0"/>
          <w:smallCaps w:val="0"/>
          <w:color w:val="auto"/>
          <w:spacing w:val="0"/>
          <w:w w:val="100"/>
          <w:kern w:val="0"/>
          <w:sz w:val="24"/>
          <w:szCs w:val="24"/>
          <w:highlight w:val="none"/>
          <w:lang w:val="en-US" w:eastAsia="zh-CN"/>
        </w:rPr>
        <w:t>2021</w:t>
      </w:r>
      <w:r>
        <w:rPr>
          <w:rFonts w:hint="default" w:ascii="Times New Roman" w:hAnsi="Times New Roman" w:eastAsia="宋体" w:cs="Times New Roman"/>
          <w:caps w:val="0"/>
          <w:smallCaps w:val="0"/>
          <w:color w:val="auto"/>
          <w:spacing w:val="0"/>
          <w:w w:val="100"/>
          <w:kern w:val="0"/>
          <w:sz w:val="24"/>
          <w:szCs w:val="24"/>
          <w:highlight w:val="none"/>
          <w:lang w:val="en-US" w:eastAsia="zh-CN"/>
        </w:rPr>
        <w:t>年本)》可知，本项目属于</w:t>
      </w:r>
      <w:r>
        <w:rPr>
          <w:rFonts w:hint="eastAsia" w:ascii="Times New Roman" w:hAnsi="Times New Roman" w:eastAsia="宋体" w:cs="Times New Roman"/>
          <w:caps w:val="0"/>
          <w:smallCaps w:val="0"/>
          <w:color w:val="auto"/>
          <w:spacing w:val="0"/>
          <w:w w:val="100"/>
          <w:kern w:val="0"/>
          <w:sz w:val="24"/>
          <w:szCs w:val="24"/>
          <w:highlight w:val="none"/>
          <w:lang w:val="en-US" w:eastAsia="zh-CN"/>
        </w:rPr>
        <w:t>属于“第一类“鼓励类”中“四十三、环境保护与资源节约综合利用”中的“15、三废综合利用与治理技术”</w:t>
      </w: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本项目符合国家及地方产业政策要求。</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37" w:name="_Toc16925"/>
      <w:r>
        <w:rPr>
          <w:rFonts w:hint="default" w:ascii="Times New Roman" w:hAnsi="Times New Roman" w:eastAsia="宋体" w:cs="Times New Roman"/>
          <w:snapToGrid/>
          <w:color w:val="auto"/>
          <w:sz w:val="32"/>
          <w:highlight w:val="none"/>
          <w:lang w:val="en-US" w:eastAsia="zh-CN" w:bidi="ar-SA"/>
        </w:rPr>
        <w:t>9.1.3环境质量现状</w:t>
      </w:r>
      <w:bookmarkEnd w:id="737"/>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大气环境</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w:t>
      </w:r>
      <w:r>
        <w:rPr>
          <w:rFonts w:hint="default" w:ascii="Times New Roman" w:hAnsi="Times New Roman" w:eastAsia="宋体" w:cs="Times New Roman"/>
          <w:caps w:val="0"/>
          <w:smallCaps w:val="0"/>
          <w:color w:val="auto"/>
          <w:spacing w:val="0"/>
          <w:w w:val="100"/>
          <w:kern w:val="0"/>
          <w:sz w:val="24"/>
          <w:szCs w:val="24"/>
          <w:highlight w:val="none"/>
          <w:lang w:val="en-US" w:eastAsia="zh-CN"/>
        </w:rPr>
        <w:t>大庆市生态环境局公布的《2021年大庆市生态环境状况公报》</w:t>
      </w:r>
      <w:r>
        <w:rPr>
          <w:rFonts w:hint="eastAsia" w:ascii="Times New Roman" w:hAnsi="Times New Roman" w:eastAsia="宋体" w:cs="Times New Roman"/>
          <w:caps w:val="0"/>
          <w:smallCaps w:val="0"/>
          <w:color w:val="auto"/>
          <w:spacing w:val="0"/>
          <w:w w:val="100"/>
          <w:kern w:val="0"/>
          <w:sz w:val="24"/>
          <w:szCs w:val="24"/>
          <w:highlight w:val="none"/>
          <w:lang w:val="en-US" w:eastAsia="zh-CN"/>
        </w:rPr>
        <w:t>，本项目所在区域为空气达标区，</w:t>
      </w:r>
      <w:r>
        <w:rPr>
          <w:rFonts w:hint="default" w:ascii="Times New Roman" w:hAnsi="Times New Roman" w:eastAsia="宋体" w:cs="Times New Roman"/>
          <w:caps w:val="0"/>
          <w:smallCaps w:val="0"/>
          <w:color w:val="auto"/>
          <w:spacing w:val="0"/>
          <w:w w:val="100"/>
          <w:kern w:val="0"/>
          <w:sz w:val="24"/>
          <w:szCs w:val="24"/>
          <w:highlight w:val="none"/>
          <w:lang w:val="en-US" w:eastAsia="zh-CN"/>
        </w:rPr>
        <w:t>SO2、NO2、CO</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PM10 、PM2.5 、O3</w:t>
      </w:r>
      <w:r>
        <w:rPr>
          <w:rFonts w:hint="eastAsia" w:ascii="Times New Roman" w:hAnsi="Times New Roman" w:eastAsia="宋体" w:cs="Times New Roman"/>
          <w:caps w:val="0"/>
          <w:smallCaps w:val="0"/>
          <w:color w:val="auto"/>
          <w:spacing w:val="0"/>
          <w:w w:val="100"/>
          <w:kern w:val="0"/>
          <w:sz w:val="24"/>
          <w:szCs w:val="24"/>
          <w:highlight w:val="none"/>
          <w:lang w:val="en-US" w:eastAsia="zh-CN"/>
        </w:rPr>
        <w:t>均满足</w:t>
      </w:r>
      <w:r>
        <w:rPr>
          <w:rFonts w:hint="default" w:ascii="Times New Roman" w:hAnsi="Times New Roman" w:eastAsia="宋体" w:cs="Times New Roman"/>
          <w:caps w:val="0"/>
          <w:smallCaps w:val="0"/>
          <w:color w:val="auto"/>
          <w:spacing w:val="0"/>
          <w:w w:val="100"/>
          <w:kern w:val="0"/>
          <w:sz w:val="24"/>
          <w:szCs w:val="24"/>
          <w:highlight w:val="none"/>
          <w:lang w:val="en-US" w:eastAsia="zh-CN"/>
        </w:rPr>
        <w:t>《环境空气质量标准》(GB3095-2012) 中二级标准及修改单要求。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w:t>
      </w:r>
      <w:r>
        <w:rPr>
          <w:rFonts w:hint="eastAsia" w:ascii="Times New Roman" w:hAnsi="Times New Roman" w:eastAsia="宋体" w:cs="Times New Roman"/>
          <w:caps w:val="0"/>
          <w:smallCaps w:val="0"/>
          <w:color w:val="auto"/>
          <w:spacing w:val="0"/>
          <w:w w:val="100"/>
          <w:kern w:val="0"/>
          <w:sz w:val="24"/>
          <w:szCs w:val="24"/>
          <w:highlight w:val="none"/>
          <w:lang w:val="en-US" w:eastAsia="zh-CN"/>
        </w:rPr>
        <w:t>现状监测</w:t>
      </w:r>
      <w:r>
        <w:rPr>
          <w:rFonts w:hint="default" w:ascii="Times New Roman" w:hAnsi="Times New Roman" w:eastAsia="宋体" w:cs="Times New Roman"/>
          <w:caps w:val="0"/>
          <w:smallCaps w:val="0"/>
          <w:color w:val="auto"/>
          <w:spacing w:val="0"/>
          <w:w w:val="100"/>
          <w:kern w:val="0"/>
          <w:sz w:val="24"/>
          <w:szCs w:val="24"/>
          <w:highlight w:val="none"/>
          <w:lang w:val="en-US" w:eastAsia="zh-CN"/>
        </w:rPr>
        <w:t xml:space="preserve">报告，评价区域大气中的TSP </w:t>
      </w:r>
      <w:r>
        <w:rPr>
          <w:rFonts w:hint="eastAsia" w:ascii="Times New Roman" w:hAnsi="Times New Roman" w:eastAsia="宋体" w:cs="Times New Roman"/>
          <w:caps w:val="0"/>
          <w:smallCaps w:val="0"/>
          <w:color w:val="auto"/>
          <w:spacing w:val="0"/>
          <w:w w:val="100"/>
          <w:kern w:val="0"/>
          <w:sz w:val="24"/>
          <w:szCs w:val="24"/>
          <w:highlight w:val="none"/>
          <w:lang w:val="en-US" w:eastAsia="zh-CN"/>
        </w:rPr>
        <w:t>日均值</w:t>
      </w:r>
      <w:r>
        <w:rPr>
          <w:rFonts w:hint="default" w:ascii="Times New Roman" w:hAnsi="Times New Roman" w:eastAsia="宋体" w:cs="Times New Roman"/>
          <w:caps w:val="0"/>
          <w:smallCaps w:val="0"/>
          <w:color w:val="auto"/>
          <w:spacing w:val="0"/>
          <w:w w:val="100"/>
          <w:kern w:val="0"/>
          <w:sz w:val="24"/>
          <w:szCs w:val="24"/>
          <w:highlight w:val="none"/>
          <w:lang w:val="en-US" w:eastAsia="zh-CN"/>
        </w:rPr>
        <w:t>小浓度满足《环境空气质量标准 (GB 3095-2012)》二级标准，</w:t>
      </w:r>
      <w:r>
        <w:rPr>
          <w:rFonts w:hint="eastAsia" w:ascii="Times New Roman" w:hAnsi="Times New Roman" w:eastAsia="宋体" w:cs="Times New Roman"/>
          <w:caps w:val="0"/>
          <w:smallCaps w:val="0"/>
          <w:color w:val="auto"/>
          <w:spacing w:val="0"/>
          <w:w w:val="100"/>
          <w:kern w:val="0"/>
          <w:sz w:val="24"/>
          <w:szCs w:val="24"/>
          <w:highlight w:val="none"/>
          <w:lang w:val="en-US" w:eastAsia="zh-CN"/>
        </w:rPr>
        <w:t>氨气及硫化氢满足《环境影响评价技术导则 大气环境》（HJ2.1-2018）表D.1限值要求。区域</w:t>
      </w:r>
      <w:r>
        <w:rPr>
          <w:rFonts w:hint="default" w:ascii="Times New Roman" w:hAnsi="Times New Roman" w:eastAsia="宋体" w:cs="Times New Roman"/>
          <w:caps w:val="0"/>
          <w:smallCaps w:val="0"/>
          <w:color w:val="auto"/>
          <w:spacing w:val="0"/>
          <w:w w:val="100"/>
          <w:kern w:val="0"/>
          <w:sz w:val="24"/>
          <w:szCs w:val="24"/>
          <w:highlight w:val="none"/>
          <w:lang w:val="en-US" w:eastAsia="zh-CN"/>
        </w:rPr>
        <w:t>大气环境质量</w:t>
      </w:r>
      <w:r>
        <w:rPr>
          <w:rFonts w:hint="eastAsia" w:ascii="Times New Roman" w:hAnsi="Times New Roman" w:eastAsia="宋体" w:cs="Times New Roman"/>
          <w:caps w:val="0"/>
          <w:smallCaps w:val="0"/>
          <w:color w:val="auto"/>
          <w:spacing w:val="0"/>
          <w:w w:val="100"/>
          <w:kern w:val="0"/>
          <w:sz w:val="24"/>
          <w:szCs w:val="24"/>
          <w:highlight w:val="none"/>
          <w:lang w:val="en-US" w:eastAsia="zh-CN"/>
        </w:rPr>
        <w:t>良</w:t>
      </w:r>
      <w:r>
        <w:rPr>
          <w:rFonts w:hint="default" w:ascii="Times New Roman" w:hAnsi="Times New Roman" w:eastAsia="宋体" w:cs="Times New Roman"/>
          <w:caps w:val="0"/>
          <w:smallCaps w:val="0"/>
          <w:color w:val="auto"/>
          <w:spacing w:val="0"/>
          <w:w w:val="100"/>
          <w:kern w:val="0"/>
          <w:sz w:val="24"/>
          <w:szCs w:val="24"/>
          <w:highlight w:val="none"/>
          <w:lang w:val="en-US" w:eastAsia="zh-CN"/>
        </w:rPr>
        <w:t>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地表水环境</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由上表检测结果和评价结果看出，检测期间拟建人工湿地上游、安肇新河入库里泡排口及库里泡排放口断面处的COD、氨氮及总氮均高于《地表水环境质量标准》（GB3838-2002）中的Ⅴ类标准限值，总磷未超标；安肇新河入松花江的古恰排口断面处COD、氨氮、总氮及总磷均高于《地表水环境质量标准》（GB3838-2002）中的Ⅴ类标准限值，区域地表水体现状不满足《地表水环境质量标准》（GB3838-2002）中的Ⅴ类。</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地下水环境</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根据检测报告分析，评价范围内</w:t>
      </w:r>
      <w:r>
        <w:rPr>
          <w:rFonts w:hint="eastAsia" w:ascii="Times New Roman" w:hAnsi="Times New Roman" w:eastAsia="宋体" w:cs="Times New Roman"/>
          <w:caps w:val="0"/>
          <w:smallCaps w:val="0"/>
          <w:color w:val="auto"/>
          <w:spacing w:val="0"/>
          <w:w w:val="100"/>
          <w:kern w:val="0"/>
          <w:sz w:val="24"/>
          <w:szCs w:val="24"/>
          <w:highlight w:val="none"/>
          <w:lang w:val="en-US" w:eastAsia="zh-CN"/>
        </w:rPr>
        <w:t>村屯水井监测因子均满足</w:t>
      </w:r>
      <w:r>
        <w:rPr>
          <w:rFonts w:hint="default" w:ascii="Times New Roman" w:hAnsi="Times New Roman" w:eastAsia="宋体" w:cs="Times New Roman"/>
          <w:caps w:val="0"/>
          <w:smallCaps w:val="0"/>
          <w:color w:val="auto"/>
          <w:spacing w:val="0"/>
          <w:w w:val="100"/>
          <w:kern w:val="0"/>
          <w:sz w:val="24"/>
          <w:szCs w:val="24"/>
          <w:highlight w:val="none"/>
          <w:lang w:val="en-US" w:eastAsia="zh-CN"/>
        </w:rPr>
        <w:t>《地下水质量标准》</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GB/T14848-2017</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中的Ⅲ类标准要求</w:t>
      </w:r>
      <w:r>
        <w:rPr>
          <w:rFonts w:hint="eastAsia" w:ascii="Times New Roman" w:hAnsi="Times New Roman" w:eastAsia="宋体" w:cs="Times New Roman"/>
          <w:caps w:val="0"/>
          <w:smallCaps w:val="0"/>
          <w:color w:val="auto"/>
          <w:spacing w:val="0"/>
          <w:w w:val="100"/>
          <w:kern w:val="0"/>
          <w:sz w:val="24"/>
          <w:szCs w:val="24"/>
          <w:highlight w:val="none"/>
          <w:lang w:val="en-US" w:eastAsia="zh-CN"/>
        </w:rPr>
        <w:t>，石油类满足《地表水环境质量标准》（GB3838-2002）Ⅲ</w:t>
      </w:r>
      <w:r>
        <w:rPr>
          <w:rFonts w:hint="default" w:ascii="Times New Roman" w:hAnsi="Times New Roman" w:eastAsia="宋体" w:cs="Times New Roman"/>
          <w:caps w:val="0"/>
          <w:smallCaps w:val="0"/>
          <w:color w:val="auto"/>
          <w:spacing w:val="0"/>
          <w:w w:val="100"/>
          <w:kern w:val="0"/>
          <w:sz w:val="24"/>
          <w:szCs w:val="24"/>
          <w:highlight w:val="none"/>
          <w:lang w:val="en-US" w:eastAsia="zh-CN"/>
        </w:rPr>
        <w:t>类标准要求</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评价区域井水化学类型均主要为HCO3-Na+Ca</w:t>
      </w:r>
      <w:r>
        <w:rPr>
          <w:rFonts w:hint="eastAsia" w:ascii="Times New Roman" w:hAnsi="Times New Roman" w:eastAsia="宋体" w:cs="Times New Roman"/>
          <w:caps w:val="0"/>
          <w:smallCaps w:val="0"/>
          <w:color w:val="auto"/>
          <w:spacing w:val="0"/>
          <w:w w:val="100"/>
          <w:kern w:val="0"/>
          <w:sz w:val="24"/>
          <w:szCs w:val="24"/>
          <w:highlight w:val="none"/>
          <w:lang w:val="en-US" w:eastAsia="zh-CN"/>
        </w:rPr>
        <w:t>+Mg</w:t>
      </w:r>
      <w:r>
        <w:rPr>
          <w:rFonts w:hint="default" w:ascii="Times New Roman" w:hAnsi="Times New Roman" w:eastAsia="宋体" w:cs="Times New Roman"/>
          <w:caps w:val="0"/>
          <w:smallCaps w:val="0"/>
          <w:color w:val="auto"/>
          <w:spacing w:val="0"/>
          <w:w w:val="100"/>
          <w:kern w:val="0"/>
          <w:sz w:val="24"/>
          <w:szCs w:val="24"/>
          <w:highlight w:val="none"/>
          <w:lang w:val="en-US" w:eastAsia="zh-CN"/>
        </w:rPr>
        <w:t>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声环境</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根据监测报告分析，</w:t>
      </w:r>
      <w:r>
        <w:rPr>
          <w:rFonts w:hint="eastAsia" w:ascii="Times New Roman" w:hAnsi="Times New Roman" w:eastAsia="宋体" w:cs="Times New Roman"/>
          <w:caps w:val="0"/>
          <w:smallCaps w:val="0"/>
          <w:color w:val="auto"/>
          <w:spacing w:val="0"/>
          <w:w w:val="100"/>
          <w:kern w:val="0"/>
          <w:sz w:val="24"/>
          <w:szCs w:val="24"/>
          <w:highlight w:val="none"/>
          <w:lang w:val="en-US" w:eastAsia="zh-CN"/>
        </w:rPr>
        <w:t>拟建湿地厂址厂界噪声现状均满足</w:t>
      </w:r>
      <w:r>
        <w:rPr>
          <w:rFonts w:hint="default" w:ascii="Times New Roman" w:hAnsi="Times New Roman" w:eastAsia="宋体" w:cs="Times New Roman"/>
          <w:caps w:val="0"/>
          <w:smallCaps w:val="0"/>
          <w:color w:val="auto"/>
          <w:spacing w:val="0"/>
          <w:w w:val="100"/>
          <w:kern w:val="0"/>
          <w:sz w:val="24"/>
          <w:szCs w:val="24"/>
          <w:highlight w:val="none"/>
          <w:lang w:val="en-US" w:eastAsia="zh-CN"/>
        </w:rPr>
        <w:t xml:space="preserve">《声环境质量标准》 </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GB3096-2008</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中</w:t>
      </w: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类标准要求，声环境质量较好。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（5）</w:t>
      </w:r>
      <w:r>
        <w:rPr>
          <w:rFonts w:hint="default" w:ascii="Times New Roman" w:hAnsi="Times New Roman" w:eastAsia="宋体" w:cs="Times New Roman"/>
          <w:caps w:val="0"/>
          <w:smallCaps w:val="0"/>
          <w:color w:val="auto"/>
          <w:spacing w:val="0"/>
          <w:w w:val="100"/>
          <w:kern w:val="0"/>
          <w:sz w:val="24"/>
          <w:szCs w:val="24"/>
          <w:highlight w:val="none"/>
          <w:lang w:val="en-US" w:eastAsia="zh-CN"/>
        </w:rPr>
        <w:t>土壤环境</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根据监测报告分析，</w:t>
      </w: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项目占地内及占地外</w:t>
      </w:r>
      <w:r>
        <w:rPr>
          <w:rFonts w:hint="default" w:ascii="Times New Roman" w:hAnsi="Times New Roman" w:eastAsia="宋体" w:cs="Times New Roman"/>
          <w:caps w:val="0"/>
          <w:smallCaps w:val="0"/>
          <w:color w:val="auto"/>
          <w:spacing w:val="0"/>
          <w:w w:val="100"/>
          <w:kern w:val="0"/>
          <w:sz w:val="24"/>
          <w:szCs w:val="24"/>
          <w:highlight w:val="none"/>
          <w:lang w:val="en-US" w:eastAsia="zh-CN"/>
        </w:rPr>
        <w:t xml:space="preserve">监测因子均满足《土壤环境质量 建设用地土壤污 染风险管控标准》 </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GB36600-2018</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表</w:t>
      </w: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第二类用地筛选值</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土壤环境良好。</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38" w:name="_Toc10148"/>
      <w:r>
        <w:rPr>
          <w:rFonts w:hint="default" w:ascii="Times New Roman" w:hAnsi="Times New Roman" w:eastAsia="宋体" w:cs="Times New Roman"/>
          <w:snapToGrid/>
          <w:color w:val="auto"/>
          <w:sz w:val="32"/>
          <w:highlight w:val="none"/>
          <w:lang w:val="en-US" w:eastAsia="zh-CN" w:bidi="ar-SA"/>
        </w:rPr>
        <w:t>9.1.4  污染防治措施及其可行性结论</w:t>
      </w:r>
      <w:bookmarkEnd w:id="738"/>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①生态环境</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w:t>
      </w:r>
      <w:r>
        <w:rPr>
          <w:rFonts w:hint="eastAsia" w:ascii="Times New Roman" w:hAnsi="Times New Roman" w:eastAsia="宋体" w:cs="Times New Roman"/>
          <w:caps w:val="0"/>
          <w:smallCaps w:val="0"/>
          <w:color w:val="auto"/>
          <w:spacing w:val="0"/>
          <w:w w:val="100"/>
          <w:kern w:val="0"/>
          <w:sz w:val="24"/>
          <w:szCs w:val="24"/>
          <w:highlight w:val="none"/>
          <w:lang w:val="en-US" w:eastAsia="zh-CN"/>
        </w:rPr>
        <w:t>占地主要为河塘及荒草地，施工期间主要</w:t>
      </w:r>
      <w:r>
        <w:rPr>
          <w:rFonts w:hint="default" w:ascii="Times New Roman" w:hAnsi="Times New Roman" w:eastAsia="宋体" w:cs="Times New Roman"/>
          <w:caps w:val="0"/>
          <w:smallCaps w:val="0"/>
          <w:color w:val="auto"/>
          <w:spacing w:val="0"/>
          <w:w w:val="100"/>
          <w:kern w:val="0"/>
          <w:sz w:val="24"/>
          <w:szCs w:val="24"/>
          <w:highlight w:val="none"/>
          <w:lang w:val="en-US" w:eastAsia="zh-CN"/>
        </w:rPr>
        <w:t>采取以下生态恢复措施：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综合施工场等临时占地在施工完毕后对部分施工生产区的硬化层及建筑物进行清除。</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工程施工基地、施工临时便道、</w:t>
      </w:r>
      <w:r>
        <w:rPr>
          <w:rFonts w:hint="eastAsia" w:ascii="Times New Roman" w:hAnsi="Times New Roman" w:eastAsia="宋体" w:cs="Times New Roman"/>
          <w:caps w:val="0"/>
          <w:smallCaps w:val="0"/>
          <w:color w:val="auto"/>
          <w:spacing w:val="0"/>
          <w:w w:val="100"/>
          <w:kern w:val="0"/>
          <w:sz w:val="24"/>
          <w:szCs w:val="24"/>
          <w:highlight w:val="none"/>
          <w:lang w:val="en-US" w:eastAsia="zh-CN"/>
        </w:rPr>
        <w:t>材料堆放</w:t>
      </w:r>
      <w:r>
        <w:rPr>
          <w:rFonts w:hint="default" w:ascii="Times New Roman" w:hAnsi="Times New Roman" w:eastAsia="宋体" w:cs="Times New Roman"/>
          <w:caps w:val="0"/>
          <w:smallCaps w:val="0"/>
          <w:color w:val="auto"/>
          <w:spacing w:val="0"/>
          <w:w w:val="100"/>
          <w:kern w:val="0"/>
          <w:sz w:val="24"/>
          <w:szCs w:val="24"/>
          <w:highlight w:val="none"/>
          <w:lang w:val="en-US" w:eastAsia="zh-CN"/>
        </w:rPr>
        <w:t>场、</w:t>
      </w:r>
      <w:r>
        <w:rPr>
          <w:rFonts w:hint="eastAsia" w:ascii="Times New Roman" w:hAnsi="Times New Roman" w:eastAsia="宋体" w:cs="Times New Roman"/>
          <w:caps w:val="0"/>
          <w:smallCaps w:val="0"/>
          <w:color w:val="auto"/>
          <w:spacing w:val="0"/>
          <w:w w:val="100"/>
          <w:kern w:val="0"/>
          <w:sz w:val="24"/>
          <w:szCs w:val="24"/>
          <w:highlight w:val="none"/>
          <w:lang w:val="en-US" w:eastAsia="zh-CN"/>
        </w:rPr>
        <w:t>临时堆土</w:t>
      </w:r>
      <w:r>
        <w:rPr>
          <w:rFonts w:hint="default" w:ascii="Times New Roman" w:hAnsi="Times New Roman" w:eastAsia="宋体" w:cs="Times New Roman"/>
          <w:caps w:val="0"/>
          <w:smallCaps w:val="0"/>
          <w:color w:val="auto"/>
          <w:spacing w:val="0"/>
          <w:w w:val="100"/>
          <w:kern w:val="0"/>
          <w:sz w:val="24"/>
          <w:szCs w:val="24"/>
          <w:highlight w:val="none"/>
          <w:lang w:val="en-US" w:eastAsia="zh-CN"/>
        </w:rPr>
        <w:t>场等临时占地应按照少占</w:t>
      </w:r>
      <w:r>
        <w:rPr>
          <w:rFonts w:hint="eastAsia" w:ascii="Times New Roman" w:hAnsi="Times New Roman" w:eastAsia="宋体" w:cs="Times New Roman"/>
          <w:caps w:val="0"/>
          <w:smallCaps w:val="0"/>
          <w:color w:val="auto"/>
          <w:spacing w:val="0"/>
          <w:w w:val="100"/>
          <w:kern w:val="0"/>
          <w:sz w:val="24"/>
          <w:szCs w:val="24"/>
          <w:highlight w:val="none"/>
          <w:lang w:val="en-US" w:eastAsia="zh-CN"/>
        </w:rPr>
        <w:t>草地</w:t>
      </w:r>
      <w:r>
        <w:rPr>
          <w:rFonts w:hint="default" w:ascii="Times New Roman" w:hAnsi="Times New Roman" w:eastAsia="宋体" w:cs="Times New Roman"/>
          <w:caps w:val="0"/>
          <w:smallCaps w:val="0"/>
          <w:color w:val="auto"/>
          <w:spacing w:val="0"/>
          <w:w w:val="100"/>
          <w:kern w:val="0"/>
          <w:sz w:val="24"/>
          <w:szCs w:val="24"/>
          <w:highlight w:val="none"/>
          <w:lang w:val="en-US" w:eastAsia="zh-CN"/>
        </w:rPr>
        <w:t>，同时避开可能造成水土流失的生态脆弱区。</w:t>
      </w: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施工结束后，对施工临时占地进行场地平整，恢复原有地植及绿貌，与区域地表植被环境自然衔接。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采用封闭式施工方式，施工活动不得超越征地范围。尽量减少对陆生脊椎动物及其栖息地的破坏，施工中避免破坏野生动物集中栖息的洞穴、窝巢等，对工程建设区域内的各类生物群落予以保护。</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②废气</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施工期通过设置施工围挡、建筑材料堆场遮盖苫布、</w:t>
      </w:r>
      <w:r>
        <w:rPr>
          <w:rFonts w:hint="eastAsia" w:ascii="Times New Roman" w:hAnsi="Times New Roman" w:eastAsia="宋体" w:cs="Times New Roman"/>
          <w:caps w:val="0"/>
          <w:smallCaps w:val="0"/>
          <w:color w:val="auto"/>
          <w:spacing w:val="0"/>
          <w:w w:val="100"/>
          <w:kern w:val="0"/>
          <w:sz w:val="24"/>
          <w:szCs w:val="24"/>
          <w:highlight w:val="none"/>
          <w:lang w:val="en-US" w:eastAsia="zh-CN"/>
        </w:rPr>
        <w:t>施工区域洒水抑尘、路过附近屯村时，降低车速；</w:t>
      </w:r>
      <w:r>
        <w:rPr>
          <w:rFonts w:hint="default" w:ascii="Times New Roman" w:hAnsi="Times New Roman" w:eastAsia="宋体" w:cs="Times New Roman"/>
          <w:caps w:val="0"/>
          <w:smallCaps w:val="0"/>
          <w:color w:val="auto"/>
          <w:spacing w:val="0"/>
          <w:w w:val="100"/>
          <w:kern w:val="0"/>
          <w:sz w:val="24"/>
          <w:szCs w:val="24"/>
          <w:highlight w:val="none"/>
          <w:lang w:val="en-US" w:eastAsia="zh-CN"/>
        </w:rPr>
        <w:t>通过选用低污染排放的机械、选用高质量低污染的燃料和加强对机械车辆的维修保养以保证机械和车辆等正常运行，减少燃油废气的排放。</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通过采取上述污染防治措施，严格按照环保要求进行施工，施工期不会对对周围大气环境产生明显影响，不利影响也会随之施工期的结束而消失。</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③废水</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生活污水排入移动环保旱厕内，定期清掏，外运堆肥。</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含泥沙雨水、河塘内积水及底泥出水经临时沉淀池沉淀后，用于施工区域抑尘，不外排。</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④</w:t>
      </w:r>
      <w:r>
        <w:rPr>
          <w:rFonts w:hint="eastAsia" w:ascii="Times New Roman" w:hAnsi="Times New Roman" w:eastAsia="宋体" w:cs="Times New Roman"/>
          <w:caps w:val="0"/>
          <w:smallCaps w:val="0"/>
          <w:color w:val="auto"/>
          <w:spacing w:val="0"/>
          <w:w w:val="100"/>
          <w:kern w:val="0"/>
          <w:sz w:val="24"/>
          <w:szCs w:val="24"/>
          <w:highlight w:val="none"/>
          <w:lang w:val="en-US" w:eastAsia="zh-CN"/>
        </w:rPr>
        <w:t>噪声</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施工期噪声主要为运输车辆和机械噪声。施工尽量选用低噪施工机械及车辆、加装 减振基座、设置临时隔声屏障、加强维护和保养、限制车速、严控鸣笛、合理安排工期和作业时间。采取以上措施后施工厂界噪声可满足《建筑施工厂界环境噪声排放标准》</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GB12523-2011</w:t>
      </w:r>
      <w:r>
        <w:rPr>
          <w:rFonts w:hint="eastAsia" w:ascii="Times New Roman" w:hAnsi="Times New Roman" w:eastAsia="宋体" w:cs="Times New Roman"/>
          <w:caps w:val="0"/>
          <w:smallCaps w:val="0"/>
          <w:color w:val="auto"/>
          <w:spacing w:val="0"/>
          <w:w w:val="100"/>
          <w:kern w:val="0"/>
          <w:sz w:val="24"/>
          <w:szCs w:val="24"/>
          <w:highlight w:val="none"/>
          <w:lang w:val="en-US" w:eastAsia="zh-CN"/>
        </w:rPr>
        <w:t>）</w:t>
      </w:r>
      <w:r>
        <w:rPr>
          <w:rFonts w:hint="default" w:ascii="Times New Roman" w:hAnsi="Times New Roman" w:eastAsia="宋体" w:cs="Times New Roman"/>
          <w:caps w:val="0"/>
          <w:smallCaps w:val="0"/>
          <w:color w:val="auto"/>
          <w:spacing w:val="0"/>
          <w:w w:val="100"/>
          <w:kern w:val="0"/>
          <w:sz w:val="24"/>
          <w:szCs w:val="24"/>
          <w:highlight w:val="none"/>
          <w:lang w:val="en-US" w:eastAsia="zh-CN"/>
        </w:rPr>
        <w:t>要求。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⑤固体废物</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建筑垃圾拉到县区有关部门要求的地方。</w:t>
      </w:r>
      <w:r>
        <w:rPr>
          <w:rFonts w:hint="eastAsia" w:ascii="Times New Roman" w:hAnsi="Times New Roman" w:eastAsia="宋体" w:cs="Times New Roman"/>
          <w:caps w:val="0"/>
          <w:smallCaps w:val="0"/>
          <w:color w:val="auto"/>
          <w:spacing w:val="0"/>
          <w:w w:val="100"/>
          <w:kern w:val="0"/>
          <w:sz w:val="24"/>
          <w:szCs w:val="24"/>
          <w:highlight w:val="none"/>
          <w:lang w:val="en-US" w:eastAsia="zh-CN"/>
        </w:rPr>
        <w:t>生活垃圾集中收集，拉运至村屯垃圾暂存点，等待集中拉运处置。施工期间</w:t>
      </w:r>
      <w:r>
        <w:rPr>
          <w:rFonts w:hint="default" w:ascii="Times New Roman" w:hAnsi="Times New Roman" w:eastAsia="宋体" w:cs="Times New Roman"/>
          <w:caps w:val="0"/>
          <w:smallCaps w:val="0"/>
          <w:color w:val="auto"/>
          <w:spacing w:val="0"/>
          <w:w w:val="100"/>
          <w:kern w:val="0"/>
          <w:sz w:val="24"/>
          <w:szCs w:val="24"/>
          <w:highlight w:val="none"/>
          <w:lang w:val="en-US" w:eastAsia="zh-CN"/>
        </w:rPr>
        <w:t>产生的固体废物妥善处置不外排，不会对周围环境产生明显影响。</w:t>
      </w:r>
    </w:p>
    <w:p>
      <w:pPr>
        <w:keepNext w:val="0"/>
        <w:keepLines w:val="0"/>
        <w:pageBreakBefore w:val="0"/>
        <w:widowControl w:val="0"/>
        <w:kinsoku/>
        <w:wordWrap/>
        <w:overflowPunct/>
        <w:topLinePunct w:val="0"/>
        <w:autoSpaceDE/>
        <w:autoSpaceDN/>
        <w:bidi w:val="0"/>
        <w:adjustRightInd w:val="0"/>
        <w:snapToGrid w:val="0"/>
        <w:spacing w:line="500" w:lineRule="exact"/>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运营期</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①生态环境影响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水生生态</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项目建成后</w:t>
      </w:r>
      <w:r>
        <w:rPr>
          <w:rFonts w:hint="eastAsia" w:ascii="Times New Roman" w:hAnsi="Times New Roman" w:eastAsia="宋体" w:cs="Times New Roman"/>
          <w:caps w:val="0"/>
          <w:smallCaps w:val="0"/>
          <w:color w:val="auto"/>
          <w:spacing w:val="0"/>
          <w:w w:val="100"/>
          <w:kern w:val="0"/>
          <w:sz w:val="24"/>
          <w:szCs w:val="24"/>
          <w:highlight w:val="none"/>
          <w:lang w:val="en-US" w:eastAsia="zh-CN"/>
        </w:rPr>
        <w:t>安肇新河及库里泡</w:t>
      </w:r>
      <w:r>
        <w:rPr>
          <w:rFonts w:hint="default" w:ascii="Times New Roman" w:hAnsi="Times New Roman" w:eastAsia="宋体" w:cs="Times New Roman"/>
          <w:caps w:val="0"/>
          <w:smallCaps w:val="0"/>
          <w:color w:val="auto"/>
          <w:spacing w:val="0"/>
          <w:w w:val="100"/>
          <w:kern w:val="0"/>
          <w:sz w:val="24"/>
          <w:szCs w:val="24"/>
          <w:highlight w:val="none"/>
          <w:lang w:val="en-US" w:eastAsia="zh-CN"/>
        </w:rPr>
        <w:t>水质得到改善，有助于水生生物的生长繁殖，改善水生生态环境</w:t>
      </w:r>
      <w:r>
        <w:rPr>
          <w:rFonts w:hint="eastAsia" w:ascii="Times New Roman" w:hAnsi="Times New Roman" w:eastAsia="宋体" w:cs="Times New Roman"/>
          <w:caps w:val="0"/>
          <w:smallCaps w:val="0"/>
          <w:color w:val="auto"/>
          <w:spacing w:val="0"/>
          <w:w w:val="100"/>
          <w:kern w:val="0"/>
          <w:sz w:val="24"/>
          <w:szCs w:val="24"/>
          <w:highlight w:val="none"/>
          <w:lang w:val="en-US" w:eastAsia="zh-CN"/>
        </w:rPr>
        <w:t>。安肇新河及库里泡水体内鱼类及其它水生生物都是河流水生环境中常见的物种，没有受保护或濒危物种，且安肇新河干渠内没有鱼类集中的产卵场、索饵场、越冬场。干渠水质得到改善，有助于水生生物的生长繁殖，改善水生生态环境，同时项目在运行期间安装视频监控设备，实时对进出水口及干渠内情况进行监控，防止发生干渠塌方情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②陆生生态</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项目建设运行后，在湿地周围种植一些乔木植物，将原有裸土地进行绿化，增加单位面积陆生植物数量，有利于增加区域生物多样性。工程实施对动物生境的影响主要为改变原有占地生态环境，为生物提供良好栖息或觅(捕)食生境。项目所在区域陆生动物多为小型动物，栖息空间比较广泛，运行期动物生境基本不受影响。</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39" w:name="_Toc7194"/>
      <w:r>
        <w:rPr>
          <w:rFonts w:hint="default" w:ascii="Times New Roman" w:hAnsi="Times New Roman" w:eastAsia="宋体" w:cs="Times New Roman"/>
          <w:snapToGrid/>
          <w:color w:val="auto"/>
          <w:sz w:val="32"/>
          <w:highlight w:val="none"/>
          <w:lang w:val="en-US" w:eastAsia="zh-CN" w:bidi="ar-SA"/>
        </w:rPr>
        <w:t>9.1.5  总量控制分析</w:t>
      </w:r>
      <w:bookmarkEnd w:id="739"/>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根据国家“十四五”规定的总量控制污染物种类，综合考虑本项目的排污特点、所在区域的环境质量现状等因素，本项目将COD、氨氮、颗粒物、二氧化硫、氮氧化物作为总量控制指标。</w:t>
      </w:r>
    </w:p>
    <w:p>
      <w:pPr>
        <w:pStyle w:val="8"/>
        <w:jc w:val="center"/>
        <w:rPr>
          <w:rFonts w:hint="default"/>
          <w:b/>
          <w:bCs/>
          <w:color w:val="auto"/>
          <w:highlight w:val="none"/>
          <w:lang w:val="en-US" w:eastAsia="zh-CN"/>
        </w:rPr>
      </w:pPr>
      <w:r>
        <w:rPr>
          <w:rFonts w:hint="eastAsia" w:ascii="Times New Roman" w:hAnsi="Times New Roman" w:eastAsia="宋体" w:cs="Times New Roman"/>
          <w:b/>
          <w:bCs/>
          <w:caps w:val="0"/>
          <w:smallCaps w:val="0"/>
          <w:color w:val="auto"/>
          <w:spacing w:val="0"/>
          <w:w w:val="100"/>
          <w:kern w:val="0"/>
          <w:sz w:val="24"/>
          <w:szCs w:val="24"/>
          <w:highlight w:val="none"/>
          <w:lang w:val="en-US" w:eastAsia="zh-CN"/>
        </w:rPr>
        <w:t>表9.1-1污染物总量控制指标</w:t>
      </w:r>
    </w:p>
    <w:tbl>
      <w:tblPr>
        <w:tblStyle w:val="1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58"/>
        <w:gridCol w:w="425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总量控制因子</w:t>
            </w:r>
          </w:p>
        </w:tc>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总量控制目标（t/a）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二氧化硫</w:t>
            </w:r>
          </w:p>
        </w:tc>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氮氧化物</w:t>
            </w:r>
          </w:p>
        </w:tc>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0.068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颗粒物</w:t>
            </w:r>
          </w:p>
        </w:tc>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0.102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COD</w:t>
            </w:r>
          </w:p>
        </w:tc>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3855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氨氮</w:t>
            </w:r>
          </w:p>
        </w:tc>
        <w:tc>
          <w:tcPr>
            <w:tcW w:w="4258" w:type="dxa"/>
            <w:tcBorders>
              <w:tl2br w:val="nil"/>
              <w:tr2bl w:val="nil"/>
            </w:tcBorders>
          </w:tcPr>
          <w:p>
            <w:pPr>
              <w:keepNext w:val="0"/>
              <w:keepLines w:val="0"/>
              <w:pageBreakBefore w:val="0"/>
              <w:widowControl/>
              <w:suppressLineNumbers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highlight w:val="none"/>
                <w:vertAlign w:val="baseline"/>
                <w:lang w:val="en-US" w:eastAsia="zh-CN"/>
              </w:rPr>
            </w:pPr>
            <w:r>
              <w:rPr>
                <w:rFonts w:hint="eastAsia" w:ascii="Times New Roman" w:hAnsi="Times New Roman" w:cs="Times New Roman"/>
                <w:color w:val="auto"/>
                <w:sz w:val="21"/>
                <w:szCs w:val="21"/>
                <w:highlight w:val="none"/>
                <w:vertAlign w:val="baseline"/>
                <w:lang w:val="en-US" w:eastAsia="zh-CN"/>
              </w:rPr>
              <w:t>94.5</w:t>
            </w:r>
          </w:p>
        </w:tc>
      </w:tr>
    </w:tbl>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40" w:name="_Toc522"/>
      <w:r>
        <w:rPr>
          <w:rFonts w:hint="default" w:ascii="Times New Roman" w:hAnsi="Times New Roman" w:eastAsia="宋体" w:cs="Times New Roman"/>
          <w:snapToGrid/>
          <w:color w:val="auto"/>
          <w:sz w:val="32"/>
          <w:highlight w:val="none"/>
          <w:lang w:val="en-US" w:eastAsia="zh-CN" w:bidi="ar-SA"/>
        </w:rPr>
        <w:t>9.1.6公众意见采纳情况</w:t>
      </w:r>
      <w:bookmarkEnd w:id="740"/>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项目由大庆市城发自然生态保护管理有限公司通过粘贴公告、网上公示以及报纸公开等方式进行公众参与。征求意见的对象为项目周边的公民、法人和其他组织。本次公众参与两次信息公示期间均未收到反对意见。从以上调查结果分析可知，本项目的建设得到了当地公众支持。</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41" w:name="_Toc12018"/>
      <w:r>
        <w:rPr>
          <w:rFonts w:hint="default" w:ascii="Times New Roman" w:hAnsi="Times New Roman" w:eastAsia="宋体" w:cs="Times New Roman"/>
          <w:snapToGrid/>
          <w:color w:val="auto"/>
          <w:sz w:val="32"/>
          <w:highlight w:val="none"/>
          <w:lang w:val="en-US" w:eastAsia="zh-CN" w:bidi="ar-SA"/>
        </w:rPr>
        <w:t>9.1.7  环境影响经济损益分析</w:t>
      </w:r>
      <w:bookmarkEnd w:id="741"/>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由于本项目采取一系列的环保治理措施对工程所产生的废气、废水、固体废弃物、 噪声进行彻底有效的治理，使得污染物均可以实现“达标排放”。本项目在取得良好的 环境效益、经济效益和社会效益的前提下，在正常生产运营过程中对环境的影响比较小， 因此，本项目的环境效益是良好的。本评价认为，本项目的综合效益是十分显著的。</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42" w:name="_Toc20994"/>
      <w:r>
        <w:rPr>
          <w:rFonts w:hint="default" w:ascii="Times New Roman" w:hAnsi="Times New Roman" w:eastAsia="宋体" w:cs="Times New Roman"/>
          <w:snapToGrid/>
          <w:color w:val="auto"/>
          <w:sz w:val="32"/>
          <w:highlight w:val="none"/>
          <w:lang w:val="en-US" w:eastAsia="zh-CN" w:bidi="ar-SA"/>
        </w:rPr>
        <w:t>9.1.8  环境管理与监测计划</w:t>
      </w:r>
      <w:bookmarkEnd w:id="742"/>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项目建立日常环境管理制度、组织机构和环境管理台账，设立各项环境保护设施和 措施的建设、运行及维护费用保障计划。按照监测计划进行污染源监测和环境质量监测，</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并及时向社会公开项目信息。</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43" w:name="_Toc22960"/>
      <w:r>
        <w:rPr>
          <w:rFonts w:hint="default" w:ascii="Times New Roman" w:hAnsi="Times New Roman" w:eastAsia="宋体" w:cs="Times New Roman"/>
          <w:snapToGrid/>
          <w:color w:val="auto"/>
          <w:sz w:val="32"/>
          <w:highlight w:val="none"/>
          <w:lang w:val="en-US" w:eastAsia="zh-CN" w:bidi="ar-SA"/>
        </w:rPr>
        <w:t>9.1.9  项目建设可行性结论</w:t>
      </w:r>
      <w:bookmarkEnd w:id="743"/>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default" w:ascii="Times New Roman" w:hAnsi="Times New Roman" w:eastAsia="宋体" w:cs="Times New Roman"/>
          <w:caps w:val="0"/>
          <w:smallCaps w:val="0"/>
          <w:color w:val="auto"/>
          <w:spacing w:val="0"/>
          <w:w w:val="100"/>
          <w:kern w:val="0"/>
          <w:sz w:val="24"/>
          <w:szCs w:val="24"/>
          <w:highlight w:val="none"/>
          <w:lang w:val="en-US" w:eastAsia="zh-CN"/>
        </w:rPr>
        <w:t>本工程为污水处理及其再生利用工程</w:t>
      </w:r>
      <w:r>
        <w:rPr>
          <w:rFonts w:hint="eastAsia" w:ascii="Times New Roman" w:hAnsi="Times New Roman" w:eastAsia="宋体" w:cs="Times New Roman"/>
          <w:caps w:val="0"/>
          <w:smallCaps w:val="0"/>
          <w:color w:val="auto"/>
          <w:spacing w:val="0"/>
          <w:w w:val="100"/>
          <w:kern w:val="0"/>
          <w:sz w:val="24"/>
          <w:szCs w:val="24"/>
          <w:highlight w:val="none"/>
          <w:lang w:val="en-US" w:eastAsia="zh-CN"/>
        </w:rPr>
        <w:t>，人工湿地采取微生物降解+植物吸收+水体自净工艺，对污水处理。项目建设完成后，可有效降低排入库里泡污染物的量。可间接改善古恰闸口汇入松花江水体的质量及肇源松花江国控断面水质状况。</w:t>
      </w:r>
      <w:r>
        <w:rPr>
          <w:rFonts w:hint="default" w:ascii="Times New Roman" w:hAnsi="Times New Roman" w:eastAsia="宋体" w:cs="Times New Roman"/>
          <w:caps w:val="0"/>
          <w:smallCaps w:val="0"/>
          <w:color w:val="auto"/>
          <w:spacing w:val="0"/>
          <w:w w:val="100"/>
          <w:kern w:val="0"/>
          <w:sz w:val="24"/>
          <w:szCs w:val="24"/>
          <w:highlight w:val="none"/>
          <w:lang w:val="en-US" w:eastAsia="zh-CN"/>
        </w:rPr>
        <w:t>不仅具有重要的生态意义，更具有全局性重大意义。在落实报告书提出的各项环 保措施和要求后，工程建设的不利环境影响可以消除或减缓，从环境保护角度分析，本 工程的建设是可行的。</w:t>
      </w:r>
    </w:p>
    <w:p>
      <w:pPr>
        <w:pStyle w:val="3"/>
        <w:widowControl w:val="0"/>
        <w:kinsoku/>
        <w:autoSpaceDE/>
        <w:autoSpaceDN/>
        <w:adjustRightInd/>
        <w:snapToGrid/>
        <w:spacing w:before="120" w:after="120" w:line="360" w:lineRule="auto"/>
        <w:jc w:val="both"/>
        <w:textAlignment w:val="auto"/>
        <w:rPr>
          <w:rFonts w:hint="default" w:ascii="Times New Roman" w:hAnsi="Times New Roman" w:eastAsia="宋体" w:cs="Times New Roman"/>
          <w:snapToGrid/>
          <w:color w:val="auto"/>
          <w:sz w:val="32"/>
          <w:highlight w:val="none"/>
          <w:lang w:val="en-US" w:eastAsia="zh-CN" w:bidi="ar-SA"/>
        </w:rPr>
      </w:pPr>
      <w:bookmarkStart w:id="744" w:name="_Toc25977"/>
      <w:r>
        <w:rPr>
          <w:rFonts w:hint="default" w:ascii="Times New Roman" w:hAnsi="Times New Roman" w:eastAsia="宋体" w:cs="Times New Roman"/>
          <w:snapToGrid/>
          <w:color w:val="auto"/>
          <w:sz w:val="32"/>
          <w:highlight w:val="none"/>
          <w:lang w:val="en-US" w:eastAsia="zh-CN" w:bidi="ar-SA"/>
        </w:rPr>
        <w:t>9.2  建议</w:t>
      </w:r>
      <w:bookmarkEnd w:id="744"/>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（1）</w:t>
      </w:r>
      <w:r>
        <w:rPr>
          <w:rFonts w:hint="default" w:ascii="Times New Roman" w:hAnsi="Times New Roman" w:eastAsia="宋体" w:cs="Times New Roman"/>
          <w:caps w:val="0"/>
          <w:smallCaps w:val="0"/>
          <w:color w:val="auto"/>
          <w:spacing w:val="0"/>
          <w:w w:val="100"/>
          <w:kern w:val="0"/>
          <w:sz w:val="24"/>
          <w:szCs w:val="24"/>
          <w:highlight w:val="none"/>
          <w:lang w:val="en-US" w:eastAsia="zh-CN"/>
        </w:rPr>
        <w:t>项目在建设施工过程中和建成后要严格落实环评提出的污染防治措施，减小项 目建设对周围环境的影响。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（2）</w:t>
      </w:r>
      <w:r>
        <w:rPr>
          <w:rFonts w:hint="default" w:ascii="Times New Roman" w:hAnsi="Times New Roman" w:eastAsia="宋体" w:cs="Times New Roman"/>
          <w:caps w:val="0"/>
          <w:smallCaps w:val="0"/>
          <w:color w:val="auto"/>
          <w:spacing w:val="0"/>
          <w:w w:val="100"/>
          <w:kern w:val="0"/>
          <w:sz w:val="24"/>
          <w:szCs w:val="24"/>
          <w:highlight w:val="none"/>
          <w:lang w:val="en-US" w:eastAsia="zh-CN"/>
        </w:rPr>
        <w:t>选择有资质、管理严格的施工队伍，加强监督，提高施工管理水平，尽量减少 施工对环境造成的影响。</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（3）</w:t>
      </w:r>
      <w:r>
        <w:rPr>
          <w:rFonts w:hint="default" w:ascii="Times New Roman" w:hAnsi="Times New Roman" w:eastAsia="宋体" w:cs="Times New Roman"/>
          <w:caps w:val="0"/>
          <w:smallCaps w:val="0"/>
          <w:color w:val="auto"/>
          <w:spacing w:val="0"/>
          <w:w w:val="100"/>
          <w:kern w:val="0"/>
          <w:sz w:val="24"/>
          <w:szCs w:val="24"/>
          <w:highlight w:val="none"/>
          <w:lang w:val="en-US" w:eastAsia="zh-CN"/>
        </w:rPr>
        <w:t>建议利用项目施工期环境监测等工作，推动项目环境保护工作的开展。</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jc w:val="both"/>
        <w:textAlignment w:val="auto"/>
        <w:rPr>
          <w:rFonts w:hint="default" w:ascii="Times New Roman" w:hAnsi="Times New Roman" w:eastAsia="宋体" w:cs="Times New Roman"/>
          <w:caps w:val="0"/>
          <w:smallCaps w:val="0"/>
          <w:color w:val="auto"/>
          <w:spacing w:val="0"/>
          <w:w w:val="100"/>
          <w:kern w:val="0"/>
          <w:sz w:val="24"/>
          <w:szCs w:val="24"/>
          <w:highlight w:val="none"/>
          <w:lang w:val="en-US" w:eastAsia="zh-CN"/>
        </w:rPr>
      </w:pPr>
      <w:r>
        <w:rPr>
          <w:rFonts w:hint="eastAsia" w:ascii="Times New Roman" w:hAnsi="Times New Roman" w:eastAsia="宋体" w:cs="Times New Roman"/>
          <w:caps w:val="0"/>
          <w:smallCaps w:val="0"/>
          <w:color w:val="auto"/>
          <w:spacing w:val="0"/>
          <w:w w:val="100"/>
          <w:kern w:val="0"/>
          <w:sz w:val="24"/>
          <w:szCs w:val="24"/>
          <w:highlight w:val="none"/>
          <w:lang w:val="en-US" w:eastAsia="zh-CN"/>
        </w:rPr>
        <w:t>（4）</w:t>
      </w:r>
      <w:r>
        <w:rPr>
          <w:rFonts w:hint="default" w:ascii="Times New Roman" w:hAnsi="Times New Roman" w:eastAsia="宋体" w:cs="Times New Roman"/>
          <w:caps w:val="0"/>
          <w:smallCaps w:val="0"/>
          <w:color w:val="auto"/>
          <w:spacing w:val="0"/>
          <w:w w:val="100"/>
          <w:kern w:val="0"/>
          <w:sz w:val="24"/>
          <w:szCs w:val="24"/>
          <w:highlight w:val="none"/>
          <w:lang w:val="en-US" w:eastAsia="zh-CN"/>
        </w:rPr>
        <w:t>加强施工人员对生态环境保护的宣传教育，增强施工人员的环保意识，使其自觉主动地保护环境。</w:t>
      </w:r>
    </w:p>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5"/>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171</w:t>
                    </w:r>
                    <w:r>
                      <w:fldChar w:fldCharType="end"/>
                    </w:r>
                    <w: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embedSystem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RkYTc4N2YwODM0ZTY4MGZhYWIzZDYxMWNjZDliOGYifQ=="/>
  </w:docVars>
  <w:rsids>
    <w:rsidRoot w:val="44E32228"/>
    <w:rsid w:val="001D54C1"/>
    <w:rsid w:val="0034364A"/>
    <w:rsid w:val="006C7569"/>
    <w:rsid w:val="006F1C45"/>
    <w:rsid w:val="007578DC"/>
    <w:rsid w:val="00870620"/>
    <w:rsid w:val="00914E2B"/>
    <w:rsid w:val="00A92DB1"/>
    <w:rsid w:val="00AA73A5"/>
    <w:rsid w:val="00E039C6"/>
    <w:rsid w:val="00EF05D6"/>
    <w:rsid w:val="0127637F"/>
    <w:rsid w:val="01395B63"/>
    <w:rsid w:val="01536B3C"/>
    <w:rsid w:val="01543C57"/>
    <w:rsid w:val="015A3746"/>
    <w:rsid w:val="0169460A"/>
    <w:rsid w:val="01701C05"/>
    <w:rsid w:val="01706F4E"/>
    <w:rsid w:val="017610A5"/>
    <w:rsid w:val="01765509"/>
    <w:rsid w:val="017D2A52"/>
    <w:rsid w:val="01826A7C"/>
    <w:rsid w:val="01994742"/>
    <w:rsid w:val="01C5621D"/>
    <w:rsid w:val="01C8027D"/>
    <w:rsid w:val="01CA3629"/>
    <w:rsid w:val="01D75615"/>
    <w:rsid w:val="01F85D14"/>
    <w:rsid w:val="020019B7"/>
    <w:rsid w:val="022F066D"/>
    <w:rsid w:val="024D260D"/>
    <w:rsid w:val="02665C24"/>
    <w:rsid w:val="027035FF"/>
    <w:rsid w:val="02882CBC"/>
    <w:rsid w:val="02B33EEE"/>
    <w:rsid w:val="02C05E2F"/>
    <w:rsid w:val="02D37D10"/>
    <w:rsid w:val="02E71943"/>
    <w:rsid w:val="02FF7200"/>
    <w:rsid w:val="031175BF"/>
    <w:rsid w:val="031F6B1B"/>
    <w:rsid w:val="034E1CEE"/>
    <w:rsid w:val="034E4B10"/>
    <w:rsid w:val="03555370"/>
    <w:rsid w:val="036E35AF"/>
    <w:rsid w:val="03747660"/>
    <w:rsid w:val="037F5F80"/>
    <w:rsid w:val="03A32AC2"/>
    <w:rsid w:val="03A969E9"/>
    <w:rsid w:val="03D6271B"/>
    <w:rsid w:val="03DC4FE1"/>
    <w:rsid w:val="03E12A70"/>
    <w:rsid w:val="03F3789B"/>
    <w:rsid w:val="03F40C85"/>
    <w:rsid w:val="040D0F7A"/>
    <w:rsid w:val="04123D05"/>
    <w:rsid w:val="043436FE"/>
    <w:rsid w:val="044779E7"/>
    <w:rsid w:val="045A1423"/>
    <w:rsid w:val="046F4D43"/>
    <w:rsid w:val="046F75E9"/>
    <w:rsid w:val="04954CC5"/>
    <w:rsid w:val="049D0D05"/>
    <w:rsid w:val="04B05082"/>
    <w:rsid w:val="04B4221F"/>
    <w:rsid w:val="04C40A71"/>
    <w:rsid w:val="04EB255A"/>
    <w:rsid w:val="04F71046"/>
    <w:rsid w:val="05032B9B"/>
    <w:rsid w:val="05110DF2"/>
    <w:rsid w:val="0513319E"/>
    <w:rsid w:val="051E26D7"/>
    <w:rsid w:val="053022E6"/>
    <w:rsid w:val="05327FBD"/>
    <w:rsid w:val="054E09BE"/>
    <w:rsid w:val="05621504"/>
    <w:rsid w:val="05764228"/>
    <w:rsid w:val="05905A9D"/>
    <w:rsid w:val="05B71CC8"/>
    <w:rsid w:val="05E732EC"/>
    <w:rsid w:val="05EB0C8D"/>
    <w:rsid w:val="05ED2F51"/>
    <w:rsid w:val="06333EB6"/>
    <w:rsid w:val="063829A2"/>
    <w:rsid w:val="064663C0"/>
    <w:rsid w:val="065607EE"/>
    <w:rsid w:val="068833B2"/>
    <w:rsid w:val="06902037"/>
    <w:rsid w:val="069850A8"/>
    <w:rsid w:val="06B44259"/>
    <w:rsid w:val="06E03F5B"/>
    <w:rsid w:val="06EB32E3"/>
    <w:rsid w:val="06EF15E1"/>
    <w:rsid w:val="06EF4612"/>
    <w:rsid w:val="06FC4B75"/>
    <w:rsid w:val="070A2DF8"/>
    <w:rsid w:val="07173860"/>
    <w:rsid w:val="0731197B"/>
    <w:rsid w:val="073D63F2"/>
    <w:rsid w:val="07414CFE"/>
    <w:rsid w:val="074F705B"/>
    <w:rsid w:val="07546DCD"/>
    <w:rsid w:val="075C1AB8"/>
    <w:rsid w:val="07837045"/>
    <w:rsid w:val="07DC1B54"/>
    <w:rsid w:val="07FD0B72"/>
    <w:rsid w:val="081958D1"/>
    <w:rsid w:val="081E6DF7"/>
    <w:rsid w:val="082A0FB4"/>
    <w:rsid w:val="084A7A59"/>
    <w:rsid w:val="084B172E"/>
    <w:rsid w:val="084C3C24"/>
    <w:rsid w:val="084E135B"/>
    <w:rsid w:val="08567150"/>
    <w:rsid w:val="085C2628"/>
    <w:rsid w:val="085E195D"/>
    <w:rsid w:val="08602EE2"/>
    <w:rsid w:val="087B5F6E"/>
    <w:rsid w:val="08A24888"/>
    <w:rsid w:val="08B33959"/>
    <w:rsid w:val="09064843"/>
    <w:rsid w:val="090E6C79"/>
    <w:rsid w:val="092E0D73"/>
    <w:rsid w:val="09320D22"/>
    <w:rsid w:val="094C3D6D"/>
    <w:rsid w:val="09584C25"/>
    <w:rsid w:val="09656277"/>
    <w:rsid w:val="096A0303"/>
    <w:rsid w:val="09766D0B"/>
    <w:rsid w:val="097A6225"/>
    <w:rsid w:val="09966C5E"/>
    <w:rsid w:val="099866AB"/>
    <w:rsid w:val="09992B4F"/>
    <w:rsid w:val="09B24CF6"/>
    <w:rsid w:val="09DB5B25"/>
    <w:rsid w:val="09FA0E3A"/>
    <w:rsid w:val="0A2F791B"/>
    <w:rsid w:val="0A36249A"/>
    <w:rsid w:val="0A3B58CE"/>
    <w:rsid w:val="0A46153E"/>
    <w:rsid w:val="0A735208"/>
    <w:rsid w:val="0A7361E8"/>
    <w:rsid w:val="0A79028B"/>
    <w:rsid w:val="0A88590B"/>
    <w:rsid w:val="0A8D3D36"/>
    <w:rsid w:val="0ACE3E50"/>
    <w:rsid w:val="0ADF577C"/>
    <w:rsid w:val="0B1A5469"/>
    <w:rsid w:val="0B2072B3"/>
    <w:rsid w:val="0B2806EF"/>
    <w:rsid w:val="0B2B0B40"/>
    <w:rsid w:val="0B6A5649"/>
    <w:rsid w:val="0B6A68A6"/>
    <w:rsid w:val="0B755966"/>
    <w:rsid w:val="0BA55F1B"/>
    <w:rsid w:val="0BCC37C1"/>
    <w:rsid w:val="0BD429ED"/>
    <w:rsid w:val="0BDF3823"/>
    <w:rsid w:val="0BE65DF4"/>
    <w:rsid w:val="0BF12E26"/>
    <w:rsid w:val="0C01251E"/>
    <w:rsid w:val="0C0C48B2"/>
    <w:rsid w:val="0C1665A1"/>
    <w:rsid w:val="0C3B17C3"/>
    <w:rsid w:val="0C4A2321"/>
    <w:rsid w:val="0C5E67B3"/>
    <w:rsid w:val="0C680996"/>
    <w:rsid w:val="0C6B534B"/>
    <w:rsid w:val="0CA7774C"/>
    <w:rsid w:val="0CB33F28"/>
    <w:rsid w:val="0CB57365"/>
    <w:rsid w:val="0CBE0D67"/>
    <w:rsid w:val="0CC47EE3"/>
    <w:rsid w:val="0CC52342"/>
    <w:rsid w:val="0CF00C95"/>
    <w:rsid w:val="0D0F2F3F"/>
    <w:rsid w:val="0D164424"/>
    <w:rsid w:val="0D1945AF"/>
    <w:rsid w:val="0D1A43C7"/>
    <w:rsid w:val="0D2C56EC"/>
    <w:rsid w:val="0D4C0AD6"/>
    <w:rsid w:val="0D55477B"/>
    <w:rsid w:val="0D5732DD"/>
    <w:rsid w:val="0D5F77B8"/>
    <w:rsid w:val="0D814869"/>
    <w:rsid w:val="0DBF3B55"/>
    <w:rsid w:val="0DC84288"/>
    <w:rsid w:val="0DCD44C9"/>
    <w:rsid w:val="0DD1574C"/>
    <w:rsid w:val="0DD51C7C"/>
    <w:rsid w:val="0DF340AB"/>
    <w:rsid w:val="0DFC1B5D"/>
    <w:rsid w:val="0E645549"/>
    <w:rsid w:val="0E6A6EF0"/>
    <w:rsid w:val="0E7F699B"/>
    <w:rsid w:val="0E8C4EF5"/>
    <w:rsid w:val="0E9B2EC6"/>
    <w:rsid w:val="0E9D7F3B"/>
    <w:rsid w:val="0EEB0DB0"/>
    <w:rsid w:val="0EEB4EB0"/>
    <w:rsid w:val="0EEE65D1"/>
    <w:rsid w:val="0F0769E8"/>
    <w:rsid w:val="0F277084"/>
    <w:rsid w:val="0F2A4F3B"/>
    <w:rsid w:val="0F77656E"/>
    <w:rsid w:val="0F900551"/>
    <w:rsid w:val="0FC22574"/>
    <w:rsid w:val="0FC41C88"/>
    <w:rsid w:val="0FF21F0D"/>
    <w:rsid w:val="0FF2670F"/>
    <w:rsid w:val="10202E4E"/>
    <w:rsid w:val="102248A5"/>
    <w:rsid w:val="10401885"/>
    <w:rsid w:val="10414924"/>
    <w:rsid w:val="10523AA0"/>
    <w:rsid w:val="10644022"/>
    <w:rsid w:val="107E08C9"/>
    <w:rsid w:val="109A270B"/>
    <w:rsid w:val="10A27A44"/>
    <w:rsid w:val="10E94B6A"/>
    <w:rsid w:val="10EC17B7"/>
    <w:rsid w:val="10F16DCD"/>
    <w:rsid w:val="10F400FA"/>
    <w:rsid w:val="110A6488"/>
    <w:rsid w:val="1111735D"/>
    <w:rsid w:val="112049D5"/>
    <w:rsid w:val="1122415A"/>
    <w:rsid w:val="113D0264"/>
    <w:rsid w:val="1168600D"/>
    <w:rsid w:val="11827F8E"/>
    <w:rsid w:val="11A54402"/>
    <w:rsid w:val="11A73633"/>
    <w:rsid w:val="11E31AFB"/>
    <w:rsid w:val="11E74D0F"/>
    <w:rsid w:val="11E95673"/>
    <w:rsid w:val="120C5042"/>
    <w:rsid w:val="120C50A7"/>
    <w:rsid w:val="122416FE"/>
    <w:rsid w:val="122D652B"/>
    <w:rsid w:val="128C3E93"/>
    <w:rsid w:val="128F01A7"/>
    <w:rsid w:val="1299088B"/>
    <w:rsid w:val="12A45FAE"/>
    <w:rsid w:val="12AF0FB4"/>
    <w:rsid w:val="12B504C8"/>
    <w:rsid w:val="12B8219C"/>
    <w:rsid w:val="132D21A1"/>
    <w:rsid w:val="133833D9"/>
    <w:rsid w:val="13455280"/>
    <w:rsid w:val="134B54DC"/>
    <w:rsid w:val="134E1A99"/>
    <w:rsid w:val="134F779C"/>
    <w:rsid w:val="13630685"/>
    <w:rsid w:val="1366009A"/>
    <w:rsid w:val="137B55E9"/>
    <w:rsid w:val="13923AC6"/>
    <w:rsid w:val="139D7FBB"/>
    <w:rsid w:val="13A50343"/>
    <w:rsid w:val="13B06267"/>
    <w:rsid w:val="13B2189A"/>
    <w:rsid w:val="13BB2232"/>
    <w:rsid w:val="13C06F2A"/>
    <w:rsid w:val="13E542C3"/>
    <w:rsid w:val="141D7A78"/>
    <w:rsid w:val="14693E69"/>
    <w:rsid w:val="14720015"/>
    <w:rsid w:val="14777F31"/>
    <w:rsid w:val="147E03D6"/>
    <w:rsid w:val="14890660"/>
    <w:rsid w:val="14CD1440"/>
    <w:rsid w:val="14EB7D8D"/>
    <w:rsid w:val="14F82861"/>
    <w:rsid w:val="14FD02BE"/>
    <w:rsid w:val="15196FC9"/>
    <w:rsid w:val="154A2A83"/>
    <w:rsid w:val="154B718B"/>
    <w:rsid w:val="15644FA9"/>
    <w:rsid w:val="157C455D"/>
    <w:rsid w:val="158C27E5"/>
    <w:rsid w:val="158C5511"/>
    <w:rsid w:val="158E3084"/>
    <w:rsid w:val="15A01088"/>
    <w:rsid w:val="15A10CFE"/>
    <w:rsid w:val="15B87D80"/>
    <w:rsid w:val="15BF613B"/>
    <w:rsid w:val="15C437D5"/>
    <w:rsid w:val="15C727F2"/>
    <w:rsid w:val="15C829B7"/>
    <w:rsid w:val="15EE5B4E"/>
    <w:rsid w:val="160D6E43"/>
    <w:rsid w:val="16454EEB"/>
    <w:rsid w:val="169E4CF8"/>
    <w:rsid w:val="16A609CB"/>
    <w:rsid w:val="16E617B8"/>
    <w:rsid w:val="16FD66D2"/>
    <w:rsid w:val="17072545"/>
    <w:rsid w:val="1707516F"/>
    <w:rsid w:val="172216C5"/>
    <w:rsid w:val="172B7B63"/>
    <w:rsid w:val="173F52D7"/>
    <w:rsid w:val="173F63E8"/>
    <w:rsid w:val="17681BC1"/>
    <w:rsid w:val="17712BAF"/>
    <w:rsid w:val="17737D51"/>
    <w:rsid w:val="17742B3C"/>
    <w:rsid w:val="179B7A92"/>
    <w:rsid w:val="17A34B99"/>
    <w:rsid w:val="17A46B41"/>
    <w:rsid w:val="17B172B6"/>
    <w:rsid w:val="17CB3CBA"/>
    <w:rsid w:val="17F53377"/>
    <w:rsid w:val="180753B9"/>
    <w:rsid w:val="18393C16"/>
    <w:rsid w:val="187F4254"/>
    <w:rsid w:val="188101EB"/>
    <w:rsid w:val="18835839"/>
    <w:rsid w:val="189270E7"/>
    <w:rsid w:val="18A000A3"/>
    <w:rsid w:val="18A8602D"/>
    <w:rsid w:val="18B7465F"/>
    <w:rsid w:val="18B95A3D"/>
    <w:rsid w:val="18C63235"/>
    <w:rsid w:val="18E2163D"/>
    <w:rsid w:val="18E45368"/>
    <w:rsid w:val="18E64881"/>
    <w:rsid w:val="18FD7F37"/>
    <w:rsid w:val="190E309C"/>
    <w:rsid w:val="194A3E67"/>
    <w:rsid w:val="195E7E85"/>
    <w:rsid w:val="196470BB"/>
    <w:rsid w:val="196F0F2A"/>
    <w:rsid w:val="197B2BDD"/>
    <w:rsid w:val="198072C3"/>
    <w:rsid w:val="19D3121B"/>
    <w:rsid w:val="19E2032E"/>
    <w:rsid w:val="19F80A68"/>
    <w:rsid w:val="1A0E6C42"/>
    <w:rsid w:val="1A16480C"/>
    <w:rsid w:val="1A214EBF"/>
    <w:rsid w:val="1A447934"/>
    <w:rsid w:val="1A475CCB"/>
    <w:rsid w:val="1A650803"/>
    <w:rsid w:val="1A6C021E"/>
    <w:rsid w:val="1A710F7F"/>
    <w:rsid w:val="1A8707A2"/>
    <w:rsid w:val="1AA16DF7"/>
    <w:rsid w:val="1AC31173"/>
    <w:rsid w:val="1AD17AF1"/>
    <w:rsid w:val="1ADF6CA2"/>
    <w:rsid w:val="1AE60BDE"/>
    <w:rsid w:val="1AF64C6A"/>
    <w:rsid w:val="1B027A68"/>
    <w:rsid w:val="1B1A6636"/>
    <w:rsid w:val="1B216985"/>
    <w:rsid w:val="1B596E07"/>
    <w:rsid w:val="1B6411E3"/>
    <w:rsid w:val="1B650C5A"/>
    <w:rsid w:val="1B6D1746"/>
    <w:rsid w:val="1B6F61EF"/>
    <w:rsid w:val="1B7212D3"/>
    <w:rsid w:val="1B78097F"/>
    <w:rsid w:val="1B7C6521"/>
    <w:rsid w:val="1BA77FA9"/>
    <w:rsid w:val="1BC577D4"/>
    <w:rsid w:val="1BCB5963"/>
    <w:rsid w:val="1BDC5801"/>
    <w:rsid w:val="1BDE21A1"/>
    <w:rsid w:val="1BEA0D6A"/>
    <w:rsid w:val="1BF55277"/>
    <w:rsid w:val="1C1A55C0"/>
    <w:rsid w:val="1C220379"/>
    <w:rsid w:val="1C273FEB"/>
    <w:rsid w:val="1C44753B"/>
    <w:rsid w:val="1C642C34"/>
    <w:rsid w:val="1C8638E9"/>
    <w:rsid w:val="1C9A6468"/>
    <w:rsid w:val="1C9D332A"/>
    <w:rsid w:val="1CAC3FDC"/>
    <w:rsid w:val="1CE01343"/>
    <w:rsid w:val="1CE43C8A"/>
    <w:rsid w:val="1D1272B8"/>
    <w:rsid w:val="1D472D06"/>
    <w:rsid w:val="1D573933"/>
    <w:rsid w:val="1D62110C"/>
    <w:rsid w:val="1D6E728A"/>
    <w:rsid w:val="1D790145"/>
    <w:rsid w:val="1D9C6AC0"/>
    <w:rsid w:val="1DA733EA"/>
    <w:rsid w:val="1DAB466C"/>
    <w:rsid w:val="1DB22B1D"/>
    <w:rsid w:val="1DC15D79"/>
    <w:rsid w:val="1DCD0BC2"/>
    <w:rsid w:val="1DD26B15"/>
    <w:rsid w:val="1DD602E5"/>
    <w:rsid w:val="1DD65CC8"/>
    <w:rsid w:val="1DDD7547"/>
    <w:rsid w:val="1DEE47D1"/>
    <w:rsid w:val="1DF03CA9"/>
    <w:rsid w:val="1E083FA3"/>
    <w:rsid w:val="1E0E2891"/>
    <w:rsid w:val="1E135B88"/>
    <w:rsid w:val="1E1719F1"/>
    <w:rsid w:val="1E220F0E"/>
    <w:rsid w:val="1E391DB3"/>
    <w:rsid w:val="1E6120ED"/>
    <w:rsid w:val="1E893120"/>
    <w:rsid w:val="1E91307D"/>
    <w:rsid w:val="1E943133"/>
    <w:rsid w:val="1EAC34E1"/>
    <w:rsid w:val="1ED71F31"/>
    <w:rsid w:val="1EF64F77"/>
    <w:rsid w:val="1EF65EF6"/>
    <w:rsid w:val="1EFF4C2E"/>
    <w:rsid w:val="1F0E3240"/>
    <w:rsid w:val="1F220A99"/>
    <w:rsid w:val="1F2A5611"/>
    <w:rsid w:val="1F3758BD"/>
    <w:rsid w:val="1F3D331E"/>
    <w:rsid w:val="1F4739FA"/>
    <w:rsid w:val="1F551DF0"/>
    <w:rsid w:val="1F7B41A8"/>
    <w:rsid w:val="1F7E3473"/>
    <w:rsid w:val="1F7F01A8"/>
    <w:rsid w:val="1F9F15A9"/>
    <w:rsid w:val="1FC16504"/>
    <w:rsid w:val="1FC67118"/>
    <w:rsid w:val="1FE77E11"/>
    <w:rsid w:val="1FEA1F2D"/>
    <w:rsid w:val="1FF24F3A"/>
    <w:rsid w:val="20040653"/>
    <w:rsid w:val="20115428"/>
    <w:rsid w:val="20197B19"/>
    <w:rsid w:val="205203E8"/>
    <w:rsid w:val="205472E9"/>
    <w:rsid w:val="205C6AB9"/>
    <w:rsid w:val="205F1C04"/>
    <w:rsid w:val="20605ED2"/>
    <w:rsid w:val="206C2914"/>
    <w:rsid w:val="206C37F8"/>
    <w:rsid w:val="208638B4"/>
    <w:rsid w:val="208D19E2"/>
    <w:rsid w:val="20960DAA"/>
    <w:rsid w:val="20A906D1"/>
    <w:rsid w:val="20AE0237"/>
    <w:rsid w:val="20B16E8C"/>
    <w:rsid w:val="20BD5F40"/>
    <w:rsid w:val="20C33394"/>
    <w:rsid w:val="20D61B3B"/>
    <w:rsid w:val="20D90B6F"/>
    <w:rsid w:val="20DC2DA5"/>
    <w:rsid w:val="210362F8"/>
    <w:rsid w:val="21130D5E"/>
    <w:rsid w:val="213F11F1"/>
    <w:rsid w:val="21442CBC"/>
    <w:rsid w:val="214E4C6D"/>
    <w:rsid w:val="21573289"/>
    <w:rsid w:val="2159180E"/>
    <w:rsid w:val="21653824"/>
    <w:rsid w:val="217E2826"/>
    <w:rsid w:val="21AA709D"/>
    <w:rsid w:val="21B438F6"/>
    <w:rsid w:val="21BA50F8"/>
    <w:rsid w:val="21C03E19"/>
    <w:rsid w:val="21E54050"/>
    <w:rsid w:val="21FB6A2D"/>
    <w:rsid w:val="22372860"/>
    <w:rsid w:val="223F6BD2"/>
    <w:rsid w:val="22551EEA"/>
    <w:rsid w:val="225D2089"/>
    <w:rsid w:val="22621A13"/>
    <w:rsid w:val="22656D3C"/>
    <w:rsid w:val="22662622"/>
    <w:rsid w:val="22746D43"/>
    <w:rsid w:val="227D131D"/>
    <w:rsid w:val="22B67F62"/>
    <w:rsid w:val="22B721F9"/>
    <w:rsid w:val="22D05B48"/>
    <w:rsid w:val="22D91B0D"/>
    <w:rsid w:val="22EC543B"/>
    <w:rsid w:val="22EF3388"/>
    <w:rsid w:val="23024E6A"/>
    <w:rsid w:val="231A1E45"/>
    <w:rsid w:val="232A4C99"/>
    <w:rsid w:val="23360E67"/>
    <w:rsid w:val="233D0598"/>
    <w:rsid w:val="235B3632"/>
    <w:rsid w:val="237A7227"/>
    <w:rsid w:val="23846E62"/>
    <w:rsid w:val="23A01794"/>
    <w:rsid w:val="23A436F5"/>
    <w:rsid w:val="23A737EC"/>
    <w:rsid w:val="23CE3DC9"/>
    <w:rsid w:val="23EA427B"/>
    <w:rsid w:val="23FA2218"/>
    <w:rsid w:val="24172534"/>
    <w:rsid w:val="2425047C"/>
    <w:rsid w:val="2435301D"/>
    <w:rsid w:val="243E799E"/>
    <w:rsid w:val="248935D1"/>
    <w:rsid w:val="248F6BD1"/>
    <w:rsid w:val="24982A8B"/>
    <w:rsid w:val="24990C10"/>
    <w:rsid w:val="24A521A7"/>
    <w:rsid w:val="24B91EA0"/>
    <w:rsid w:val="24C614C9"/>
    <w:rsid w:val="24D07CCB"/>
    <w:rsid w:val="24D3281A"/>
    <w:rsid w:val="24E8008F"/>
    <w:rsid w:val="24FD1356"/>
    <w:rsid w:val="251247E7"/>
    <w:rsid w:val="25143109"/>
    <w:rsid w:val="2516453F"/>
    <w:rsid w:val="25192F47"/>
    <w:rsid w:val="2521367C"/>
    <w:rsid w:val="25232C86"/>
    <w:rsid w:val="2531393D"/>
    <w:rsid w:val="254672A4"/>
    <w:rsid w:val="255C2C0B"/>
    <w:rsid w:val="257B78BD"/>
    <w:rsid w:val="25B4065F"/>
    <w:rsid w:val="25D46E69"/>
    <w:rsid w:val="25D90472"/>
    <w:rsid w:val="25E855F8"/>
    <w:rsid w:val="25E97283"/>
    <w:rsid w:val="25F1027D"/>
    <w:rsid w:val="25F55375"/>
    <w:rsid w:val="262E5F76"/>
    <w:rsid w:val="26405E99"/>
    <w:rsid w:val="2641170A"/>
    <w:rsid w:val="2674607E"/>
    <w:rsid w:val="26783E77"/>
    <w:rsid w:val="267B565F"/>
    <w:rsid w:val="26A637FB"/>
    <w:rsid w:val="26BF04D4"/>
    <w:rsid w:val="26C11752"/>
    <w:rsid w:val="26D046A2"/>
    <w:rsid w:val="26E127EB"/>
    <w:rsid w:val="26FC7C47"/>
    <w:rsid w:val="271E5FEA"/>
    <w:rsid w:val="27220C40"/>
    <w:rsid w:val="272975A0"/>
    <w:rsid w:val="27350EBD"/>
    <w:rsid w:val="273733E7"/>
    <w:rsid w:val="27443E02"/>
    <w:rsid w:val="275807AF"/>
    <w:rsid w:val="275B723E"/>
    <w:rsid w:val="276B172A"/>
    <w:rsid w:val="27917496"/>
    <w:rsid w:val="27992443"/>
    <w:rsid w:val="279B0F97"/>
    <w:rsid w:val="27C95542"/>
    <w:rsid w:val="280D3F62"/>
    <w:rsid w:val="280F7E15"/>
    <w:rsid w:val="28235FAE"/>
    <w:rsid w:val="284E75AB"/>
    <w:rsid w:val="285A6569"/>
    <w:rsid w:val="28706204"/>
    <w:rsid w:val="28706D19"/>
    <w:rsid w:val="289C7DD5"/>
    <w:rsid w:val="28AB51C7"/>
    <w:rsid w:val="28AE051B"/>
    <w:rsid w:val="28B726E2"/>
    <w:rsid w:val="28C26F42"/>
    <w:rsid w:val="28CC208C"/>
    <w:rsid w:val="28D3397F"/>
    <w:rsid w:val="28D97C95"/>
    <w:rsid w:val="28E47825"/>
    <w:rsid w:val="28FE15BA"/>
    <w:rsid w:val="29095ED3"/>
    <w:rsid w:val="29111B9D"/>
    <w:rsid w:val="292A336C"/>
    <w:rsid w:val="29354D30"/>
    <w:rsid w:val="294044EB"/>
    <w:rsid w:val="29437F8A"/>
    <w:rsid w:val="29461FF0"/>
    <w:rsid w:val="29A17B39"/>
    <w:rsid w:val="29C0316B"/>
    <w:rsid w:val="29C30C93"/>
    <w:rsid w:val="29CC3486"/>
    <w:rsid w:val="29E94306"/>
    <w:rsid w:val="29FE64A0"/>
    <w:rsid w:val="2A01254D"/>
    <w:rsid w:val="2A0E30FC"/>
    <w:rsid w:val="2A0E67EA"/>
    <w:rsid w:val="2A27080B"/>
    <w:rsid w:val="2A28437A"/>
    <w:rsid w:val="2A4C2BDF"/>
    <w:rsid w:val="2A5F146F"/>
    <w:rsid w:val="2A741495"/>
    <w:rsid w:val="2A7A1397"/>
    <w:rsid w:val="2A825BA0"/>
    <w:rsid w:val="2AA93E47"/>
    <w:rsid w:val="2AEB5128"/>
    <w:rsid w:val="2AF635D2"/>
    <w:rsid w:val="2B2A446F"/>
    <w:rsid w:val="2B5A7904"/>
    <w:rsid w:val="2B5B17A4"/>
    <w:rsid w:val="2B620B46"/>
    <w:rsid w:val="2B6662B5"/>
    <w:rsid w:val="2B682CC3"/>
    <w:rsid w:val="2B7A0AD3"/>
    <w:rsid w:val="2B840D6A"/>
    <w:rsid w:val="2B8C1999"/>
    <w:rsid w:val="2B8C7782"/>
    <w:rsid w:val="2B925C9D"/>
    <w:rsid w:val="2B932FB0"/>
    <w:rsid w:val="2BA9298C"/>
    <w:rsid w:val="2BBB10C6"/>
    <w:rsid w:val="2BD052A9"/>
    <w:rsid w:val="2BD27D5A"/>
    <w:rsid w:val="2BDA4BCA"/>
    <w:rsid w:val="2BDB25BD"/>
    <w:rsid w:val="2C0D1A79"/>
    <w:rsid w:val="2C324604"/>
    <w:rsid w:val="2C41568D"/>
    <w:rsid w:val="2C512729"/>
    <w:rsid w:val="2C592A97"/>
    <w:rsid w:val="2C7D1C3D"/>
    <w:rsid w:val="2C866B0B"/>
    <w:rsid w:val="2C8702A1"/>
    <w:rsid w:val="2C9D3A89"/>
    <w:rsid w:val="2CBE087C"/>
    <w:rsid w:val="2CBE280E"/>
    <w:rsid w:val="2CC43F15"/>
    <w:rsid w:val="2CE50C8B"/>
    <w:rsid w:val="2CE7327F"/>
    <w:rsid w:val="2CFD073C"/>
    <w:rsid w:val="2D103E04"/>
    <w:rsid w:val="2D1A03B5"/>
    <w:rsid w:val="2D1E1977"/>
    <w:rsid w:val="2D45146F"/>
    <w:rsid w:val="2D664DF4"/>
    <w:rsid w:val="2D74105A"/>
    <w:rsid w:val="2D796C27"/>
    <w:rsid w:val="2D820813"/>
    <w:rsid w:val="2D853CD4"/>
    <w:rsid w:val="2D8B57C7"/>
    <w:rsid w:val="2DA72B56"/>
    <w:rsid w:val="2DAF7AAA"/>
    <w:rsid w:val="2DB22899"/>
    <w:rsid w:val="2DD129E0"/>
    <w:rsid w:val="2DD205B6"/>
    <w:rsid w:val="2DE2559F"/>
    <w:rsid w:val="2DF14458"/>
    <w:rsid w:val="2E083E2E"/>
    <w:rsid w:val="2E18462D"/>
    <w:rsid w:val="2E3E3B7F"/>
    <w:rsid w:val="2E6643A2"/>
    <w:rsid w:val="2E6D1E11"/>
    <w:rsid w:val="2E8A6488"/>
    <w:rsid w:val="2E924FEF"/>
    <w:rsid w:val="2EA817B0"/>
    <w:rsid w:val="2EAA6568"/>
    <w:rsid w:val="2EB226FB"/>
    <w:rsid w:val="2EBD19D6"/>
    <w:rsid w:val="2EC13E2B"/>
    <w:rsid w:val="2ED0561B"/>
    <w:rsid w:val="2ED37F69"/>
    <w:rsid w:val="2EE00FAE"/>
    <w:rsid w:val="2EF00AB3"/>
    <w:rsid w:val="2EF60B84"/>
    <w:rsid w:val="2F097580"/>
    <w:rsid w:val="2F192FE1"/>
    <w:rsid w:val="2F3D52F6"/>
    <w:rsid w:val="2F644435"/>
    <w:rsid w:val="2F757C93"/>
    <w:rsid w:val="2F7610B9"/>
    <w:rsid w:val="2F7E5D50"/>
    <w:rsid w:val="2FB14AB3"/>
    <w:rsid w:val="2FC02334"/>
    <w:rsid w:val="2FC32F82"/>
    <w:rsid w:val="2FDC47FC"/>
    <w:rsid w:val="2FE5094B"/>
    <w:rsid w:val="30071EFE"/>
    <w:rsid w:val="305B6BED"/>
    <w:rsid w:val="308A1B9B"/>
    <w:rsid w:val="30B24E3A"/>
    <w:rsid w:val="30D0060A"/>
    <w:rsid w:val="30DD42FC"/>
    <w:rsid w:val="310149B3"/>
    <w:rsid w:val="312D1D5D"/>
    <w:rsid w:val="31435C8A"/>
    <w:rsid w:val="3194527F"/>
    <w:rsid w:val="31C61226"/>
    <w:rsid w:val="31D737D2"/>
    <w:rsid w:val="31E00A6C"/>
    <w:rsid w:val="31EF0CAF"/>
    <w:rsid w:val="31F549B7"/>
    <w:rsid w:val="32100EC2"/>
    <w:rsid w:val="32255CFC"/>
    <w:rsid w:val="322A618B"/>
    <w:rsid w:val="322E1E8E"/>
    <w:rsid w:val="32385D84"/>
    <w:rsid w:val="3244601B"/>
    <w:rsid w:val="325A3599"/>
    <w:rsid w:val="3260691D"/>
    <w:rsid w:val="326F1DF0"/>
    <w:rsid w:val="3278160F"/>
    <w:rsid w:val="327F2074"/>
    <w:rsid w:val="32954422"/>
    <w:rsid w:val="329A67EC"/>
    <w:rsid w:val="32B12E72"/>
    <w:rsid w:val="32FE3023"/>
    <w:rsid w:val="331A2AC9"/>
    <w:rsid w:val="332008FE"/>
    <w:rsid w:val="33240B77"/>
    <w:rsid w:val="33254857"/>
    <w:rsid w:val="334453A4"/>
    <w:rsid w:val="335F1A92"/>
    <w:rsid w:val="33620BB0"/>
    <w:rsid w:val="336244FF"/>
    <w:rsid w:val="336F2529"/>
    <w:rsid w:val="338E731F"/>
    <w:rsid w:val="33B34145"/>
    <w:rsid w:val="33B50CAF"/>
    <w:rsid w:val="33B774B3"/>
    <w:rsid w:val="33BC29FD"/>
    <w:rsid w:val="33BE0586"/>
    <w:rsid w:val="33DE48A9"/>
    <w:rsid w:val="33F37F29"/>
    <w:rsid w:val="34293807"/>
    <w:rsid w:val="34431290"/>
    <w:rsid w:val="344A4368"/>
    <w:rsid w:val="348002E4"/>
    <w:rsid w:val="34891869"/>
    <w:rsid w:val="348F61DA"/>
    <w:rsid w:val="349F26AA"/>
    <w:rsid w:val="34B63B7E"/>
    <w:rsid w:val="34BD0EB7"/>
    <w:rsid w:val="34C74165"/>
    <w:rsid w:val="34F90786"/>
    <w:rsid w:val="350366F5"/>
    <w:rsid w:val="35242E85"/>
    <w:rsid w:val="352B381F"/>
    <w:rsid w:val="35385E67"/>
    <w:rsid w:val="35525F7D"/>
    <w:rsid w:val="35642BCD"/>
    <w:rsid w:val="35825811"/>
    <w:rsid w:val="358A766C"/>
    <w:rsid w:val="358C43D8"/>
    <w:rsid w:val="359D3EDD"/>
    <w:rsid w:val="35B16DC1"/>
    <w:rsid w:val="35BB21BF"/>
    <w:rsid w:val="35D94B6D"/>
    <w:rsid w:val="35DE7E73"/>
    <w:rsid w:val="35F40F8A"/>
    <w:rsid w:val="35F46460"/>
    <w:rsid w:val="35F562AD"/>
    <w:rsid w:val="360D204B"/>
    <w:rsid w:val="366F6862"/>
    <w:rsid w:val="36872174"/>
    <w:rsid w:val="368F4829"/>
    <w:rsid w:val="3699743B"/>
    <w:rsid w:val="369D33CF"/>
    <w:rsid w:val="36A53B2F"/>
    <w:rsid w:val="36AB6352"/>
    <w:rsid w:val="36BC52CD"/>
    <w:rsid w:val="36BD5820"/>
    <w:rsid w:val="36CA6422"/>
    <w:rsid w:val="36E43EC9"/>
    <w:rsid w:val="36F16158"/>
    <w:rsid w:val="37165874"/>
    <w:rsid w:val="37215DAE"/>
    <w:rsid w:val="37311ACB"/>
    <w:rsid w:val="373A0C1E"/>
    <w:rsid w:val="375F2B9E"/>
    <w:rsid w:val="376932B2"/>
    <w:rsid w:val="37735EDE"/>
    <w:rsid w:val="37A6256B"/>
    <w:rsid w:val="37AA2B2B"/>
    <w:rsid w:val="37B61CCC"/>
    <w:rsid w:val="37CE7E2C"/>
    <w:rsid w:val="37D52D84"/>
    <w:rsid w:val="37EE573A"/>
    <w:rsid w:val="37F62BF5"/>
    <w:rsid w:val="381B4D52"/>
    <w:rsid w:val="381D5195"/>
    <w:rsid w:val="381F2B25"/>
    <w:rsid w:val="382F386A"/>
    <w:rsid w:val="383C2774"/>
    <w:rsid w:val="386017F8"/>
    <w:rsid w:val="38642C82"/>
    <w:rsid w:val="386B727B"/>
    <w:rsid w:val="387B4990"/>
    <w:rsid w:val="388727B2"/>
    <w:rsid w:val="38BB5D8F"/>
    <w:rsid w:val="38CB5E89"/>
    <w:rsid w:val="38D36EFB"/>
    <w:rsid w:val="38E016A9"/>
    <w:rsid w:val="38E22F3A"/>
    <w:rsid w:val="38E91F46"/>
    <w:rsid w:val="38F94488"/>
    <w:rsid w:val="39050DB8"/>
    <w:rsid w:val="392B3AFF"/>
    <w:rsid w:val="39386D5D"/>
    <w:rsid w:val="396B6277"/>
    <w:rsid w:val="39A71E6F"/>
    <w:rsid w:val="39B555DC"/>
    <w:rsid w:val="39DC6016"/>
    <w:rsid w:val="39E135D3"/>
    <w:rsid w:val="39FF4986"/>
    <w:rsid w:val="3A01228E"/>
    <w:rsid w:val="3A137505"/>
    <w:rsid w:val="3A15327D"/>
    <w:rsid w:val="3A1E45A7"/>
    <w:rsid w:val="3A2576D1"/>
    <w:rsid w:val="3A257964"/>
    <w:rsid w:val="3A267238"/>
    <w:rsid w:val="3A323258"/>
    <w:rsid w:val="3A457371"/>
    <w:rsid w:val="3A835AAC"/>
    <w:rsid w:val="3A93277D"/>
    <w:rsid w:val="3A936E05"/>
    <w:rsid w:val="3AAF38F0"/>
    <w:rsid w:val="3ABA0BBE"/>
    <w:rsid w:val="3ABF721B"/>
    <w:rsid w:val="3ADE5E1E"/>
    <w:rsid w:val="3AE803D9"/>
    <w:rsid w:val="3AF25FD9"/>
    <w:rsid w:val="3AFC4684"/>
    <w:rsid w:val="3B0138A0"/>
    <w:rsid w:val="3B020A8C"/>
    <w:rsid w:val="3B346DB6"/>
    <w:rsid w:val="3B357E4E"/>
    <w:rsid w:val="3B4219B4"/>
    <w:rsid w:val="3B6751D7"/>
    <w:rsid w:val="3B6A5780"/>
    <w:rsid w:val="3B9179E8"/>
    <w:rsid w:val="3BB3575B"/>
    <w:rsid w:val="3BBC3317"/>
    <w:rsid w:val="3BD65ACD"/>
    <w:rsid w:val="3BF75607"/>
    <w:rsid w:val="3C0446F9"/>
    <w:rsid w:val="3C08022F"/>
    <w:rsid w:val="3C0A4760"/>
    <w:rsid w:val="3C0D753E"/>
    <w:rsid w:val="3C1A327C"/>
    <w:rsid w:val="3C1F4887"/>
    <w:rsid w:val="3C356A79"/>
    <w:rsid w:val="3C5107FB"/>
    <w:rsid w:val="3C671929"/>
    <w:rsid w:val="3C6752BD"/>
    <w:rsid w:val="3C6A30C8"/>
    <w:rsid w:val="3C6A444E"/>
    <w:rsid w:val="3C7C2EE4"/>
    <w:rsid w:val="3CA274E8"/>
    <w:rsid w:val="3CB06EC9"/>
    <w:rsid w:val="3D117FF2"/>
    <w:rsid w:val="3D125759"/>
    <w:rsid w:val="3D2C1009"/>
    <w:rsid w:val="3D4E7B0E"/>
    <w:rsid w:val="3D577CF4"/>
    <w:rsid w:val="3D600CB3"/>
    <w:rsid w:val="3D7F5103"/>
    <w:rsid w:val="3D816930"/>
    <w:rsid w:val="3D9C6EE7"/>
    <w:rsid w:val="3DBC024A"/>
    <w:rsid w:val="3DBE3CBE"/>
    <w:rsid w:val="3DD552BC"/>
    <w:rsid w:val="3DE3708E"/>
    <w:rsid w:val="3E09759C"/>
    <w:rsid w:val="3E10092B"/>
    <w:rsid w:val="3E255BE2"/>
    <w:rsid w:val="3E264D4B"/>
    <w:rsid w:val="3E2F4CBA"/>
    <w:rsid w:val="3E3A6DCE"/>
    <w:rsid w:val="3E3D2DA2"/>
    <w:rsid w:val="3E3F47BC"/>
    <w:rsid w:val="3E6773E3"/>
    <w:rsid w:val="3E706C67"/>
    <w:rsid w:val="3E832EAB"/>
    <w:rsid w:val="3E8456B1"/>
    <w:rsid w:val="3E9B3945"/>
    <w:rsid w:val="3EA82149"/>
    <w:rsid w:val="3EAD54D3"/>
    <w:rsid w:val="3EB41BE5"/>
    <w:rsid w:val="3EBA643F"/>
    <w:rsid w:val="3EFA0B7E"/>
    <w:rsid w:val="3F3A1267"/>
    <w:rsid w:val="3F3E6DD2"/>
    <w:rsid w:val="3F4247E3"/>
    <w:rsid w:val="3F5B79F5"/>
    <w:rsid w:val="3F7B0026"/>
    <w:rsid w:val="3F890995"/>
    <w:rsid w:val="3F934367"/>
    <w:rsid w:val="3F9C1856"/>
    <w:rsid w:val="3FBC64AD"/>
    <w:rsid w:val="3FC1368B"/>
    <w:rsid w:val="3FC4393E"/>
    <w:rsid w:val="3FC84E1E"/>
    <w:rsid w:val="3FF53574"/>
    <w:rsid w:val="40071BD9"/>
    <w:rsid w:val="40224945"/>
    <w:rsid w:val="406A3DA1"/>
    <w:rsid w:val="40876013"/>
    <w:rsid w:val="408F4460"/>
    <w:rsid w:val="40A03CFB"/>
    <w:rsid w:val="40B43434"/>
    <w:rsid w:val="40CF23D7"/>
    <w:rsid w:val="40F92738"/>
    <w:rsid w:val="410A07A5"/>
    <w:rsid w:val="4111137A"/>
    <w:rsid w:val="41293775"/>
    <w:rsid w:val="412C782A"/>
    <w:rsid w:val="412E210F"/>
    <w:rsid w:val="41354204"/>
    <w:rsid w:val="41391B7A"/>
    <w:rsid w:val="414144B0"/>
    <w:rsid w:val="4142704D"/>
    <w:rsid w:val="414758FD"/>
    <w:rsid w:val="414E60AA"/>
    <w:rsid w:val="41517290"/>
    <w:rsid w:val="416317E3"/>
    <w:rsid w:val="416737EE"/>
    <w:rsid w:val="4168282C"/>
    <w:rsid w:val="417D1A18"/>
    <w:rsid w:val="41B34253"/>
    <w:rsid w:val="41C87080"/>
    <w:rsid w:val="41C96953"/>
    <w:rsid w:val="41CC0A2A"/>
    <w:rsid w:val="41FD2C96"/>
    <w:rsid w:val="42341337"/>
    <w:rsid w:val="4256644E"/>
    <w:rsid w:val="4259664F"/>
    <w:rsid w:val="42774636"/>
    <w:rsid w:val="42791D7B"/>
    <w:rsid w:val="427A6943"/>
    <w:rsid w:val="427A76F5"/>
    <w:rsid w:val="42975177"/>
    <w:rsid w:val="42977CCA"/>
    <w:rsid w:val="429A7A4B"/>
    <w:rsid w:val="42BC698B"/>
    <w:rsid w:val="42C51175"/>
    <w:rsid w:val="42D16382"/>
    <w:rsid w:val="42F54CFA"/>
    <w:rsid w:val="431C38CE"/>
    <w:rsid w:val="432C1D71"/>
    <w:rsid w:val="43497B7F"/>
    <w:rsid w:val="434F77FF"/>
    <w:rsid w:val="439003C3"/>
    <w:rsid w:val="43911BC6"/>
    <w:rsid w:val="43A5385B"/>
    <w:rsid w:val="43A63197"/>
    <w:rsid w:val="43BA4FDD"/>
    <w:rsid w:val="43BC5582"/>
    <w:rsid w:val="442C7B41"/>
    <w:rsid w:val="4461397F"/>
    <w:rsid w:val="4470570D"/>
    <w:rsid w:val="447A7E33"/>
    <w:rsid w:val="448D73FD"/>
    <w:rsid w:val="4494256D"/>
    <w:rsid w:val="44BC1E95"/>
    <w:rsid w:val="44BE2064"/>
    <w:rsid w:val="44C765D1"/>
    <w:rsid w:val="44E32228"/>
    <w:rsid w:val="44E32A93"/>
    <w:rsid w:val="44F65F4E"/>
    <w:rsid w:val="45107462"/>
    <w:rsid w:val="4517229D"/>
    <w:rsid w:val="45184899"/>
    <w:rsid w:val="451E392D"/>
    <w:rsid w:val="45450DB6"/>
    <w:rsid w:val="454C2994"/>
    <w:rsid w:val="456508F9"/>
    <w:rsid w:val="45653978"/>
    <w:rsid w:val="45693181"/>
    <w:rsid w:val="456A12FE"/>
    <w:rsid w:val="45736680"/>
    <w:rsid w:val="45813A60"/>
    <w:rsid w:val="458D460F"/>
    <w:rsid w:val="459338BA"/>
    <w:rsid w:val="4596324C"/>
    <w:rsid w:val="45A9485F"/>
    <w:rsid w:val="45C01A2B"/>
    <w:rsid w:val="45E16709"/>
    <w:rsid w:val="46006E86"/>
    <w:rsid w:val="46021BD4"/>
    <w:rsid w:val="4618037D"/>
    <w:rsid w:val="461E02FB"/>
    <w:rsid w:val="4662762C"/>
    <w:rsid w:val="467965E6"/>
    <w:rsid w:val="467B6A13"/>
    <w:rsid w:val="46963997"/>
    <w:rsid w:val="46A0383F"/>
    <w:rsid w:val="46B64282"/>
    <w:rsid w:val="46BD2281"/>
    <w:rsid w:val="46F825E5"/>
    <w:rsid w:val="46FD6931"/>
    <w:rsid w:val="47233E98"/>
    <w:rsid w:val="472438CE"/>
    <w:rsid w:val="472D6FBD"/>
    <w:rsid w:val="47332903"/>
    <w:rsid w:val="473330EB"/>
    <w:rsid w:val="47351F1E"/>
    <w:rsid w:val="474D1C9E"/>
    <w:rsid w:val="47737800"/>
    <w:rsid w:val="47895715"/>
    <w:rsid w:val="479A1DAC"/>
    <w:rsid w:val="47AC54E7"/>
    <w:rsid w:val="47B236FC"/>
    <w:rsid w:val="47CD2CAF"/>
    <w:rsid w:val="47EB1017"/>
    <w:rsid w:val="47F941DE"/>
    <w:rsid w:val="48010AA9"/>
    <w:rsid w:val="48065E34"/>
    <w:rsid w:val="480E25A0"/>
    <w:rsid w:val="483B3434"/>
    <w:rsid w:val="48611F74"/>
    <w:rsid w:val="48653A07"/>
    <w:rsid w:val="486B2F0F"/>
    <w:rsid w:val="48843A03"/>
    <w:rsid w:val="48A44149"/>
    <w:rsid w:val="48AB30A8"/>
    <w:rsid w:val="48B67034"/>
    <w:rsid w:val="48C5709F"/>
    <w:rsid w:val="48FF0B4B"/>
    <w:rsid w:val="490414C1"/>
    <w:rsid w:val="490B5360"/>
    <w:rsid w:val="490D71BA"/>
    <w:rsid w:val="493F3E72"/>
    <w:rsid w:val="49526039"/>
    <w:rsid w:val="495F2224"/>
    <w:rsid w:val="498006E2"/>
    <w:rsid w:val="49820463"/>
    <w:rsid w:val="4992632E"/>
    <w:rsid w:val="49A719AF"/>
    <w:rsid w:val="49AF5C9E"/>
    <w:rsid w:val="49D14B51"/>
    <w:rsid w:val="49D73CB6"/>
    <w:rsid w:val="49DC1E85"/>
    <w:rsid w:val="49F94F0F"/>
    <w:rsid w:val="4A2A3144"/>
    <w:rsid w:val="4A2A68D0"/>
    <w:rsid w:val="4A315EB1"/>
    <w:rsid w:val="4A337282"/>
    <w:rsid w:val="4A512B39"/>
    <w:rsid w:val="4A7E303F"/>
    <w:rsid w:val="4AA246B9"/>
    <w:rsid w:val="4AAB3EB6"/>
    <w:rsid w:val="4AB80FDD"/>
    <w:rsid w:val="4AD450DA"/>
    <w:rsid w:val="4B2C5303"/>
    <w:rsid w:val="4B397B99"/>
    <w:rsid w:val="4B403B98"/>
    <w:rsid w:val="4B436C60"/>
    <w:rsid w:val="4B704B32"/>
    <w:rsid w:val="4B9177DA"/>
    <w:rsid w:val="4BBF6763"/>
    <w:rsid w:val="4BC2245A"/>
    <w:rsid w:val="4C033AD6"/>
    <w:rsid w:val="4C036525"/>
    <w:rsid w:val="4C072813"/>
    <w:rsid w:val="4C0C3261"/>
    <w:rsid w:val="4C206696"/>
    <w:rsid w:val="4C29136F"/>
    <w:rsid w:val="4C63256E"/>
    <w:rsid w:val="4C6B61ED"/>
    <w:rsid w:val="4C8410A8"/>
    <w:rsid w:val="4C8F68AB"/>
    <w:rsid w:val="4CC34AE1"/>
    <w:rsid w:val="4CCC7DD9"/>
    <w:rsid w:val="4CD04F44"/>
    <w:rsid w:val="4CD52BD1"/>
    <w:rsid w:val="4CE44E56"/>
    <w:rsid w:val="4CEB1A8C"/>
    <w:rsid w:val="4CF85112"/>
    <w:rsid w:val="4CFD651E"/>
    <w:rsid w:val="4D007DBC"/>
    <w:rsid w:val="4D3241DE"/>
    <w:rsid w:val="4D345C9A"/>
    <w:rsid w:val="4D3C7046"/>
    <w:rsid w:val="4D405939"/>
    <w:rsid w:val="4D517AC7"/>
    <w:rsid w:val="4D525CFF"/>
    <w:rsid w:val="4D68070C"/>
    <w:rsid w:val="4D8825E1"/>
    <w:rsid w:val="4DA2675E"/>
    <w:rsid w:val="4DA34B85"/>
    <w:rsid w:val="4DCE7F49"/>
    <w:rsid w:val="4DDA12C9"/>
    <w:rsid w:val="4DE052F3"/>
    <w:rsid w:val="4E0B727E"/>
    <w:rsid w:val="4E177B64"/>
    <w:rsid w:val="4E25529F"/>
    <w:rsid w:val="4E2A326E"/>
    <w:rsid w:val="4E30647F"/>
    <w:rsid w:val="4E3E0B9C"/>
    <w:rsid w:val="4E536DC4"/>
    <w:rsid w:val="4E640AFC"/>
    <w:rsid w:val="4E726054"/>
    <w:rsid w:val="4E884262"/>
    <w:rsid w:val="4E893A54"/>
    <w:rsid w:val="4E8E438D"/>
    <w:rsid w:val="4E9735E5"/>
    <w:rsid w:val="4EA8070C"/>
    <w:rsid w:val="4EAC0958"/>
    <w:rsid w:val="4EB239E2"/>
    <w:rsid w:val="4EB5593F"/>
    <w:rsid w:val="4EDF56FF"/>
    <w:rsid w:val="4EEA0365"/>
    <w:rsid w:val="4EEE5161"/>
    <w:rsid w:val="4EEF4C8F"/>
    <w:rsid w:val="4F0D02C8"/>
    <w:rsid w:val="4F2953A8"/>
    <w:rsid w:val="4F2F62F2"/>
    <w:rsid w:val="4F51098A"/>
    <w:rsid w:val="4F6B6D76"/>
    <w:rsid w:val="4F965F9E"/>
    <w:rsid w:val="4F9A023C"/>
    <w:rsid w:val="4F9B0547"/>
    <w:rsid w:val="4F9B0E29"/>
    <w:rsid w:val="4FA669F9"/>
    <w:rsid w:val="4FAD239B"/>
    <w:rsid w:val="4FB565E2"/>
    <w:rsid w:val="4FC13833"/>
    <w:rsid w:val="4FCB5F92"/>
    <w:rsid w:val="4FF442F2"/>
    <w:rsid w:val="4FF82FCD"/>
    <w:rsid w:val="50175E9B"/>
    <w:rsid w:val="50180A8A"/>
    <w:rsid w:val="501C0338"/>
    <w:rsid w:val="50235AAE"/>
    <w:rsid w:val="50243DC2"/>
    <w:rsid w:val="50347006"/>
    <w:rsid w:val="50455C2E"/>
    <w:rsid w:val="504F0E96"/>
    <w:rsid w:val="506706E9"/>
    <w:rsid w:val="506D158B"/>
    <w:rsid w:val="50B53C62"/>
    <w:rsid w:val="50BB45C2"/>
    <w:rsid w:val="50CE4A5A"/>
    <w:rsid w:val="510C1105"/>
    <w:rsid w:val="51203E84"/>
    <w:rsid w:val="514E13BD"/>
    <w:rsid w:val="514E6A25"/>
    <w:rsid w:val="515410F1"/>
    <w:rsid w:val="515576F0"/>
    <w:rsid w:val="515B0FDF"/>
    <w:rsid w:val="516C7F3E"/>
    <w:rsid w:val="516E1798"/>
    <w:rsid w:val="517A7589"/>
    <w:rsid w:val="51B23697"/>
    <w:rsid w:val="51B80C66"/>
    <w:rsid w:val="51C5590B"/>
    <w:rsid w:val="51CE7932"/>
    <w:rsid w:val="51D75590"/>
    <w:rsid w:val="5204172D"/>
    <w:rsid w:val="520D4567"/>
    <w:rsid w:val="52897B23"/>
    <w:rsid w:val="52963AF2"/>
    <w:rsid w:val="52B640CF"/>
    <w:rsid w:val="52BB1FA6"/>
    <w:rsid w:val="52C262DB"/>
    <w:rsid w:val="52CB1BBB"/>
    <w:rsid w:val="52E87329"/>
    <w:rsid w:val="530A1AD7"/>
    <w:rsid w:val="53216528"/>
    <w:rsid w:val="532D1106"/>
    <w:rsid w:val="53382B3D"/>
    <w:rsid w:val="537377EF"/>
    <w:rsid w:val="539B5781"/>
    <w:rsid w:val="53C01C5E"/>
    <w:rsid w:val="53CD520A"/>
    <w:rsid w:val="53ED5CFB"/>
    <w:rsid w:val="53F8628A"/>
    <w:rsid w:val="53F8656D"/>
    <w:rsid w:val="54066323"/>
    <w:rsid w:val="54103114"/>
    <w:rsid w:val="541C4147"/>
    <w:rsid w:val="541D538C"/>
    <w:rsid w:val="542F28B5"/>
    <w:rsid w:val="54345897"/>
    <w:rsid w:val="54413194"/>
    <w:rsid w:val="54484A1D"/>
    <w:rsid w:val="546926EB"/>
    <w:rsid w:val="54741F20"/>
    <w:rsid w:val="54776DCC"/>
    <w:rsid w:val="54917EAC"/>
    <w:rsid w:val="54B5223F"/>
    <w:rsid w:val="54BB643B"/>
    <w:rsid w:val="54C45885"/>
    <w:rsid w:val="54CC7603"/>
    <w:rsid w:val="54F35C20"/>
    <w:rsid w:val="54F81882"/>
    <w:rsid w:val="550E67A4"/>
    <w:rsid w:val="551D59AF"/>
    <w:rsid w:val="554955D0"/>
    <w:rsid w:val="55643A30"/>
    <w:rsid w:val="55812B77"/>
    <w:rsid w:val="55823415"/>
    <w:rsid w:val="55A107FB"/>
    <w:rsid w:val="55A162DB"/>
    <w:rsid w:val="55A64908"/>
    <w:rsid w:val="55D32E59"/>
    <w:rsid w:val="55D90895"/>
    <w:rsid w:val="55E92359"/>
    <w:rsid w:val="56261658"/>
    <w:rsid w:val="56494582"/>
    <w:rsid w:val="56791D0B"/>
    <w:rsid w:val="56A9689B"/>
    <w:rsid w:val="56AE24DF"/>
    <w:rsid w:val="56B9490A"/>
    <w:rsid w:val="56CA453F"/>
    <w:rsid w:val="56CD4A2D"/>
    <w:rsid w:val="56DE587B"/>
    <w:rsid w:val="56F62A2B"/>
    <w:rsid w:val="57101035"/>
    <w:rsid w:val="571632F2"/>
    <w:rsid w:val="57371177"/>
    <w:rsid w:val="574806B6"/>
    <w:rsid w:val="574F65B3"/>
    <w:rsid w:val="57681BA2"/>
    <w:rsid w:val="577F24AA"/>
    <w:rsid w:val="57846616"/>
    <w:rsid w:val="578A14DE"/>
    <w:rsid w:val="579275E3"/>
    <w:rsid w:val="57997AD5"/>
    <w:rsid w:val="57CF1AC2"/>
    <w:rsid w:val="57D35A92"/>
    <w:rsid w:val="57D838F6"/>
    <w:rsid w:val="57F548C0"/>
    <w:rsid w:val="58011C25"/>
    <w:rsid w:val="580144C9"/>
    <w:rsid w:val="5811796E"/>
    <w:rsid w:val="582B2FC0"/>
    <w:rsid w:val="582E2B65"/>
    <w:rsid w:val="5830573F"/>
    <w:rsid w:val="583E0E16"/>
    <w:rsid w:val="58551283"/>
    <w:rsid w:val="585E6C6F"/>
    <w:rsid w:val="58782CB4"/>
    <w:rsid w:val="588C1257"/>
    <w:rsid w:val="58956162"/>
    <w:rsid w:val="58A00024"/>
    <w:rsid w:val="58A363C3"/>
    <w:rsid w:val="58C74513"/>
    <w:rsid w:val="58CC4A35"/>
    <w:rsid w:val="58F85916"/>
    <w:rsid w:val="591A79B6"/>
    <w:rsid w:val="59215342"/>
    <w:rsid w:val="59362D4C"/>
    <w:rsid w:val="59536482"/>
    <w:rsid w:val="59801322"/>
    <w:rsid w:val="599A0589"/>
    <w:rsid w:val="599B6EA3"/>
    <w:rsid w:val="59D92C59"/>
    <w:rsid w:val="59DC7B41"/>
    <w:rsid w:val="5A050B77"/>
    <w:rsid w:val="5A0F4F91"/>
    <w:rsid w:val="5A4B0CE9"/>
    <w:rsid w:val="5A4B6104"/>
    <w:rsid w:val="5A626C41"/>
    <w:rsid w:val="5A690D4F"/>
    <w:rsid w:val="5A871B1D"/>
    <w:rsid w:val="5AA61FA3"/>
    <w:rsid w:val="5AA71457"/>
    <w:rsid w:val="5AC67DFC"/>
    <w:rsid w:val="5AD04319"/>
    <w:rsid w:val="5AEB1D5E"/>
    <w:rsid w:val="5AF50835"/>
    <w:rsid w:val="5AFC0AE9"/>
    <w:rsid w:val="5B1543F5"/>
    <w:rsid w:val="5B1A4993"/>
    <w:rsid w:val="5B3C6463"/>
    <w:rsid w:val="5B631C42"/>
    <w:rsid w:val="5B6360E6"/>
    <w:rsid w:val="5B6E20D0"/>
    <w:rsid w:val="5B883236"/>
    <w:rsid w:val="5B8B4C4D"/>
    <w:rsid w:val="5BAC659B"/>
    <w:rsid w:val="5BB935A4"/>
    <w:rsid w:val="5BB965CD"/>
    <w:rsid w:val="5BBD0500"/>
    <w:rsid w:val="5BFE7BDB"/>
    <w:rsid w:val="5C005A95"/>
    <w:rsid w:val="5C0E5F8D"/>
    <w:rsid w:val="5C6401E8"/>
    <w:rsid w:val="5CAC7E30"/>
    <w:rsid w:val="5CC93A07"/>
    <w:rsid w:val="5CF80AB0"/>
    <w:rsid w:val="5CFA21CB"/>
    <w:rsid w:val="5CFE60C6"/>
    <w:rsid w:val="5D312645"/>
    <w:rsid w:val="5D3C1BDC"/>
    <w:rsid w:val="5D4355F8"/>
    <w:rsid w:val="5D597EBB"/>
    <w:rsid w:val="5D6C4CC7"/>
    <w:rsid w:val="5D6E578C"/>
    <w:rsid w:val="5D863D91"/>
    <w:rsid w:val="5D8B76EF"/>
    <w:rsid w:val="5D9702C9"/>
    <w:rsid w:val="5DB16FA8"/>
    <w:rsid w:val="5DB7653C"/>
    <w:rsid w:val="5DDD28A5"/>
    <w:rsid w:val="5DDD5279"/>
    <w:rsid w:val="5DE72676"/>
    <w:rsid w:val="5DF05C14"/>
    <w:rsid w:val="5E0E238D"/>
    <w:rsid w:val="5E293848"/>
    <w:rsid w:val="5E3A1468"/>
    <w:rsid w:val="5E442B84"/>
    <w:rsid w:val="5E4F5288"/>
    <w:rsid w:val="5E6146E5"/>
    <w:rsid w:val="5E68285E"/>
    <w:rsid w:val="5E7F37F0"/>
    <w:rsid w:val="5E897C12"/>
    <w:rsid w:val="5E920F9E"/>
    <w:rsid w:val="5EAA27C7"/>
    <w:rsid w:val="5EB804F7"/>
    <w:rsid w:val="5EB84D66"/>
    <w:rsid w:val="5ED94EE3"/>
    <w:rsid w:val="5EE13493"/>
    <w:rsid w:val="5EF324B2"/>
    <w:rsid w:val="5F03505A"/>
    <w:rsid w:val="5F125E59"/>
    <w:rsid w:val="5F3D3D4F"/>
    <w:rsid w:val="5F4D4C3D"/>
    <w:rsid w:val="5F5027A4"/>
    <w:rsid w:val="5F5A5181"/>
    <w:rsid w:val="5F5F1D61"/>
    <w:rsid w:val="5F61293D"/>
    <w:rsid w:val="5F685E6D"/>
    <w:rsid w:val="5F6D04D2"/>
    <w:rsid w:val="5F6E5D28"/>
    <w:rsid w:val="5F6F4160"/>
    <w:rsid w:val="5F8D2546"/>
    <w:rsid w:val="5FA0628E"/>
    <w:rsid w:val="60012C1C"/>
    <w:rsid w:val="60196D73"/>
    <w:rsid w:val="601D00AA"/>
    <w:rsid w:val="602F2F28"/>
    <w:rsid w:val="602F6291"/>
    <w:rsid w:val="603C5506"/>
    <w:rsid w:val="604638E0"/>
    <w:rsid w:val="604849FC"/>
    <w:rsid w:val="606706D7"/>
    <w:rsid w:val="607B7A2E"/>
    <w:rsid w:val="608C7E04"/>
    <w:rsid w:val="60983800"/>
    <w:rsid w:val="60996106"/>
    <w:rsid w:val="60BA5511"/>
    <w:rsid w:val="60C06401"/>
    <w:rsid w:val="60C86370"/>
    <w:rsid w:val="60CE3A8F"/>
    <w:rsid w:val="60D02AA9"/>
    <w:rsid w:val="60D42100"/>
    <w:rsid w:val="60DB6368"/>
    <w:rsid w:val="60E170B6"/>
    <w:rsid w:val="60F1626E"/>
    <w:rsid w:val="61114735"/>
    <w:rsid w:val="611C71ED"/>
    <w:rsid w:val="61234D81"/>
    <w:rsid w:val="612B26D0"/>
    <w:rsid w:val="612E3B35"/>
    <w:rsid w:val="6144625F"/>
    <w:rsid w:val="61474046"/>
    <w:rsid w:val="614F54DD"/>
    <w:rsid w:val="615A7643"/>
    <w:rsid w:val="61715E1C"/>
    <w:rsid w:val="61820FF8"/>
    <w:rsid w:val="618B649A"/>
    <w:rsid w:val="61D137AF"/>
    <w:rsid w:val="61F157C1"/>
    <w:rsid w:val="62052919"/>
    <w:rsid w:val="62060E4E"/>
    <w:rsid w:val="62076BFC"/>
    <w:rsid w:val="621C0A52"/>
    <w:rsid w:val="62246BEB"/>
    <w:rsid w:val="623563AE"/>
    <w:rsid w:val="624660BD"/>
    <w:rsid w:val="625F1829"/>
    <w:rsid w:val="625F7819"/>
    <w:rsid w:val="62615CC4"/>
    <w:rsid w:val="627110E9"/>
    <w:rsid w:val="62C6022E"/>
    <w:rsid w:val="62F31B1F"/>
    <w:rsid w:val="630E04A3"/>
    <w:rsid w:val="63203367"/>
    <w:rsid w:val="63463C4F"/>
    <w:rsid w:val="636C62B6"/>
    <w:rsid w:val="63802FFC"/>
    <w:rsid w:val="63846BFA"/>
    <w:rsid w:val="638A67F9"/>
    <w:rsid w:val="63984453"/>
    <w:rsid w:val="639C6B04"/>
    <w:rsid w:val="63A973A4"/>
    <w:rsid w:val="63E0115C"/>
    <w:rsid w:val="63F0428F"/>
    <w:rsid w:val="642B2624"/>
    <w:rsid w:val="642D3B9D"/>
    <w:rsid w:val="642E03CF"/>
    <w:rsid w:val="64430A3F"/>
    <w:rsid w:val="64893D2A"/>
    <w:rsid w:val="648C745F"/>
    <w:rsid w:val="64952984"/>
    <w:rsid w:val="64A34A06"/>
    <w:rsid w:val="64AD4A35"/>
    <w:rsid w:val="64AF6309"/>
    <w:rsid w:val="64BA05B3"/>
    <w:rsid w:val="64C03F7A"/>
    <w:rsid w:val="64D07F43"/>
    <w:rsid w:val="64D23D14"/>
    <w:rsid w:val="651F307E"/>
    <w:rsid w:val="65322B0A"/>
    <w:rsid w:val="653E1D07"/>
    <w:rsid w:val="65414111"/>
    <w:rsid w:val="6560225D"/>
    <w:rsid w:val="65664FC3"/>
    <w:rsid w:val="656731A6"/>
    <w:rsid w:val="65693BBD"/>
    <w:rsid w:val="656E7B61"/>
    <w:rsid w:val="658163E8"/>
    <w:rsid w:val="65896749"/>
    <w:rsid w:val="65933C4C"/>
    <w:rsid w:val="65C47781"/>
    <w:rsid w:val="65E475A9"/>
    <w:rsid w:val="65EB0C98"/>
    <w:rsid w:val="65F06E06"/>
    <w:rsid w:val="65F71905"/>
    <w:rsid w:val="65F76B87"/>
    <w:rsid w:val="65FA4B82"/>
    <w:rsid w:val="661E3A0F"/>
    <w:rsid w:val="661E407A"/>
    <w:rsid w:val="663012BB"/>
    <w:rsid w:val="663F6638"/>
    <w:rsid w:val="66455687"/>
    <w:rsid w:val="66552ACF"/>
    <w:rsid w:val="667D3303"/>
    <w:rsid w:val="66857A11"/>
    <w:rsid w:val="669A0102"/>
    <w:rsid w:val="66AA1B21"/>
    <w:rsid w:val="66AA2838"/>
    <w:rsid w:val="66CC325D"/>
    <w:rsid w:val="66E4313B"/>
    <w:rsid w:val="66F14B45"/>
    <w:rsid w:val="66FC7324"/>
    <w:rsid w:val="670C04C4"/>
    <w:rsid w:val="67126A2C"/>
    <w:rsid w:val="67133317"/>
    <w:rsid w:val="67487D9C"/>
    <w:rsid w:val="675E2078"/>
    <w:rsid w:val="6769310D"/>
    <w:rsid w:val="67871AEB"/>
    <w:rsid w:val="67AA24E8"/>
    <w:rsid w:val="67AD0F16"/>
    <w:rsid w:val="67BD09C8"/>
    <w:rsid w:val="67C609EB"/>
    <w:rsid w:val="67C62A07"/>
    <w:rsid w:val="67D16F6D"/>
    <w:rsid w:val="67D5746E"/>
    <w:rsid w:val="67D87D75"/>
    <w:rsid w:val="67FD7F27"/>
    <w:rsid w:val="680D034F"/>
    <w:rsid w:val="681E4BDB"/>
    <w:rsid w:val="68272193"/>
    <w:rsid w:val="68800101"/>
    <w:rsid w:val="68D16A32"/>
    <w:rsid w:val="68D33C86"/>
    <w:rsid w:val="68F93BE6"/>
    <w:rsid w:val="69011EC5"/>
    <w:rsid w:val="69025456"/>
    <w:rsid w:val="691F21A2"/>
    <w:rsid w:val="692D1AE1"/>
    <w:rsid w:val="69396E33"/>
    <w:rsid w:val="693B3D95"/>
    <w:rsid w:val="69603387"/>
    <w:rsid w:val="697214D7"/>
    <w:rsid w:val="69D65A8F"/>
    <w:rsid w:val="6A0102D7"/>
    <w:rsid w:val="6A421022"/>
    <w:rsid w:val="6A6255CE"/>
    <w:rsid w:val="6A6509EF"/>
    <w:rsid w:val="6A721EA2"/>
    <w:rsid w:val="6A8C3D1B"/>
    <w:rsid w:val="6A940C86"/>
    <w:rsid w:val="6AA0355B"/>
    <w:rsid w:val="6ACF2BCF"/>
    <w:rsid w:val="6AF54B22"/>
    <w:rsid w:val="6B1D0844"/>
    <w:rsid w:val="6B2355B5"/>
    <w:rsid w:val="6B350A62"/>
    <w:rsid w:val="6B523D45"/>
    <w:rsid w:val="6B5806A7"/>
    <w:rsid w:val="6B5A1917"/>
    <w:rsid w:val="6B665DAF"/>
    <w:rsid w:val="6B69379A"/>
    <w:rsid w:val="6B8D0D5A"/>
    <w:rsid w:val="6B9944F4"/>
    <w:rsid w:val="6BAF4A30"/>
    <w:rsid w:val="6BCF6253"/>
    <w:rsid w:val="6BD61680"/>
    <w:rsid w:val="6BE92295"/>
    <w:rsid w:val="6C04463F"/>
    <w:rsid w:val="6C1763DF"/>
    <w:rsid w:val="6C4038DA"/>
    <w:rsid w:val="6C477D5C"/>
    <w:rsid w:val="6C5A2256"/>
    <w:rsid w:val="6C612D00"/>
    <w:rsid w:val="6C6D7564"/>
    <w:rsid w:val="6C870257"/>
    <w:rsid w:val="6C9360FF"/>
    <w:rsid w:val="6CB4512C"/>
    <w:rsid w:val="6CB70A4A"/>
    <w:rsid w:val="6CBA18DE"/>
    <w:rsid w:val="6CDD463E"/>
    <w:rsid w:val="6CF47A5F"/>
    <w:rsid w:val="6D2A6A64"/>
    <w:rsid w:val="6D3955E6"/>
    <w:rsid w:val="6D5A1EBA"/>
    <w:rsid w:val="6D5E495F"/>
    <w:rsid w:val="6DA92C5D"/>
    <w:rsid w:val="6DAA3842"/>
    <w:rsid w:val="6DAA7C7E"/>
    <w:rsid w:val="6DBB1084"/>
    <w:rsid w:val="6DEB098B"/>
    <w:rsid w:val="6DFB11D7"/>
    <w:rsid w:val="6E0077C5"/>
    <w:rsid w:val="6E083E59"/>
    <w:rsid w:val="6E2A18A9"/>
    <w:rsid w:val="6E331948"/>
    <w:rsid w:val="6E5D4C17"/>
    <w:rsid w:val="6E7828C9"/>
    <w:rsid w:val="6EBF0FBF"/>
    <w:rsid w:val="6ECF56CF"/>
    <w:rsid w:val="6F007438"/>
    <w:rsid w:val="6F0638AF"/>
    <w:rsid w:val="6F0776B8"/>
    <w:rsid w:val="6F0B096A"/>
    <w:rsid w:val="6F12155D"/>
    <w:rsid w:val="6F2E0918"/>
    <w:rsid w:val="6F680C6B"/>
    <w:rsid w:val="6F683B8E"/>
    <w:rsid w:val="6F965D06"/>
    <w:rsid w:val="6F9A42D9"/>
    <w:rsid w:val="6FA95287"/>
    <w:rsid w:val="6FB006BE"/>
    <w:rsid w:val="6FBF75D2"/>
    <w:rsid w:val="6FC1105E"/>
    <w:rsid w:val="6FC1249A"/>
    <w:rsid w:val="6FD131C7"/>
    <w:rsid w:val="701130ED"/>
    <w:rsid w:val="701C71A9"/>
    <w:rsid w:val="70255473"/>
    <w:rsid w:val="702D4FDA"/>
    <w:rsid w:val="702E686B"/>
    <w:rsid w:val="7035669C"/>
    <w:rsid w:val="703A0649"/>
    <w:rsid w:val="704264B0"/>
    <w:rsid w:val="704E5386"/>
    <w:rsid w:val="70683BA9"/>
    <w:rsid w:val="707C36C8"/>
    <w:rsid w:val="70845F73"/>
    <w:rsid w:val="709015A7"/>
    <w:rsid w:val="7097452D"/>
    <w:rsid w:val="70984BB7"/>
    <w:rsid w:val="70A06C01"/>
    <w:rsid w:val="70A23105"/>
    <w:rsid w:val="70A476F4"/>
    <w:rsid w:val="70B311BB"/>
    <w:rsid w:val="70BE25DF"/>
    <w:rsid w:val="70D63237"/>
    <w:rsid w:val="70F14EBA"/>
    <w:rsid w:val="70F760F9"/>
    <w:rsid w:val="711261A5"/>
    <w:rsid w:val="7115319B"/>
    <w:rsid w:val="711D7C19"/>
    <w:rsid w:val="711E4E7C"/>
    <w:rsid w:val="713F5E6E"/>
    <w:rsid w:val="7143340B"/>
    <w:rsid w:val="714A6D50"/>
    <w:rsid w:val="71893336"/>
    <w:rsid w:val="71933F02"/>
    <w:rsid w:val="71BE17EF"/>
    <w:rsid w:val="71CD5E69"/>
    <w:rsid w:val="71D15310"/>
    <w:rsid w:val="71E66C33"/>
    <w:rsid w:val="71EE29DB"/>
    <w:rsid w:val="71F5267F"/>
    <w:rsid w:val="71FB09CF"/>
    <w:rsid w:val="720930EC"/>
    <w:rsid w:val="72125E1C"/>
    <w:rsid w:val="723914F7"/>
    <w:rsid w:val="723D5FA2"/>
    <w:rsid w:val="72574796"/>
    <w:rsid w:val="726209AB"/>
    <w:rsid w:val="727B38BE"/>
    <w:rsid w:val="727B73EF"/>
    <w:rsid w:val="72837D35"/>
    <w:rsid w:val="728A528D"/>
    <w:rsid w:val="728D0AFD"/>
    <w:rsid w:val="728E6E65"/>
    <w:rsid w:val="72AE7D4E"/>
    <w:rsid w:val="72B722F4"/>
    <w:rsid w:val="72F173A5"/>
    <w:rsid w:val="73045661"/>
    <w:rsid w:val="7314694F"/>
    <w:rsid w:val="73481ADA"/>
    <w:rsid w:val="735315C6"/>
    <w:rsid w:val="736B748E"/>
    <w:rsid w:val="73770529"/>
    <w:rsid w:val="737F7064"/>
    <w:rsid w:val="73A6016E"/>
    <w:rsid w:val="73B274A0"/>
    <w:rsid w:val="73FE173F"/>
    <w:rsid w:val="7425763C"/>
    <w:rsid w:val="74374124"/>
    <w:rsid w:val="745C335E"/>
    <w:rsid w:val="748E36FB"/>
    <w:rsid w:val="74A215D5"/>
    <w:rsid w:val="74BA5BB7"/>
    <w:rsid w:val="74BF1E0D"/>
    <w:rsid w:val="74E07CE2"/>
    <w:rsid w:val="74FE790A"/>
    <w:rsid w:val="750B1043"/>
    <w:rsid w:val="754126CA"/>
    <w:rsid w:val="754C5225"/>
    <w:rsid w:val="75604F8A"/>
    <w:rsid w:val="7564786B"/>
    <w:rsid w:val="75724B69"/>
    <w:rsid w:val="757A7990"/>
    <w:rsid w:val="75856A30"/>
    <w:rsid w:val="75A47A69"/>
    <w:rsid w:val="760E1005"/>
    <w:rsid w:val="7655402D"/>
    <w:rsid w:val="765C0477"/>
    <w:rsid w:val="766034F6"/>
    <w:rsid w:val="766F51B8"/>
    <w:rsid w:val="76832BE7"/>
    <w:rsid w:val="76AB6DEC"/>
    <w:rsid w:val="76B425F2"/>
    <w:rsid w:val="76F92CB7"/>
    <w:rsid w:val="77036A0D"/>
    <w:rsid w:val="77327B97"/>
    <w:rsid w:val="7736743F"/>
    <w:rsid w:val="773D55E5"/>
    <w:rsid w:val="776B7CFA"/>
    <w:rsid w:val="77A9581A"/>
    <w:rsid w:val="77C879E1"/>
    <w:rsid w:val="77D25D2E"/>
    <w:rsid w:val="77DB388B"/>
    <w:rsid w:val="77E041C2"/>
    <w:rsid w:val="77FF08C3"/>
    <w:rsid w:val="78067EAE"/>
    <w:rsid w:val="78385CF0"/>
    <w:rsid w:val="783D460A"/>
    <w:rsid w:val="784F3822"/>
    <w:rsid w:val="78541FB3"/>
    <w:rsid w:val="785B0013"/>
    <w:rsid w:val="785E326E"/>
    <w:rsid w:val="7861306C"/>
    <w:rsid w:val="78660CFB"/>
    <w:rsid w:val="78AE3973"/>
    <w:rsid w:val="78B01B5D"/>
    <w:rsid w:val="78C338C8"/>
    <w:rsid w:val="78D7480E"/>
    <w:rsid w:val="790625ED"/>
    <w:rsid w:val="790A1B26"/>
    <w:rsid w:val="791C7043"/>
    <w:rsid w:val="79265C73"/>
    <w:rsid w:val="79441F37"/>
    <w:rsid w:val="7989477E"/>
    <w:rsid w:val="798E037A"/>
    <w:rsid w:val="79A17A91"/>
    <w:rsid w:val="79A30822"/>
    <w:rsid w:val="79B044DB"/>
    <w:rsid w:val="79B452A3"/>
    <w:rsid w:val="79DC7D7F"/>
    <w:rsid w:val="79EE2BC7"/>
    <w:rsid w:val="79FB3988"/>
    <w:rsid w:val="79FF7C18"/>
    <w:rsid w:val="7A0A1050"/>
    <w:rsid w:val="7A0D2C39"/>
    <w:rsid w:val="7A256E68"/>
    <w:rsid w:val="7A4C2D72"/>
    <w:rsid w:val="7A582EA9"/>
    <w:rsid w:val="7A6C2A13"/>
    <w:rsid w:val="7A7D4890"/>
    <w:rsid w:val="7A7E0416"/>
    <w:rsid w:val="7A802114"/>
    <w:rsid w:val="7A82024F"/>
    <w:rsid w:val="7A8C6C10"/>
    <w:rsid w:val="7A8C6D82"/>
    <w:rsid w:val="7AB3387A"/>
    <w:rsid w:val="7AD30A6B"/>
    <w:rsid w:val="7AD67D61"/>
    <w:rsid w:val="7AE5221D"/>
    <w:rsid w:val="7AEF55A8"/>
    <w:rsid w:val="7B1B067C"/>
    <w:rsid w:val="7B2632F8"/>
    <w:rsid w:val="7B2F54B5"/>
    <w:rsid w:val="7B3A214B"/>
    <w:rsid w:val="7B5C7110"/>
    <w:rsid w:val="7B685343"/>
    <w:rsid w:val="7B711F22"/>
    <w:rsid w:val="7B884D6C"/>
    <w:rsid w:val="7BA934F5"/>
    <w:rsid w:val="7BC6627B"/>
    <w:rsid w:val="7BC828BB"/>
    <w:rsid w:val="7BE25C93"/>
    <w:rsid w:val="7C0F421D"/>
    <w:rsid w:val="7C147B46"/>
    <w:rsid w:val="7C1C6851"/>
    <w:rsid w:val="7C2648D1"/>
    <w:rsid w:val="7C3B5326"/>
    <w:rsid w:val="7C3B64F2"/>
    <w:rsid w:val="7C4274CE"/>
    <w:rsid w:val="7C4E4B22"/>
    <w:rsid w:val="7C6931B5"/>
    <w:rsid w:val="7C740D15"/>
    <w:rsid w:val="7C846ABB"/>
    <w:rsid w:val="7C882089"/>
    <w:rsid w:val="7C8E77D0"/>
    <w:rsid w:val="7C9D588F"/>
    <w:rsid w:val="7CA45FB6"/>
    <w:rsid w:val="7CAB26FF"/>
    <w:rsid w:val="7CC7607D"/>
    <w:rsid w:val="7CCE2A52"/>
    <w:rsid w:val="7CDE72A4"/>
    <w:rsid w:val="7D1E5AD5"/>
    <w:rsid w:val="7D2232B3"/>
    <w:rsid w:val="7D310696"/>
    <w:rsid w:val="7D711B45"/>
    <w:rsid w:val="7D8D3D7E"/>
    <w:rsid w:val="7D9013BB"/>
    <w:rsid w:val="7D920BE5"/>
    <w:rsid w:val="7D9E01FF"/>
    <w:rsid w:val="7DD345AE"/>
    <w:rsid w:val="7DD62478"/>
    <w:rsid w:val="7DE05C46"/>
    <w:rsid w:val="7DE53EFE"/>
    <w:rsid w:val="7DE71E07"/>
    <w:rsid w:val="7DF804B8"/>
    <w:rsid w:val="7DF82E38"/>
    <w:rsid w:val="7E0354EC"/>
    <w:rsid w:val="7E0471DB"/>
    <w:rsid w:val="7E1077B1"/>
    <w:rsid w:val="7E1654ED"/>
    <w:rsid w:val="7E3903FB"/>
    <w:rsid w:val="7E414658"/>
    <w:rsid w:val="7E464BA3"/>
    <w:rsid w:val="7E464C29"/>
    <w:rsid w:val="7E491C7B"/>
    <w:rsid w:val="7E584AB3"/>
    <w:rsid w:val="7E69740B"/>
    <w:rsid w:val="7E6F3F93"/>
    <w:rsid w:val="7E7E5CFF"/>
    <w:rsid w:val="7E917269"/>
    <w:rsid w:val="7EB64559"/>
    <w:rsid w:val="7EC36676"/>
    <w:rsid w:val="7EC57943"/>
    <w:rsid w:val="7ED40246"/>
    <w:rsid w:val="7EF078C2"/>
    <w:rsid w:val="7EF65C63"/>
    <w:rsid w:val="7F2444FD"/>
    <w:rsid w:val="7F25761B"/>
    <w:rsid w:val="7F556E2D"/>
    <w:rsid w:val="7F814DD6"/>
    <w:rsid w:val="7F9A2978"/>
    <w:rsid w:val="7FAD360A"/>
    <w:rsid w:val="7FC44AF6"/>
    <w:rsid w:val="7FF77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3"/>
    <w:basedOn w:val="1"/>
    <w:next w:val="1"/>
    <w:qFormat/>
    <w:uiPriority w:val="0"/>
    <w:pPr>
      <w:adjustRightInd w:val="0"/>
      <w:snapToGrid w:val="0"/>
      <w:spacing w:before="10" w:beforeLines="10" w:after="10" w:afterLines="10" w:line="480" w:lineRule="exact"/>
      <w:jc w:val="left"/>
      <w:outlineLvl w:val="2"/>
    </w:pPr>
    <w:rPr>
      <w:b/>
      <w:bCs/>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customStyle="1" w:styleId="2">
    <w:name w:val="11111"/>
    <w:basedOn w:val="1"/>
    <w:next w:val="1"/>
    <w:qFormat/>
    <w:uiPriority w:val="0"/>
    <w:pPr>
      <w:spacing w:line="360" w:lineRule="auto"/>
      <w:ind w:firstLine="200" w:firstLineChars="200"/>
    </w:pPr>
    <w:rPr>
      <w:rFonts w:hAnsi="宋体" w:cs="宋体"/>
      <w:kern w:val="2"/>
      <w:szCs w:val="24"/>
    </w:rPr>
  </w:style>
  <w:style w:type="paragraph" w:styleId="5">
    <w:name w:val="footer"/>
    <w:basedOn w:val="1"/>
    <w:unhideWhenUsed/>
    <w:qFormat/>
    <w:uiPriority w:val="99"/>
    <w:pPr>
      <w:tabs>
        <w:tab w:val="center" w:pos="4153"/>
        <w:tab w:val="right" w:pos="8306"/>
      </w:tabs>
      <w:snapToGrid w:val="0"/>
      <w:spacing w:line="240" w:lineRule="auto"/>
      <w:jc w:val="left"/>
    </w:pPr>
    <w:rPr>
      <w:sz w:val="18"/>
      <w:szCs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pPr>
      <w:spacing w:line="600" w:lineRule="exact"/>
      <w:jc w:val="center"/>
    </w:pPr>
    <w:rPr>
      <w:rFonts w:ascii="宋体" w:hAnsi="宋体" w:eastAsia="黑体"/>
      <w:kern w:val="0"/>
      <w:sz w:val="30"/>
      <w:szCs w:val="20"/>
    </w:rPr>
  </w:style>
  <w:style w:type="paragraph" w:styleId="8">
    <w:name w:val="toc 2"/>
    <w:basedOn w:val="1"/>
    <w:next w:val="1"/>
    <w:qFormat/>
    <w:uiPriority w:val="39"/>
    <w:pPr>
      <w:ind w:left="240"/>
      <w:jc w:val="left"/>
    </w:pPr>
    <w:rPr>
      <w:rFonts w:ascii="等线" w:eastAsia="等线"/>
      <w:smallCaps/>
      <w:sz w:val="20"/>
      <w:szCs w:val="20"/>
    </w:rPr>
  </w:style>
  <w:style w:type="paragraph" w:styleId="9">
    <w:name w:val="Normal (Web)"/>
    <w:basedOn w:val="1"/>
    <w:qFormat/>
    <w:uiPriority w:val="0"/>
    <w:pPr>
      <w:spacing w:beforeAutospacing="1" w:afterAutospacing="1"/>
      <w:jc w:val="left"/>
    </w:pPr>
    <w:rPr>
      <w:rFonts w:cs="Times New Roman"/>
      <w:kern w:val="0"/>
      <w:sz w:val="24"/>
    </w:rPr>
  </w:style>
  <w:style w:type="paragraph" w:styleId="10">
    <w:name w:val="Body Text First Indent"/>
    <w:basedOn w:val="1"/>
    <w:next w:val="11"/>
    <w:qFormat/>
    <w:uiPriority w:val="0"/>
    <w:pPr>
      <w:ind w:firstLine="498" w:firstLineChars="200"/>
    </w:pPr>
    <w:rPr>
      <w:sz w:val="24"/>
      <w:szCs w:val="20"/>
    </w:rPr>
  </w:style>
  <w:style w:type="paragraph" w:customStyle="1" w:styleId="11">
    <w:name w:val="样式 正文首行缩进 + 首行缩进:  2 字符1"/>
    <w:basedOn w:val="1"/>
    <w:next w:val="7"/>
    <w:qFormat/>
    <w:uiPriority w:val="0"/>
    <w:pPr>
      <w:spacing w:line="360" w:lineRule="auto"/>
      <w:ind w:firstLine="480" w:firstLineChars="200"/>
    </w:pPr>
    <w:rPr>
      <w:sz w:val="24"/>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正文格式"/>
    <w:basedOn w:val="1"/>
    <w:next w:val="1"/>
    <w:qFormat/>
    <w:uiPriority w:val="0"/>
    <w:pPr>
      <w:spacing w:line="360" w:lineRule="auto"/>
      <w:ind w:firstLine="482"/>
    </w:pPr>
    <w:rPr>
      <w:sz w:val="24"/>
    </w:rPr>
  </w:style>
  <w:style w:type="table" w:customStyle="1" w:styleId="16">
    <w:name w:val="Table Normal"/>
    <w:semiHidden/>
    <w:unhideWhenUsed/>
    <w:qFormat/>
    <w:uiPriority w:val="0"/>
    <w:tblPr>
      <w:tblCellMar>
        <w:top w:w="0" w:type="dxa"/>
        <w:left w:w="0" w:type="dxa"/>
        <w:bottom w:w="0" w:type="dxa"/>
        <w:right w:w="0" w:type="dxa"/>
      </w:tblCellMar>
    </w:tblPr>
  </w:style>
  <w:style w:type="paragraph" w:customStyle="1" w:styleId="17">
    <w:name w:val="！正文"/>
    <w:basedOn w:val="1"/>
    <w:qFormat/>
    <w:uiPriority w:val="0"/>
    <w:pPr>
      <w:adjustRightInd w:val="0"/>
      <w:snapToGrid w:val="0"/>
      <w:spacing w:line="360" w:lineRule="auto"/>
      <w:ind w:firstLine="480" w:firstLineChars="200"/>
    </w:pPr>
    <w:rPr>
      <w:rFonts w:hint="eastAsia" w:ascii="Times New Roman" w:hAnsi="Times New Roman"/>
      <w:kern w:val="0"/>
      <w:sz w:val="24"/>
    </w:rPr>
  </w:style>
  <w:style w:type="paragraph" w:customStyle="1" w:styleId="18">
    <w:name w:val="表文"/>
    <w:basedOn w:val="1"/>
    <w:qFormat/>
    <w:uiPriority w:val="0"/>
    <w:pPr>
      <w:ind w:firstLine="0" w:firstLineChars="0"/>
      <w:jc w:val="center"/>
    </w:pPr>
    <w:rPr>
      <w:bCs/>
      <w:sz w:val="18"/>
    </w:rPr>
  </w:style>
  <w:style w:type="paragraph" w:customStyle="1" w:styleId="19">
    <w:name w:val="表"/>
    <w:basedOn w:val="1"/>
    <w:qFormat/>
    <w:uiPriority w:val="0"/>
    <w:pPr>
      <w:spacing w:line="240" w:lineRule="auto"/>
      <w:ind w:firstLine="0" w:firstLineChars="0"/>
      <w:jc w:val="center"/>
    </w:pPr>
    <w:rPr>
      <w:sz w:val="21"/>
    </w:rPr>
  </w:style>
  <w:style w:type="paragraph" w:customStyle="1" w:styleId="20">
    <w:name w:val="表体"/>
    <w:basedOn w:val="1"/>
    <w:qFormat/>
    <w:uiPriority w:val="0"/>
    <w:pPr>
      <w:overflowPunct w:val="0"/>
      <w:adjustRightInd w:val="0"/>
      <w:spacing w:line="300" w:lineRule="atLeast"/>
      <w:jc w:val="center"/>
      <w:textAlignment w:val="baseline"/>
    </w:pPr>
    <w:rPr>
      <w:color w:val="000000"/>
      <w:kern w:val="24"/>
      <w:sz w:val="18"/>
      <w:szCs w:val="20"/>
    </w:rPr>
  </w:style>
  <w:style w:type="character" w:customStyle="1" w:styleId="21">
    <w:name w:val="font31"/>
    <w:basedOn w:val="14"/>
    <w:qFormat/>
    <w:uiPriority w:val="0"/>
    <w:rPr>
      <w:rFonts w:hint="eastAsia" w:ascii="宋体" w:hAnsi="宋体" w:eastAsia="宋体" w:cs="宋体"/>
      <w:color w:val="000000"/>
      <w:sz w:val="21"/>
      <w:szCs w:val="21"/>
      <w:u w:val="none"/>
    </w:rPr>
  </w:style>
  <w:style w:type="character" w:customStyle="1" w:styleId="22">
    <w:name w:val="font21"/>
    <w:basedOn w:val="14"/>
    <w:qFormat/>
    <w:uiPriority w:val="0"/>
    <w:rPr>
      <w:rFonts w:hint="default" w:ascii="Times New Roman" w:hAnsi="Times New Roman" w:cs="Times New Roman"/>
      <w:color w:val="000000"/>
      <w:sz w:val="21"/>
      <w:szCs w:val="21"/>
      <w:u w:val="none"/>
    </w:rPr>
  </w:style>
  <w:style w:type="paragraph" w:customStyle="1" w:styleId="23">
    <w:name w:val="Default"/>
    <w:basedOn w:val="24"/>
    <w:next w:val="1"/>
    <w:qFormat/>
    <w:uiPriority w:val="0"/>
    <w:pPr>
      <w:autoSpaceDE w:val="0"/>
      <w:autoSpaceDN w:val="0"/>
      <w:adjustRightInd w:val="0"/>
    </w:pPr>
    <w:rPr>
      <w:rFonts w:ascii="宋体" w:eastAsia="宋体" w:cs="宋体"/>
      <w:color w:val="000000"/>
      <w:spacing w:val="0"/>
      <w:kern w:val="0"/>
      <w:sz w:val="24"/>
      <w:szCs w:val="24"/>
    </w:rPr>
  </w:style>
  <w:style w:type="paragraph" w:customStyle="1" w:styleId="24">
    <w:name w:val="表头"/>
    <w:basedOn w:val="25"/>
    <w:next w:val="1"/>
    <w:qFormat/>
    <w:uiPriority w:val="0"/>
    <w:pPr>
      <w:spacing w:before="120" w:afterLines="20" w:line="400" w:lineRule="exact"/>
      <w:ind w:firstLine="493"/>
    </w:pPr>
    <w:rPr>
      <w:rFonts w:ascii="黑体" w:eastAsia="黑体"/>
      <w:spacing w:val="8"/>
      <w:kern w:val="21"/>
      <w:sz w:val="21"/>
    </w:rPr>
  </w:style>
  <w:style w:type="paragraph" w:customStyle="1" w:styleId="25">
    <w:name w:val="表名1"/>
    <w:basedOn w:val="26"/>
    <w:qFormat/>
    <w:uiPriority w:val="0"/>
    <w:pPr>
      <w:spacing w:beforeLines="50" w:afterLines="20" w:line="240" w:lineRule="auto"/>
      <w:ind w:firstLine="0"/>
      <w:jc w:val="center"/>
    </w:pPr>
    <w:rPr>
      <w:rFonts w:ascii="仿宋" w:hAnsi="仿宋" w:eastAsia="仿宋"/>
      <w:b/>
      <w:sz w:val="20"/>
    </w:rPr>
  </w:style>
  <w:style w:type="paragraph" w:customStyle="1" w:styleId="26">
    <w:name w:val="报告"/>
    <w:basedOn w:val="1"/>
    <w:qFormat/>
    <w:uiPriority w:val="99"/>
    <w:pPr>
      <w:autoSpaceDE w:val="0"/>
      <w:autoSpaceDN w:val="0"/>
      <w:adjustRightInd w:val="0"/>
      <w:spacing w:line="360" w:lineRule="auto"/>
      <w:ind w:firstLine="505"/>
      <w:textAlignment w:val="baseline"/>
    </w:pPr>
    <w:rPr>
      <w:rFonts w:ascii="Times New Roman" w:hAnsi="Times New Roman" w:cs="Times New Roman"/>
      <w:szCs w:val="20"/>
    </w:rPr>
  </w:style>
  <w:style w:type="paragraph" w:customStyle="1" w:styleId="27">
    <w:name w:val="样式 环保表内字（五号） + 段前: 7.8 磅"/>
    <w:basedOn w:val="1"/>
    <w:qFormat/>
    <w:uiPriority w:val="0"/>
    <w:pPr>
      <w:adjustRightInd w:val="0"/>
      <w:snapToGrid w:val="0"/>
      <w:spacing w:line="0" w:lineRule="atLeast"/>
    </w:pPr>
    <w:rPr>
      <w:rFonts w:eastAsia="宋体" w:cs="宋体"/>
      <w:snapToGrid w:val="0"/>
      <w:color w:val="000000"/>
      <w:kern w:val="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5" Type="http://schemas.openxmlformats.org/officeDocument/2006/relationships/fontTable" Target="fontTable.xml"/><Relationship Id="rId64" Type="http://schemas.openxmlformats.org/officeDocument/2006/relationships/customXml" Target="../customXml/item1.xml"/><Relationship Id="rId63" Type="http://schemas.openxmlformats.org/officeDocument/2006/relationships/image" Target="media/image41.png"/><Relationship Id="rId62" Type="http://schemas.openxmlformats.org/officeDocument/2006/relationships/image" Target="media/image40.wmf"/><Relationship Id="rId61" Type="http://schemas.openxmlformats.org/officeDocument/2006/relationships/oleObject" Target="embeddings/oleObject16.bin"/><Relationship Id="rId60" Type="http://schemas.openxmlformats.org/officeDocument/2006/relationships/image" Target="media/image39.wmf"/><Relationship Id="rId6" Type="http://schemas.openxmlformats.org/officeDocument/2006/relationships/theme" Target="theme/theme1.xml"/><Relationship Id="rId59" Type="http://schemas.openxmlformats.org/officeDocument/2006/relationships/oleObject" Target="embeddings/oleObject15.bin"/><Relationship Id="rId58" Type="http://schemas.openxmlformats.org/officeDocument/2006/relationships/image" Target="media/image38.wmf"/><Relationship Id="rId57" Type="http://schemas.openxmlformats.org/officeDocument/2006/relationships/oleObject" Target="embeddings/oleObject14.bin"/><Relationship Id="rId56" Type="http://schemas.openxmlformats.org/officeDocument/2006/relationships/image" Target="media/image37.wmf"/><Relationship Id="rId55" Type="http://schemas.openxmlformats.org/officeDocument/2006/relationships/oleObject" Target="embeddings/oleObject13.bin"/><Relationship Id="rId54" Type="http://schemas.openxmlformats.org/officeDocument/2006/relationships/image" Target="media/image36.wmf"/><Relationship Id="rId53" Type="http://schemas.openxmlformats.org/officeDocument/2006/relationships/oleObject" Target="embeddings/oleObject12.bin"/><Relationship Id="rId52" Type="http://schemas.openxmlformats.org/officeDocument/2006/relationships/image" Target="media/image35.wmf"/><Relationship Id="rId51" Type="http://schemas.openxmlformats.org/officeDocument/2006/relationships/oleObject" Target="embeddings/oleObject11.bin"/><Relationship Id="rId50" Type="http://schemas.openxmlformats.org/officeDocument/2006/relationships/image" Target="media/image34.wmf"/><Relationship Id="rId5" Type="http://schemas.openxmlformats.org/officeDocument/2006/relationships/footer" Target="footer3.xml"/><Relationship Id="rId49" Type="http://schemas.openxmlformats.org/officeDocument/2006/relationships/oleObject" Target="embeddings/oleObject10.bin"/><Relationship Id="rId48" Type="http://schemas.openxmlformats.org/officeDocument/2006/relationships/image" Target="media/image33.wmf"/><Relationship Id="rId47" Type="http://schemas.openxmlformats.org/officeDocument/2006/relationships/oleObject" Target="embeddings/oleObject9.bin"/><Relationship Id="rId46" Type="http://schemas.openxmlformats.org/officeDocument/2006/relationships/image" Target="media/image32.wmf"/><Relationship Id="rId45" Type="http://schemas.openxmlformats.org/officeDocument/2006/relationships/oleObject" Target="embeddings/oleObject8.bin"/><Relationship Id="rId44" Type="http://schemas.openxmlformats.org/officeDocument/2006/relationships/image" Target="media/image31.wmf"/><Relationship Id="rId43" Type="http://schemas.openxmlformats.org/officeDocument/2006/relationships/oleObject" Target="embeddings/oleObject7.bin"/><Relationship Id="rId42" Type="http://schemas.openxmlformats.org/officeDocument/2006/relationships/image" Target="media/image30.wmf"/><Relationship Id="rId41" Type="http://schemas.openxmlformats.org/officeDocument/2006/relationships/oleObject" Target="embeddings/oleObject6.bin"/><Relationship Id="rId40" Type="http://schemas.openxmlformats.org/officeDocument/2006/relationships/image" Target="media/image29.wmf"/><Relationship Id="rId4" Type="http://schemas.openxmlformats.org/officeDocument/2006/relationships/footer" Target="footer2.xml"/><Relationship Id="rId39" Type="http://schemas.openxmlformats.org/officeDocument/2006/relationships/oleObject" Target="embeddings/oleObject5.bin"/><Relationship Id="rId38" Type="http://schemas.openxmlformats.org/officeDocument/2006/relationships/image" Target="media/image28.wmf"/><Relationship Id="rId37" Type="http://schemas.openxmlformats.org/officeDocument/2006/relationships/oleObject" Target="embeddings/oleObject4.bin"/><Relationship Id="rId36" Type="http://schemas.openxmlformats.org/officeDocument/2006/relationships/image" Target="media/image27.wmf"/><Relationship Id="rId35" Type="http://schemas.openxmlformats.org/officeDocument/2006/relationships/oleObject" Target="embeddings/oleObject3.bin"/><Relationship Id="rId34" Type="http://schemas.openxmlformats.org/officeDocument/2006/relationships/image" Target="media/image26.wmf"/><Relationship Id="rId33" Type="http://schemas.openxmlformats.org/officeDocument/2006/relationships/oleObject" Target="embeddings/oleObject2.bin"/><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er" Target="foot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wmf"/><Relationship Id="rId25" Type="http://schemas.openxmlformats.org/officeDocument/2006/relationships/oleObject" Target="embeddings/oleObject1.bin"/><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181</Pages>
  <Words>92404</Words>
  <Characters>112059</Characters>
  <Lines>0</Lines>
  <Paragraphs>0</Paragraphs>
  <TotalTime>1</TotalTime>
  <ScaleCrop>false</ScaleCrop>
  <LinksUpToDate>false</LinksUpToDate>
  <CharactersWithSpaces>124089</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2022-11-18T08:35:00Z</dcterms:created>
  <dc:creator>dadaHE</dc:creator>
  <cp:lastModifiedBy>dadaHE</cp:lastModifiedBy>
  <dcterms:modified xsi:type="dcterms:W3CDTF">2022-12-09T03:34:19Z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F4C73282CE424D91B9BFE10D45E86770</vt:lpwstr>
  </property>
</Properties>
</file>