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cs="Times New Roman"/>
          <w:snapToGrid/>
          <w:sz w:val="48"/>
          <w:szCs w:val="48"/>
          <w:lang w:val="en-US" w:eastAsia="zh-CN" w:bidi="ar-SA"/>
        </w:rPr>
      </w:pPr>
      <w:r>
        <w:rPr>
          <w:rFonts w:hint="eastAsia" w:ascii="Times New Roman" w:hAnsi="Times New Roman" w:eastAsia="宋体" w:cs="Times New Roman"/>
          <w:snapToGrid/>
          <w:sz w:val="48"/>
          <w:szCs w:val="48"/>
          <w:lang w:val="en-US" w:eastAsia="zh-CN" w:bidi="ar-SA"/>
        </w:rPr>
        <w:t>大庆南部500kV汇集升压送出工程</w:t>
      </w:r>
    </w:p>
    <w:p>
      <w:pPr>
        <w:jc w:val="center"/>
        <w:rPr>
          <w:rFonts w:hint="eastAsia" w:ascii="Times New Roman" w:hAnsi="Times New Roman" w:eastAsia="宋体" w:cs="Times New Roman"/>
          <w:snapToGrid/>
          <w:sz w:val="84"/>
          <w:szCs w:val="84"/>
          <w:lang w:val="en-US" w:eastAsia="zh-CN" w:bidi="ar-SA"/>
        </w:rPr>
      </w:pPr>
      <w:r>
        <w:rPr>
          <w:rFonts w:hint="eastAsia" w:ascii="Times New Roman" w:hAnsi="Times New Roman" w:eastAsia="宋体" w:cs="Times New Roman"/>
          <w:snapToGrid/>
          <w:sz w:val="84"/>
          <w:szCs w:val="84"/>
          <w:lang w:val="en-US" w:eastAsia="zh-CN" w:bidi="ar-SA"/>
        </w:rPr>
        <w:t>环境影响报告书</w:t>
      </w:r>
    </w:p>
    <w:p>
      <w:pPr>
        <w:jc w:val="center"/>
        <w:rPr>
          <w:rFonts w:hint="eastAsia" w:ascii="Times New Roman" w:hAnsi="Times New Roman" w:eastAsia="宋体" w:cs="Times New Roman"/>
          <w:snapToGrid/>
          <w:sz w:val="84"/>
          <w:szCs w:val="84"/>
          <w:lang w:val="en-US" w:eastAsia="zh-CN" w:bidi="ar-SA"/>
        </w:rPr>
      </w:pPr>
    </w:p>
    <w:p>
      <w:pPr>
        <w:jc w:val="center"/>
        <w:rPr>
          <w:rFonts w:hint="eastAsia" w:ascii="Times New Roman" w:hAnsi="Times New Roman" w:eastAsia="宋体" w:cs="Times New Roman"/>
          <w:snapToGrid/>
          <w:sz w:val="84"/>
          <w:szCs w:val="84"/>
          <w:lang w:val="en-US" w:eastAsia="zh-CN" w:bidi="ar-SA"/>
        </w:rPr>
      </w:pPr>
    </w:p>
    <w:p>
      <w:pPr>
        <w:jc w:val="center"/>
        <w:rPr>
          <w:rFonts w:hint="eastAsia" w:ascii="Times New Roman" w:hAnsi="Times New Roman" w:eastAsia="宋体" w:cs="Times New Roman"/>
          <w:snapToGrid/>
          <w:sz w:val="84"/>
          <w:szCs w:val="84"/>
          <w:lang w:val="en-US" w:eastAsia="zh-CN" w:bidi="ar-SA"/>
        </w:rPr>
      </w:pPr>
    </w:p>
    <w:p>
      <w:pPr>
        <w:jc w:val="center"/>
        <w:rPr>
          <w:rFonts w:hint="eastAsia" w:ascii="Times New Roman" w:hAnsi="Times New Roman" w:eastAsia="宋体" w:cs="Times New Roman"/>
          <w:snapToGrid/>
          <w:sz w:val="84"/>
          <w:szCs w:val="84"/>
          <w:lang w:val="en-US" w:eastAsia="zh-CN" w:bidi="ar-SA"/>
        </w:rPr>
      </w:pPr>
    </w:p>
    <w:p>
      <w:pPr>
        <w:jc w:val="center"/>
        <w:rPr>
          <w:rFonts w:hint="eastAsia" w:ascii="Times New Roman" w:hAnsi="Times New Roman" w:eastAsia="宋体" w:cs="Times New Roman"/>
          <w:snapToGrid/>
          <w:sz w:val="84"/>
          <w:szCs w:val="84"/>
          <w:lang w:val="en-US" w:eastAsia="zh-CN" w:bidi="ar-SA"/>
        </w:rPr>
      </w:pPr>
    </w:p>
    <w:p>
      <w:pPr>
        <w:spacing w:before="94" w:line="227" w:lineRule="auto"/>
        <w:rPr>
          <w:rFonts w:ascii="黑体" w:hAnsi="黑体" w:eastAsia="黑体" w:cs="黑体"/>
          <w:sz w:val="29"/>
          <w:szCs w:val="29"/>
          <w:highlight w:val="none"/>
        </w:rPr>
      </w:pPr>
      <w:r>
        <w:rPr>
          <w:rFonts w:ascii="黑体" w:hAnsi="黑体" w:eastAsia="黑体" w:cs="黑体"/>
          <w:spacing w:val="3"/>
          <w:sz w:val="29"/>
          <w:szCs w:val="29"/>
          <w:highlight w:val="none"/>
        </w:rPr>
        <w:t>建  设  单  位  ：</w:t>
      </w:r>
      <w:r>
        <w:rPr>
          <w:rFonts w:hint="eastAsia" w:ascii="黑体" w:hAnsi="黑体" w:eastAsia="黑体" w:cs="黑体"/>
          <w:spacing w:val="3"/>
          <w:sz w:val="29"/>
          <w:szCs w:val="29"/>
          <w:highlight w:val="none"/>
          <w:lang w:val="en-US" w:eastAsia="zh-CN"/>
        </w:rPr>
        <w:t>大庆黄和光储实证研究有限公司</w:t>
      </w:r>
    </w:p>
    <w:p>
      <w:pPr>
        <w:spacing w:line="324" w:lineRule="auto"/>
        <w:rPr>
          <w:rFonts w:ascii="Arial"/>
          <w:sz w:val="21"/>
          <w:highlight w:val="none"/>
        </w:rPr>
      </w:pPr>
    </w:p>
    <w:p>
      <w:pPr>
        <w:spacing w:before="94" w:line="228" w:lineRule="auto"/>
        <w:rPr>
          <w:rFonts w:hint="eastAsia" w:ascii="黑体" w:hAnsi="黑体" w:eastAsia="黑体" w:cs="黑体"/>
          <w:spacing w:val="12"/>
          <w:sz w:val="29"/>
          <w:szCs w:val="29"/>
          <w:highlight w:val="none"/>
          <w:lang w:eastAsia="zh-CN"/>
        </w:rPr>
      </w:pPr>
      <w:r>
        <w:rPr>
          <w:rFonts w:ascii="黑体" w:hAnsi="黑体" w:eastAsia="黑体" w:cs="黑体"/>
          <w:spacing w:val="24"/>
          <w:sz w:val="29"/>
          <w:szCs w:val="29"/>
          <w:highlight w:val="none"/>
        </w:rPr>
        <w:t>环 评</w:t>
      </w:r>
      <w:r>
        <w:rPr>
          <w:rFonts w:ascii="黑体" w:hAnsi="黑体" w:eastAsia="黑体" w:cs="黑体"/>
          <w:spacing w:val="13"/>
          <w:sz w:val="29"/>
          <w:szCs w:val="29"/>
          <w:highlight w:val="none"/>
        </w:rPr>
        <w:t xml:space="preserve"> </w:t>
      </w:r>
      <w:r>
        <w:rPr>
          <w:rFonts w:ascii="黑体" w:hAnsi="黑体" w:eastAsia="黑体" w:cs="黑体"/>
          <w:spacing w:val="12"/>
          <w:sz w:val="29"/>
          <w:szCs w:val="29"/>
          <w:highlight w:val="none"/>
        </w:rPr>
        <w:t xml:space="preserve">单 位  ：  </w:t>
      </w:r>
      <w:r>
        <w:rPr>
          <w:rFonts w:hint="eastAsia" w:ascii="黑体" w:hAnsi="黑体" w:eastAsia="黑体" w:cs="黑体"/>
          <w:spacing w:val="12"/>
          <w:sz w:val="29"/>
          <w:szCs w:val="29"/>
          <w:highlight w:val="none"/>
          <w:lang w:eastAsia="zh-CN"/>
        </w:rPr>
        <w:t>黑龙江永青环保科技有限公司</w:t>
      </w:r>
    </w:p>
    <w:p>
      <w:pPr>
        <w:spacing w:before="95" w:line="228" w:lineRule="auto"/>
        <w:ind w:left="3318"/>
        <w:rPr>
          <w:rFonts w:ascii="黑体" w:hAnsi="黑体" w:eastAsia="黑体" w:cs="黑体"/>
          <w:sz w:val="29"/>
          <w:szCs w:val="29"/>
          <w:highlight w:val="none"/>
        </w:rPr>
      </w:pPr>
      <w:r>
        <w:rPr>
          <w:rFonts w:ascii="Times New Roman" w:hAnsi="Times New Roman" w:eastAsia="Times New Roman" w:cs="Times New Roman"/>
          <w:spacing w:val="1"/>
          <w:sz w:val="29"/>
          <w:szCs w:val="29"/>
          <w:highlight w:val="none"/>
        </w:rPr>
        <w:t>202</w:t>
      </w:r>
      <w:r>
        <w:rPr>
          <w:rFonts w:ascii="Times New Roman" w:hAnsi="Times New Roman" w:eastAsia="Times New Roman" w:cs="Times New Roman"/>
          <w:sz w:val="29"/>
          <w:szCs w:val="29"/>
          <w:highlight w:val="none"/>
        </w:rPr>
        <w:t xml:space="preserve">2 </w:t>
      </w:r>
      <w:r>
        <w:rPr>
          <w:rFonts w:ascii="黑体" w:hAnsi="黑体" w:eastAsia="黑体" w:cs="黑体"/>
          <w:sz w:val="29"/>
          <w:szCs w:val="29"/>
          <w:highlight w:val="none"/>
        </w:rPr>
        <w:t xml:space="preserve">年 </w:t>
      </w:r>
      <w:r>
        <w:rPr>
          <w:rFonts w:hint="eastAsia" w:ascii="Times New Roman" w:hAnsi="Times New Roman" w:eastAsia="宋体" w:cs="Times New Roman"/>
          <w:sz w:val="29"/>
          <w:szCs w:val="29"/>
          <w:highlight w:val="none"/>
          <w:lang w:val="en-US" w:eastAsia="zh-CN"/>
        </w:rPr>
        <w:t>12</w:t>
      </w:r>
      <w:r>
        <w:rPr>
          <w:rFonts w:ascii="黑体" w:hAnsi="黑体" w:eastAsia="黑体" w:cs="黑体"/>
          <w:sz w:val="29"/>
          <w:szCs w:val="29"/>
          <w:highlight w:val="none"/>
        </w:rPr>
        <w:t xml:space="preserve">月  </w:t>
      </w:r>
    </w:p>
    <w:p>
      <w:pPr>
        <w:pStyle w:val="11"/>
        <w:rPr>
          <w:rFonts w:hint="eastAsia"/>
          <w:lang w:eastAsia="zh-CN"/>
        </w:rPr>
      </w:pP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ascii="Times New Roman" w:hAnsi="Times New Roman" w:eastAsia="宋体" w:cs="Times New Roman"/>
          <w:snapToGrid/>
          <w:sz w:val="32"/>
          <w:lang w:val="en-US" w:eastAsia="zh-CN" w:bidi="ar-SA"/>
        </w:rPr>
      </w:pPr>
      <w:r>
        <w:rPr>
          <w:rFonts w:hint="eastAsia" w:ascii="Times New Roman" w:hAnsi="Times New Roman" w:eastAsia="宋体" w:cs="Times New Roman"/>
          <w:snapToGrid/>
          <w:sz w:val="32"/>
          <w:lang w:val="en-US" w:eastAsia="zh-CN" w:bidi="ar-SA"/>
        </w:rPr>
        <w:t>目录</w:t>
      </w:r>
    </w:p>
    <w:p/>
    <w:p>
      <w:pPr>
        <w:pStyle w:val="9"/>
        <w:tabs>
          <w:tab w:val="right" w:leader="dot" w:pos="8306"/>
        </w:tabs>
      </w:pPr>
      <w:r>
        <w:fldChar w:fldCharType="begin"/>
      </w:r>
      <w:r>
        <w:instrText xml:space="preserve">TOC \o "1-3" \h \u </w:instrText>
      </w:r>
      <w:r>
        <w:fldChar w:fldCharType="separate"/>
      </w:r>
      <w:r>
        <w:fldChar w:fldCharType="begin"/>
      </w:r>
      <w:r>
        <w:instrText xml:space="preserve"> HYPERLINK \l _Toc4260 </w:instrText>
      </w:r>
      <w:r>
        <w:fldChar w:fldCharType="separate"/>
      </w:r>
      <w:r>
        <w:rPr>
          <w:rFonts w:hint="eastAsia" w:ascii="Times New Roman" w:hAnsi="Times New Roman" w:eastAsia="宋体" w:cs="Times New Roman"/>
          <w:snapToGrid/>
          <w:lang w:val="en-US" w:eastAsia="zh-CN" w:bidi="ar-SA"/>
        </w:rPr>
        <w:t>1前言</w:t>
      </w:r>
      <w:r>
        <w:tab/>
      </w:r>
      <w:r>
        <w:fldChar w:fldCharType="begin"/>
      </w:r>
      <w:r>
        <w:instrText xml:space="preserve"> PAGEREF _Toc4260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_Toc3211 </w:instrText>
      </w:r>
      <w:r>
        <w:fldChar w:fldCharType="separate"/>
      </w:r>
      <w:r>
        <w:rPr>
          <w:rFonts w:hint="eastAsia" w:ascii="Times New Roman" w:hAnsi="Times New Roman" w:eastAsia="宋体" w:cs="Times New Roman"/>
          <w:snapToGrid/>
          <w:lang w:val="en-US" w:eastAsia="zh-CN" w:bidi="ar-SA"/>
        </w:rPr>
        <w:t>1.1 项目由来及建设必要性</w:t>
      </w:r>
      <w:r>
        <w:tab/>
      </w:r>
      <w:r>
        <w:fldChar w:fldCharType="begin"/>
      </w:r>
      <w:r>
        <w:instrText xml:space="preserve"> PAGEREF _Toc3211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_Toc22259 </w:instrText>
      </w:r>
      <w:r>
        <w:fldChar w:fldCharType="separate"/>
      </w:r>
      <w:r>
        <w:rPr>
          <w:rFonts w:hint="eastAsia" w:ascii="Times New Roman" w:hAnsi="Times New Roman" w:eastAsia="宋体" w:cs="Times New Roman"/>
          <w:snapToGrid/>
          <w:lang w:val="en-US" w:eastAsia="zh-CN" w:bidi="ar-SA"/>
        </w:rPr>
        <w:t>1.2 项目概况</w:t>
      </w:r>
      <w:r>
        <w:tab/>
      </w:r>
      <w:r>
        <w:fldChar w:fldCharType="begin"/>
      </w:r>
      <w:r>
        <w:instrText xml:space="preserve"> PAGEREF _Toc22259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_Toc976 </w:instrText>
      </w:r>
      <w:r>
        <w:fldChar w:fldCharType="separate"/>
      </w:r>
      <w:r>
        <w:rPr>
          <w:rFonts w:hint="eastAsia" w:ascii="Times New Roman" w:hAnsi="Times New Roman" w:eastAsia="宋体" w:cs="Times New Roman"/>
          <w:snapToGrid/>
          <w:lang w:val="en-US" w:eastAsia="zh-CN" w:bidi="ar-SA"/>
        </w:rPr>
        <w:t>1.3环境影响评价工作过程</w:t>
      </w:r>
      <w:r>
        <w:tab/>
      </w:r>
      <w:r>
        <w:fldChar w:fldCharType="begin"/>
      </w:r>
      <w:r>
        <w:instrText xml:space="preserve"> PAGEREF _Toc976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_Toc17837 </w:instrText>
      </w:r>
      <w:r>
        <w:fldChar w:fldCharType="separate"/>
      </w:r>
      <w:r>
        <w:rPr>
          <w:rFonts w:hint="eastAsia" w:ascii="Times New Roman" w:hAnsi="Times New Roman" w:eastAsia="宋体" w:cs="Times New Roman"/>
          <w:snapToGrid/>
          <w:lang w:val="en-US" w:eastAsia="zh-CN" w:bidi="ar-SA"/>
        </w:rPr>
        <w:t>1.4建设项目特点</w:t>
      </w:r>
      <w:r>
        <w:tab/>
      </w:r>
      <w:r>
        <w:fldChar w:fldCharType="begin"/>
      </w:r>
      <w:r>
        <w:instrText xml:space="preserve"> PAGEREF _Toc17837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_Toc8359 </w:instrText>
      </w:r>
      <w:r>
        <w:fldChar w:fldCharType="separate"/>
      </w:r>
      <w:r>
        <w:rPr>
          <w:rFonts w:hint="eastAsia" w:ascii="Times New Roman" w:hAnsi="Times New Roman" w:eastAsia="宋体" w:cs="Times New Roman"/>
          <w:snapToGrid/>
          <w:lang w:val="en-US" w:eastAsia="zh-CN" w:bidi="ar-SA"/>
        </w:rPr>
        <w:t>1.5关注的主要环境问题及环境影响</w:t>
      </w:r>
      <w:r>
        <w:tab/>
      </w:r>
      <w:r>
        <w:fldChar w:fldCharType="begin"/>
      </w:r>
      <w:r>
        <w:instrText xml:space="preserve"> PAGEREF _Toc8359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_Toc61 </w:instrText>
      </w:r>
      <w:r>
        <w:fldChar w:fldCharType="separate"/>
      </w:r>
      <w:r>
        <w:rPr>
          <w:rFonts w:hint="eastAsia" w:ascii="Times New Roman" w:hAnsi="Times New Roman" w:eastAsia="宋体" w:cs="Times New Roman"/>
          <w:snapToGrid/>
          <w:lang w:val="en-US" w:eastAsia="zh-CN" w:bidi="ar-SA"/>
        </w:rPr>
        <w:t>1.6分析判定情况</w:t>
      </w:r>
      <w:r>
        <w:tab/>
      </w:r>
      <w:r>
        <w:fldChar w:fldCharType="begin"/>
      </w:r>
      <w:r>
        <w:instrText xml:space="preserve"> PAGEREF _Toc61 \h </w:instrText>
      </w:r>
      <w:r>
        <w:fldChar w:fldCharType="separate"/>
      </w:r>
      <w:r>
        <w:t>3</w:t>
      </w:r>
      <w:r>
        <w:fldChar w:fldCharType="end"/>
      </w:r>
      <w:r>
        <w:fldChar w:fldCharType="end"/>
      </w:r>
    </w:p>
    <w:p>
      <w:pPr>
        <w:pStyle w:val="9"/>
        <w:tabs>
          <w:tab w:val="right" w:leader="dot" w:pos="8306"/>
        </w:tabs>
      </w:pPr>
      <w:r>
        <w:fldChar w:fldCharType="begin"/>
      </w:r>
      <w:r>
        <w:instrText xml:space="preserve"> HYPERLINK \l _Toc22879 </w:instrText>
      </w:r>
      <w:r>
        <w:fldChar w:fldCharType="separate"/>
      </w:r>
      <w:r>
        <w:rPr>
          <w:rFonts w:hint="default" w:ascii="Times New Roman" w:hAnsi="Times New Roman" w:eastAsia="宋体" w:cs="Times New Roman"/>
          <w:snapToGrid/>
          <w:lang w:val="en-US" w:eastAsia="zh-CN" w:bidi="ar-SA"/>
        </w:rPr>
        <w:t>1.7.工程选址选线环境合理性分析</w:t>
      </w:r>
      <w:r>
        <w:tab/>
      </w:r>
      <w:r>
        <w:fldChar w:fldCharType="begin"/>
      </w:r>
      <w:r>
        <w:instrText xml:space="preserve"> PAGEREF _Toc22879 \h </w:instrText>
      </w:r>
      <w:r>
        <w:fldChar w:fldCharType="separate"/>
      </w:r>
      <w:r>
        <w:t>10</w:t>
      </w:r>
      <w:r>
        <w:fldChar w:fldCharType="end"/>
      </w:r>
      <w:r>
        <w:fldChar w:fldCharType="end"/>
      </w:r>
    </w:p>
    <w:p>
      <w:pPr>
        <w:pStyle w:val="9"/>
        <w:tabs>
          <w:tab w:val="right" w:leader="dot" w:pos="8306"/>
        </w:tabs>
      </w:pPr>
      <w:r>
        <w:fldChar w:fldCharType="begin"/>
      </w:r>
      <w:r>
        <w:instrText xml:space="preserve"> HYPERLINK \l _Toc18938 </w:instrText>
      </w:r>
      <w:r>
        <w:fldChar w:fldCharType="separate"/>
      </w:r>
      <w:r>
        <w:rPr>
          <w:rFonts w:hint="eastAsia" w:ascii="Times New Roman" w:hAnsi="Times New Roman" w:eastAsia="宋体" w:cs="Times New Roman"/>
          <w:snapToGrid/>
          <w:lang w:val="en-US" w:eastAsia="zh-CN" w:bidi="ar-SA"/>
        </w:rPr>
        <w:t>1.8 主要结论</w:t>
      </w:r>
      <w:r>
        <w:tab/>
      </w:r>
      <w:r>
        <w:fldChar w:fldCharType="begin"/>
      </w:r>
      <w:r>
        <w:instrText xml:space="preserve"> PAGEREF _Toc18938 \h </w:instrText>
      </w:r>
      <w:r>
        <w:fldChar w:fldCharType="separate"/>
      </w:r>
      <w:r>
        <w:t>10</w:t>
      </w:r>
      <w:r>
        <w:fldChar w:fldCharType="end"/>
      </w:r>
      <w:r>
        <w:fldChar w:fldCharType="end"/>
      </w:r>
    </w:p>
    <w:p>
      <w:pPr>
        <w:pStyle w:val="9"/>
        <w:tabs>
          <w:tab w:val="right" w:leader="dot" w:pos="8306"/>
        </w:tabs>
      </w:pPr>
      <w:r>
        <w:fldChar w:fldCharType="begin"/>
      </w:r>
      <w:r>
        <w:instrText xml:space="preserve"> HYPERLINK \l _Toc6422 </w:instrText>
      </w:r>
      <w:r>
        <w:fldChar w:fldCharType="separate"/>
      </w:r>
      <w:r>
        <w:rPr>
          <w:rFonts w:hint="eastAsia" w:ascii="Times New Roman" w:hAnsi="Times New Roman" w:eastAsia="宋体" w:cs="Times New Roman"/>
          <w:snapToGrid/>
          <w:lang w:val="en-US" w:eastAsia="zh-CN" w:bidi="ar-SA"/>
        </w:rPr>
        <w:t>2   总则</w:t>
      </w:r>
      <w:r>
        <w:tab/>
      </w:r>
      <w:r>
        <w:fldChar w:fldCharType="begin"/>
      </w:r>
      <w:r>
        <w:instrText xml:space="preserve"> PAGEREF _Toc6422 \h </w:instrText>
      </w:r>
      <w:r>
        <w:fldChar w:fldCharType="separate"/>
      </w:r>
      <w:r>
        <w:t>12</w:t>
      </w:r>
      <w:r>
        <w:fldChar w:fldCharType="end"/>
      </w:r>
      <w:r>
        <w:fldChar w:fldCharType="end"/>
      </w:r>
    </w:p>
    <w:p>
      <w:pPr>
        <w:pStyle w:val="9"/>
        <w:tabs>
          <w:tab w:val="right" w:leader="dot" w:pos="8306"/>
        </w:tabs>
      </w:pPr>
      <w:r>
        <w:fldChar w:fldCharType="begin"/>
      </w:r>
      <w:r>
        <w:instrText xml:space="preserve"> HYPERLINK \l _Toc18982 </w:instrText>
      </w:r>
      <w:r>
        <w:fldChar w:fldCharType="separate"/>
      </w:r>
      <w:r>
        <w:rPr>
          <w:rFonts w:hint="default" w:ascii="Times New Roman" w:hAnsi="Times New Roman" w:eastAsia="宋体" w:cs="Times New Roman"/>
          <w:snapToGrid/>
          <w:lang w:val="en-US" w:eastAsia="zh-CN" w:bidi="ar-SA"/>
        </w:rPr>
        <w:t>2.1编制依据</w:t>
      </w:r>
      <w:r>
        <w:tab/>
      </w:r>
      <w:r>
        <w:fldChar w:fldCharType="begin"/>
      </w:r>
      <w:r>
        <w:instrText xml:space="preserve"> PAGEREF _Toc18982 \h </w:instrText>
      </w:r>
      <w:r>
        <w:fldChar w:fldCharType="separate"/>
      </w:r>
      <w:r>
        <w:t>12</w:t>
      </w:r>
      <w:r>
        <w:fldChar w:fldCharType="end"/>
      </w:r>
      <w:r>
        <w:fldChar w:fldCharType="end"/>
      </w:r>
    </w:p>
    <w:p>
      <w:pPr>
        <w:pStyle w:val="9"/>
        <w:tabs>
          <w:tab w:val="right" w:leader="dot" w:pos="8306"/>
        </w:tabs>
      </w:pPr>
      <w:r>
        <w:fldChar w:fldCharType="begin"/>
      </w:r>
      <w:r>
        <w:instrText xml:space="preserve"> HYPERLINK \l _Toc6202 </w:instrText>
      </w:r>
      <w:r>
        <w:fldChar w:fldCharType="separate"/>
      </w:r>
      <w:r>
        <w:rPr>
          <w:rFonts w:hint="default" w:ascii="Times New Roman" w:hAnsi="Times New Roman" w:eastAsia="宋体" w:cs="Times New Roman"/>
          <w:snapToGrid/>
          <w:lang w:val="en-US" w:eastAsia="zh-CN" w:bidi="ar-SA"/>
        </w:rPr>
        <w:t>2.2评价因子与评价标准</w:t>
      </w:r>
      <w:r>
        <w:tab/>
      </w:r>
      <w:r>
        <w:fldChar w:fldCharType="begin"/>
      </w:r>
      <w:r>
        <w:instrText xml:space="preserve"> PAGEREF _Toc6202 \h </w:instrText>
      </w:r>
      <w:r>
        <w:fldChar w:fldCharType="separate"/>
      </w:r>
      <w:r>
        <w:t>15</w:t>
      </w:r>
      <w:r>
        <w:fldChar w:fldCharType="end"/>
      </w:r>
      <w:r>
        <w:fldChar w:fldCharType="end"/>
      </w:r>
    </w:p>
    <w:p>
      <w:pPr>
        <w:pStyle w:val="9"/>
        <w:tabs>
          <w:tab w:val="right" w:leader="dot" w:pos="8306"/>
        </w:tabs>
      </w:pPr>
      <w:r>
        <w:fldChar w:fldCharType="begin"/>
      </w:r>
      <w:r>
        <w:instrText xml:space="preserve"> HYPERLINK \l _Toc5350 </w:instrText>
      </w:r>
      <w:r>
        <w:fldChar w:fldCharType="separate"/>
      </w:r>
      <w:r>
        <w:rPr>
          <w:rFonts w:hint="eastAsia" w:ascii="Times New Roman" w:hAnsi="Times New Roman" w:eastAsia="宋体" w:cs="Times New Roman"/>
          <w:snapToGrid/>
          <w:lang w:val="en-US" w:eastAsia="zh-CN" w:bidi="ar-SA"/>
        </w:rPr>
        <w:t>2.3评价等级</w:t>
      </w:r>
      <w:r>
        <w:tab/>
      </w:r>
      <w:r>
        <w:fldChar w:fldCharType="begin"/>
      </w:r>
      <w:r>
        <w:instrText xml:space="preserve"> PAGEREF _Toc5350 \h </w:instrText>
      </w:r>
      <w:r>
        <w:fldChar w:fldCharType="separate"/>
      </w:r>
      <w:r>
        <w:t>17</w:t>
      </w:r>
      <w:r>
        <w:fldChar w:fldCharType="end"/>
      </w:r>
      <w:r>
        <w:fldChar w:fldCharType="end"/>
      </w:r>
    </w:p>
    <w:p>
      <w:pPr>
        <w:pStyle w:val="9"/>
        <w:tabs>
          <w:tab w:val="right" w:leader="dot" w:pos="8306"/>
        </w:tabs>
      </w:pPr>
      <w:r>
        <w:fldChar w:fldCharType="begin"/>
      </w:r>
      <w:r>
        <w:instrText xml:space="preserve"> HYPERLINK \l _Toc2588 </w:instrText>
      </w:r>
      <w:r>
        <w:fldChar w:fldCharType="separate"/>
      </w:r>
      <w:r>
        <w:rPr>
          <w:rFonts w:hint="default" w:ascii="Times New Roman" w:hAnsi="Times New Roman" w:eastAsia="宋体" w:cs="Times New Roman"/>
          <w:snapToGrid/>
          <w:lang w:val="en-US" w:eastAsia="zh-CN" w:bidi="ar-SA"/>
        </w:rPr>
        <w:t>2.4评价范围</w:t>
      </w:r>
      <w:r>
        <w:tab/>
      </w:r>
      <w:r>
        <w:fldChar w:fldCharType="begin"/>
      </w:r>
      <w:r>
        <w:instrText xml:space="preserve"> PAGEREF _Toc2588 \h </w:instrText>
      </w:r>
      <w:r>
        <w:fldChar w:fldCharType="separate"/>
      </w:r>
      <w:r>
        <w:t>19</w:t>
      </w:r>
      <w:r>
        <w:fldChar w:fldCharType="end"/>
      </w:r>
      <w:r>
        <w:fldChar w:fldCharType="end"/>
      </w:r>
    </w:p>
    <w:p>
      <w:pPr>
        <w:pStyle w:val="9"/>
        <w:tabs>
          <w:tab w:val="right" w:leader="dot" w:pos="8306"/>
        </w:tabs>
      </w:pPr>
      <w:r>
        <w:fldChar w:fldCharType="begin"/>
      </w:r>
      <w:r>
        <w:instrText xml:space="preserve"> HYPERLINK \l _Toc18683 </w:instrText>
      </w:r>
      <w:r>
        <w:fldChar w:fldCharType="separate"/>
      </w:r>
      <w:r>
        <w:rPr>
          <w:rFonts w:hint="default" w:ascii="Times New Roman" w:hAnsi="Times New Roman" w:eastAsia="宋体" w:cs="Times New Roman"/>
          <w:snapToGrid/>
          <w:lang w:val="en-US" w:eastAsia="zh-CN" w:bidi="ar-SA"/>
        </w:rPr>
        <w:t>2.</w:t>
      </w:r>
      <w:r>
        <w:rPr>
          <w:rFonts w:hint="eastAsia" w:ascii="Times New Roman" w:hAnsi="Times New Roman" w:eastAsia="宋体" w:cs="Times New Roman"/>
          <w:snapToGrid/>
          <w:lang w:val="en-US" w:eastAsia="zh-CN" w:bidi="ar-SA"/>
        </w:rPr>
        <w:t>5环境敏感目标</w:t>
      </w:r>
      <w:r>
        <w:tab/>
      </w:r>
      <w:r>
        <w:fldChar w:fldCharType="begin"/>
      </w:r>
      <w:r>
        <w:instrText xml:space="preserve"> PAGEREF _Toc18683 \h </w:instrText>
      </w:r>
      <w:r>
        <w:fldChar w:fldCharType="separate"/>
      </w:r>
      <w:r>
        <w:t>20</w:t>
      </w:r>
      <w:r>
        <w:fldChar w:fldCharType="end"/>
      </w:r>
      <w:r>
        <w:fldChar w:fldCharType="end"/>
      </w:r>
    </w:p>
    <w:p>
      <w:pPr>
        <w:pStyle w:val="9"/>
        <w:tabs>
          <w:tab w:val="right" w:leader="dot" w:pos="8306"/>
        </w:tabs>
      </w:pPr>
      <w:r>
        <w:fldChar w:fldCharType="begin"/>
      </w:r>
      <w:r>
        <w:instrText xml:space="preserve"> HYPERLINK \l _Toc20555 </w:instrText>
      </w:r>
      <w:r>
        <w:fldChar w:fldCharType="separate"/>
      </w:r>
      <w:r>
        <w:rPr>
          <w:rFonts w:hint="eastAsia" w:ascii="Times New Roman" w:hAnsi="Times New Roman" w:eastAsia="宋体" w:cs="Times New Roman"/>
          <w:snapToGrid/>
          <w:lang w:val="en-US" w:eastAsia="zh-CN" w:bidi="ar-SA"/>
        </w:rPr>
        <w:t>2.6</w:t>
      </w:r>
      <w:r>
        <w:rPr>
          <w:rFonts w:hint="default" w:ascii="Times New Roman" w:hAnsi="Times New Roman" w:eastAsia="宋体" w:cs="Times New Roman"/>
          <w:snapToGrid/>
          <w:lang w:val="en-US" w:eastAsia="zh-CN" w:bidi="ar-SA"/>
        </w:rPr>
        <w:t>评价重点</w:t>
      </w:r>
      <w:r>
        <w:tab/>
      </w:r>
      <w:r>
        <w:fldChar w:fldCharType="begin"/>
      </w:r>
      <w:r>
        <w:instrText xml:space="preserve"> PAGEREF _Toc20555 \h </w:instrText>
      </w:r>
      <w:r>
        <w:fldChar w:fldCharType="separate"/>
      </w:r>
      <w:r>
        <w:t>21</w:t>
      </w:r>
      <w:r>
        <w:fldChar w:fldCharType="end"/>
      </w:r>
      <w:r>
        <w:fldChar w:fldCharType="end"/>
      </w:r>
    </w:p>
    <w:p>
      <w:pPr>
        <w:pStyle w:val="9"/>
        <w:tabs>
          <w:tab w:val="right" w:leader="dot" w:pos="8306"/>
        </w:tabs>
      </w:pPr>
      <w:r>
        <w:fldChar w:fldCharType="begin"/>
      </w:r>
      <w:r>
        <w:instrText xml:space="preserve"> HYPERLINK \l _Toc20549 </w:instrText>
      </w:r>
      <w:r>
        <w:fldChar w:fldCharType="separate"/>
      </w:r>
      <w:r>
        <w:rPr>
          <w:rFonts w:hint="eastAsia" w:ascii="Times New Roman" w:hAnsi="Times New Roman" w:eastAsia="宋体" w:cs="Times New Roman"/>
          <w:snapToGrid/>
          <w:lang w:val="en-US" w:eastAsia="zh-CN" w:bidi="ar-SA"/>
        </w:rPr>
        <w:t>3    项目概况与分析</w:t>
      </w:r>
      <w:r>
        <w:tab/>
      </w:r>
      <w:r>
        <w:fldChar w:fldCharType="begin"/>
      </w:r>
      <w:r>
        <w:instrText xml:space="preserve"> PAGEREF _Toc20549 \h </w:instrText>
      </w:r>
      <w:r>
        <w:fldChar w:fldCharType="separate"/>
      </w:r>
      <w:r>
        <w:t>22</w:t>
      </w:r>
      <w:r>
        <w:fldChar w:fldCharType="end"/>
      </w:r>
      <w:r>
        <w:fldChar w:fldCharType="end"/>
      </w:r>
    </w:p>
    <w:p>
      <w:pPr>
        <w:pStyle w:val="9"/>
        <w:tabs>
          <w:tab w:val="right" w:leader="dot" w:pos="8306"/>
        </w:tabs>
      </w:pPr>
      <w:r>
        <w:fldChar w:fldCharType="begin"/>
      </w:r>
      <w:r>
        <w:instrText xml:space="preserve"> HYPERLINK \l _Toc10634 </w:instrText>
      </w:r>
      <w:r>
        <w:fldChar w:fldCharType="separate"/>
      </w:r>
      <w:r>
        <w:rPr>
          <w:rFonts w:hint="default" w:ascii="Times New Roman" w:hAnsi="Times New Roman" w:eastAsia="宋体" w:cs="Times New Roman"/>
          <w:snapToGrid/>
          <w:lang w:val="en-US" w:eastAsia="zh-CN" w:bidi="ar-SA"/>
        </w:rPr>
        <w:t>3.1项目概况</w:t>
      </w:r>
      <w:r>
        <w:tab/>
      </w:r>
      <w:r>
        <w:fldChar w:fldCharType="begin"/>
      </w:r>
      <w:r>
        <w:instrText xml:space="preserve"> PAGEREF _Toc10634 \h </w:instrText>
      </w:r>
      <w:r>
        <w:fldChar w:fldCharType="separate"/>
      </w:r>
      <w:r>
        <w:t>22</w:t>
      </w:r>
      <w:r>
        <w:fldChar w:fldCharType="end"/>
      </w:r>
      <w:r>
        <w:fldChar w:fldCharType="end"/>
      </w:r>
    </w:p>
    <w:p>
      <w:pPr>
        <w:pStyle w:val="9"/>
        <w:tabs>
          <w:tab w:val="right" w:leader="dot" w:pos="8306"/>
        </w:tabs>
      </w:pPr>
      <w:r>
        <w:fldChar w:fldCharType="begin"/>
      </w:r>
      <w:r>
        <w:instrText xml:space="preserve"> HYPERLINK \l _Toc340 </w:instrText>
      </w:r>
      <w:r>
        <w:fldChar w:fldCharType="separate"/>
      </w:r>
      <w:r>
        <w:rPr>
          <w:rFonts w:hint="default" w:ascii="Times New Roman" w:hAnsi="Times New Roman" w:eastAsia="宋体" w:cs="Times New Roman"/>
          <w:snapToGrid/>
          <w:lang w:val="en-US" w:eastAsia="zh-CN" w:bidi="ar-SA"/>
        </w:rPr>
        <w:t>3.2环境影响因素识别</w:t>
      </w:r>
      <w:r>
        <w:tab/>
      </w:r>
      <w:r>
        <w:fldChar w:fldCharType="begin"/>
      </w:r>
      <w:r>
        <w:instrText xml:space="preserve"> PAGEREF _Toc340 \h </w:instrText>
      </w:r>
      <w:r>
        <w:fldChar w:fldCharType="separate"/>
      </w:r>
      <w:r>
        <w:t>44</w:t>
      </w:r>
      <w:r>
        <w:fldChar w:fldCharType="end"/>
      </w:r>
      <w:r>
        <w:fldChar w:fldCharType="end"/>
      </w:r>
    </w:p>
    <w:p>
      <w:pPr>
        <w:pStyle w:val="9"/>
        <w:tabs>
          <w:tab w:val="right" w:leader="dot" w:pos="8306"/>
        </w:tabs>
      </w:pPr>
      <w:r>
        <w:fldChar w:fldCharType="begin"/>
      </w:r>
      <w:r>
        <w:instrText xml:space="preserve"> HYPERLINK \l _Toc16790 </w:instrText>
      </w:r>
      <w:r>
        <w:fldChar w:fldCharType="separate"/>
      </w:r>
      <w:r>
        <w:rPr>
          <w:rFonts w:hint="default" w:ascii="Times New Roman" w:hAnsi="Times New Roman" w:eastAsia="宋体" w:cs="Times New Roman"/>
          <w:snapToGrid/>
          <w:lang w:val="en-US" w:eastAsia="zh-CN" w:bidi="ar-SA"/>
        </w:rPr>
        <w:t>3.3生态影响途径分析</w:t>
      </w:r>
      <w:r>
        <w:tab/>
      </w:r>
      <w:r>
        <w:fldChar w:fldCharType="begin"/>
      </w:r>
      <w:r>
        <w:instrText xml:space="preserve"> PAGEREF _Toc16790 \h </w:instrText>
      </w:r>
      <w:r>
        <w:fldChar w:fldCharType="separate"/>
      </w:r>
      <w:r>
        <w:t>47</w:t>
      </w:r>
      <w:r>
        <w:fldChar w:fldCharType="end"/>
      </w:r>
      <w:r>
        <w:fldChar w:fldCharType="end"/>
      </w:r>
    </w:p>
    <w:p>
      <w:pPr>
        <w:pStyle w:val="9"/>
        <w:tabs>
          <w:tab w:val="right" w:leader="dot" w:pos="8306"/>
        </w:tabs>
      </w:pPr>
      <w:r>
        <w:fldChar w:fldCharType="begin"/>
      </w:r>
      <w:r>
        <w:instrText xml:space="preserve"> HYPERLINK \l _Toc4761 </w:instrText>
      </w:r>
      <w:r>
        <w:fldChar w:fldCharType="separate"/>
      </w:r>
      <w:r>
        <w:rPr>
          <w:rFonts w:hint="default" w:ascii="Times New Roman" w:hAnsi="Times New Roman" w:eastAsia="宋体" w:cs="Times New Roman"/>
          <w:snapToGrid/>
          <w:lang w:val="en-US" w:eastAsia="zh-CN" w:bidi="ar-SA"/>
        </w:rPr>
        <w:t>3.4    设计的环境保护设施、措施</w:t>
      </w:r>
      <w:r>
        <w:tab/>
      </w:r>
      <w:r>
        <w:fldChar w:fldCharType="begin"/>
      </w:r>
      <w:r>
        <w:instrText xml:space="preserve"> PAGEREF _Toc4761 \h </w:instrText>
      </w:r>
      <w:r>
        <w:fldChar w:fldCharType="separate"/>
      </w:r>
      <w:r>
        <w:t>48</w:t>
      </w:r>
      <w:r>
        <w:fldChar w:fldCharType="end"/>
      </w:r>
      <w:r>
        <w:fldChar w:fldCharType="end"/>
      </w:r>
    </w:p>
    <w:p>
      <w:pPr>
        <w:pStyle w:val="9"/>
        <w:tabs>
          <w:tab w:val="right" w:leader="dot" w:pos="8306"/>
        </w:tabs>
      </w:pPr>
      <w:r>
        <w:fldChar w:fldCharType="begin"/>
      </w:r>
      <w:r>
        <w:instrText xml:space="preserve"> HYPERLINK \l _Toc28711 </w:instrText>
      </w:r>
      <w:r>
        <w:fldChar w:fldCharType="separate"/>
      </w:r>
      <w:r>
        <w:rPr>
          <w:rFonts w:hint="default" w:ascii="Times New Roman" w:hAnsi="Times New Roman" w:eastAsia="宋体" w:cs="Times New Roman"/>
          <w:snapToGrid/>
          <w:lang w:val="en-US" w:eastAsia="zh-CN" w:bidi="ar-SA"/>
        </w:rPr>
        <w:t>4    环境现状调查与评价</w:t>
      </w:r>
      <w:r>
        <w:tab/>
      </w:r>
      <w:r>
        <w:fldChar w:fldCharType="begin"/>
      </w:r>
      <w:r>
        <w:instrText xml:space="preserve"> PAGEREF _Toc28711 \h </w:instrText>
      </w:r>
      <w:r>
        <w:fldChar w:fldCharType="separate"/>
      </w:r>
      <w:r>
        <w:t>50</w:t>
      </w:r>
      <w:r>
        <w:fldChar w:fldCharType="end"/>
      </w:r>
      <w:r>
        <w:fldChar w:fldCharType="end"/>
      </w:r>
    </w:p>
    <w:p>
      <w:pPr>
        <w:pStyle w:val="9"/>
        <w:tabs>
          <w:tab w:val="right" w:leader="dot" w:pos="8306"/>
        </w:tabs>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9"/>
        <w:tabs>
          <w:tab w:val="right" w:leader="dot" w:pos="8306"/>
        </w:tabs>
      </w:pPr>
      <w:r>
        <w:fldChar w:fldCharType="begin"/>
      </w:r>
      <w:r>
        <w:instrText xml:space="preserve"> HYPERLINK \l _Toc5100 </w:instrText>
      </w:r>
      <w:r>
        <w:fldChar w:fldCharType="separate"/>
      </w:r>
      <w:r>
        <w:rPr>
          <w:rFonts w:hint="default" w:ascii="Times New Roman" w:hAnsi="Times New Roman" w:eastAsia="宋体" w:cs="Times New Roman"/>
          <w:snapToGrid/>
          <w:lang w:val="en-US" w:eastAsia="zh-CN" w:bidi="ar-SA"/>
        </w:rPr>
        <w:t>4.1区域概况</w:t>
      </w:r>
      <w:r>
        <w:tab/>
      </w:r>
      <w:r>
        <w:fldChar w:fldCharType="begin"/>
      </w:r>
      <w:r>
        <w:instrText xml:space="preserve"> PAGEREF _Toc5100 \h </w:instrText>
      </w:r>
      <w:r>
        <w:fldChar w:fldCharType="separate"/>
      </w:r>
      <w:r>
        <w:t>50</w:t>
      </w:r>
      <w:r>
        <w:fldChar w:fldCharType="end"/>
      </w:r>
      <w:r>
        <w:fldChar w:fldCharType="end"/>
      </w:r>
    </w:p>
    <w:p>
      <w:pPr>
        <w:pStyle w:val="9"/>
        <w:tabs>
          <w:tab w:val="right" w:leader="dot" w:pos="8306"/>
        </w:tabs>
      </w:pPr>
      <w:r>
        <w:fldChar w:fldCharType="begin"/>
      </w:r>
      <w:r>
        <w:instrText xml:space="preserve"> HYPERLINK \l _Toc10432 </w:instrText>
      </w:r>
      <w:r>
        <w:fldChar w:fldCharType="separate"/>
      </w:r>
      <w:r>
        <w:rPr>
          <w:rFonts w:hint="default" w:ascii="Times New Roman" w:hAnsi="Times New Roman" w:eastAsia="宋体" w:cs="Times New Roman"/>
          <w:snapToGrid/>
          <w:lang w:val="en-US" w:eastAsia="zh-CN" w:bidi="ar-SA"/>
        </w:rPr>
        <w:t>4.2自然环境</w:t>
      </w:r>
      <w:r>
        <w:tab/>
      </w:r>
      <w:r>
        <w:fldChar w:fldCharType="begin"/>
      </w:r>
      <w:r>
        <w:instrText xml:space="preserve"> PAGEREF _Toc10432 \h </w:instrText>
      </w:r>
      <w:r>
        <w:fldChar w:fldCharType="separate"/>
      </w:r>
      <w:r>
        <w:t>50</w:t>
      </w:r>
      <w:r>
        <w:fldChar w:fldCharType="end"/>
      </w:r>
      <w:r>
        <w:fldChar w:fldCharType="end"/>
      </w:r>
    </w:p>
    <w:p>
      <w:pPr>
        <w:pStyle w:val="9"/>
        <w:tabs>
          <w:tab w:val="right" w:leader="dot" w:pos="8306"/>
        </w:tabs>
      </w:pPr>
      <w:r>
        <w:fldChar w:fldCharType="begin"/>
      </w:r>
      <w:r>
        <w:instrText xml:space="preserve"> HYPERLINK \l _Toc2441 </w:instrText>
      </w:r>
      <w:r>
        <w:fldChar w:fldCharType="separate"/>
      </w:r>
      <w:r>
        <w:rPr>
          <w:rFonts w:hint="default" w:ascii="Times New Roman" w:hAnsi="Times New Roman" w:eastAsia="宋体" w:cs="Times New Roman"/>
          <w:snapToGrid/>
          <w:lang w:val="en-US" w:eastAsia="zh-CN" w:bidi="ar-SA"/>
        </w:rPr>
        <w:t>4.3    电磁环境</w:t>
      </w:r>
      <w:r>
        <w:tab/>
      </w:r>
      <w:r>
        <w:fldChar w:fldCharType="begin"/>
      </w:r>
      <w:r>
        <w:instrText xml:space="preserve"> PAGEREF _Toc2441 \h </w:instrText>
      </w:r>
      <w:r>
        <w:fldChar w:fldCharType="separate"/>
      </w:r>
      <w:r>
        <w:t>56</w:t>
      </w:r>
      <w:r>
        <w:fldChar w:fldCharType="end"/>
      </w:r>
      <w:r>
        <w:fldChar w:fldCharType="end"/>
      </w:r>
    </w:p>
    <w:p>
      <w:pPr>
        <w:pStyle w:val="9"/>
        <w:tabs>
          <w:tab w:val="right" w:leader="dot" w:pos="8306"/>
        </w:tabs>
      </w:pPr>
      <w:r>
        <w:fldChar w:fldCharType="begin"/>
      </w:r>
      <w:r>
        <w:instrText xml:space="preserve"> HYPERLINK \l _Toc23472 </w:instrText>
      </w:r>
      <w:r>
        <w:fldChar w:fldCharType="separate"/>
      </w:r>
      <w:r>
        <w:rPr>
          <w:rFonts w:hint="default" w:ascii="Times New Roman" w:hAnsi="Times New Roman" w:eastAsia="宋体" w:cs="Times New Roman"/>
          <w:snapToGrid/>
          <w:lang w:val="en-US" w:eastAsia="zh-CN" w:bidi="ar-SA"/>
        </w:rPr>
        <w:t>4.4    声环境</w:t>
      </w:r>
      <w:r>
        <w:tab/>
      </w:r>
      <w:r>
        <w:fldChar w:fldCharType="begin"/>
      </w:r>
      <w:r>
        <w:instrText xml:space="preserve"> PAGEREF _Toc23472 \h </w:instrText>
      </w:r>
      <w:r>
        <w:fldChar w:fldCharType="separate"/>
      </w:r>
      <w:r>
        <w:t>63</w:t>
      </w:r>
      <w:r>
        <w:fldChar w:fldCharType="end"/>
      </w:r>
      <w:r>
        <w:fldChar w:fldCharType="end"/>
      </w:r>
    </w:p>
    <w:p>
      <w:pPr>
        <w:pStyle w:val="6"/>
        <w:tabs>
          <w:tab w:val="right" w:leader="dot" w:pos="8306"/>
        </w:tabs>
      </w:pPr>
    </w:p>
    <w:p>
      <w:pPr>
        <w:pStyle w:val="9"/>
        <w:tabs>
          <w:tab w:val="right" w:leader="dot" w:pos="8306"/>
        </w:tabs>
      </w:pPr>
      <w:r>
        <w:fldChar w:fldCharType="begin"/>
      </w:r>
      <w:r>
        <w:instrText xml:space="preserve"> HYPERLINK \l _Toc10382 </w:instrText>
      </w:r>
      <w:r>
        <w:fldChar w:fldCharType="separate"/>
      </w:r>
      <w:r>
        <w:rPr>
          <w:rFonts w:hint="default" w:ascii="Times New Roman" w:hAnsi="Times New Roman" w:eastAsia="宋体" w:cs="Times New Roman"/>
          <w:snapToGrid/>
          <w:lang w:val="en-US" w:eastAsia="zh-CN" w:bidi="ar-SA"/>
        </w:rPr>
        <w:t>4.5    生态现状评价</w:t>
      </w:r>
      <w:r>
        <w:tab/>
      </w:r>
      <w:r>
        <w:fldChar w:fldCharType="begin"/>
      </w:r>
      <w:r>
        <w:instrText xml:space="preserve"> PAGEREF _Toc10382 \h </w:instrText>
      </w:r>
      <w:r>
        <w:fldChar w:fldCharType="separate"/>
      </w:r>
      <w:r>
        <w:t>67</w:t>
      </w:r>
      <w:r>
        <w:fldChar w:fldCharType="end"/>
      </w:r>
      <w:r>
        <w:fldChar w:fldCharType="end"/>
      </w:r>
    </w:p>
    <w:p>
      <w:pPr>
        <w:pStyle w:val="9"/>
        <w:tabs>
          <w:tab w:val="right" w:leader="dot" w:pos="8306"/>
        </w:tabs>
      </w:pPr>
      <w:r>
        <w:fldChar w:fldCharType="begin"/>
      </w:r>
      <w:r>
        <w:instrText xml:space="preserve"> HYPERLINK \l _Toc31728 </w:instrText>
      </w:r>
      <w:r>
        <w:fldChar w:fldCharType="separate"/>
      </w:r>
      <w:r>
        <w:rPr>
          <w:rFonts w:hint="default" w:ascii="Times New Roman" w:hAnsi="Times New Roman" w:eastAsia="宋体" w:cs="Times New Roman"/>
          <w:snapToGrid/>
          <w:lang w:val="en-US" w:eastAsia="zh-CN" w:bidi="ar-SA"/>
        </w:rPr>
        <w:t>5 施工期环境影响评价</w:t>
      </w:r>
      <w:r>
        <w:tab/>
      </w:r>
      <w:r>
        <w:fldChar w:fldCharType="begin"/>
      </w:r>
      <w:r>
        <w:instrText xml:space="preserve"> PAGEREF _Toc31728 \h </w:instrText>
      </w:r>
      <w:r>
        <w:fldChar w:fldCharType="separate"/>
      </w:r>
      <w:r>
        <w:t>74</w:t>
      </w:r>
      <w:r>
        <w:fldChar w:fldCharType="end"/>
      </w:r>
      <w:r>
        <w:fldChar w:fldCharType="end"/>
      </w:r>
    </w:p>
    <w:p>
      <w:pPr>
        <w:pStyle w:val="9"/>
        <w:tabs>
          <w:tab w:val="right" w:leader="dot" w:pos="8306"/>
        </w:tabs>
      </w:pPr>
      <w:r>
        <w:fldChar w:fldCharType="begin"/>
      </w:r>
      <w:r>
        <w:instrText xml:space="preserve"> HYPERLINK \l _Toc12822 </w:instrText>
      </w:r>
      <w:r>
        <w:fldChar w:fldCharType="separate"/>
      </w:r>
      <w:r>
        <w:rPr>
          <w:rFonts w:hint="default" w:ascii="Times New Roman" w:hAnsi="Times New Roman" w:eastAsia="宋体" w:cs="Times New Roman"/>
          <w:snapToGrid/>
          <w:lang w:val="en-US" w:eastAsia="zh-CN" w:bidi="ar-SA"/>
        </w:rPr>
        <w:t>5.1生态影响预测与评价</w:t>
      </w:r>
      <w:r>
        <w:tab/>
      </w:r>
      <w:r>
        <w:fldChar w:fldCharType="begin"/>
      </w:r>
      <w:r>
        <w:instrText xml:space="preserve"> PAGEREF _Toc12822 \h </w:instrText>
      </w:r>
      <w:r>
        <w:fldChar w:fldCharType="separate"/>
      </w:r>
      <w:r>
        <w:t>74</w:t>
      </w:r>
      <w:r>
        <w:fldChar w:fldCharType="end"/>
      </w:r>
      <w:r>
        <w:fldChar w:fldCharType="end"/>
      </w:r>
    </w:p>
    <w:p>
      <w:pPr>
        <w:pStyle w:val="9"/>
        <w:tabs>
          <w:tab w:val="right" w:leader="dot" w:pos="8306"/>
        </w:tabs>
      </w:pPr>
      <w:r>
        <w:fldChar w:fldCharType="begin"/>
      </w:r>
      <w:r>
        <w:instrText xml:space="preserve"> HYPERLINK \l _Toc2608 </w:instrText>
      </w:r>
      <w:r>
        <w:fldChar w:fldCharType="separate"/>
      </w:r>
      <w:r>
        <w:rPr>
          <w:rFonts w:hint="eastAsia" w:ascii="Times New Roman" w:hAnsi="Times New Roman" w:eastAsia="宋体" w:cs="Times New Roman"/>
          <w:snapToGrid/>
          <w:lang w:val="en-US" w:eastAsia="zh-CN" w:bidi="ar-SA"/>
        </w:rPr>
        <w:t>5.2  声环境影响分析</w:t>
      </w:r>
      <w:r>
        <w:tab/>
      </w:r>
      <w:r>
        <w:fldChar w:fldCharType="begin"/>
      </w:r>
      <w:r>
        <w:instrText xml:space="preserve"> PAGEREF _Toc2608 \h </w:instrText>
      </w:r>
      <w:r>
        <w:fldChar w:fldCharType="separate"/>
      </w:r>
      <w:r>
        <w:t>82</w:t>
      </w:r>
      <w:r>
        <w:fldChar w:fldCharType="end"/>
      </w:r>
      <w:r>
        <w:fldChar w:fldCharType="end"/>
      </w:r>
    </w:p>
    <w:p>
      <w:pPr>
        <w:pStyle w:val="9"/>
        <w:tabs>
          <w:tab w:val="right" w:leader="dot" w:pos="8306"/>
        </w:tabs>
      </w:pPr>
      <w:r>
        <w:fldChar w:fldCharType="begin"/>
      </w:r>
      <w:r>
        <w:instrText xml:space="preserve"> HYPERLINK \l _Toc12272 </w:instrText>
      </w:r>
      <w:r>
        <w:fldChar w:fldCharType="separate"/>
      </w:r>
      <w:r>
        <w:rPr>
          <w:rFonts w:hint="eastAsia" w:ascii="Times New Roman" w:hAnsi="Times New Roman" w:eastAsia="宋体" w:cs="Times New Roman"/>
          <w:snapToGrid/>
          <w:lang w:val="en-US" w:eastAsia="zh-CN" w:bidi="ar-SA"/>
        </w:rPr>
        <w:t>5.3  施工扬尘分析</w:t>
      </w:r>
      <w:r>
        <w:tab/>
      </w:r>
      <w:r>
        <w:fldChar w:fldCharType="begin"/>
      </w:r>
      <w:r>
        <w:instrText xml:space="preserve"> PAGEREF _Toc12272 \h </w:instrText>
      </w:r>
      <w:r>
        <w:fldChar w:fldCharType="separate"/>
      </w:r>
      <w:r>
        <w:t>84</w:t>
      </w:r>
      <w:r>
        <w:fldChar w:fldCharType="end"/>
      </w:r>
      <w:r>
        <w:fldChar w:fldCharType="end"/>
      </w:r>
    </w:p>
    <w:p>
      <w:pPr>
        <w:pStyle w:val="9"/>
        <w:tabs>
          <w:tab w:val="right" w:leader="dot" w:pos="8306"/>
        </w:tabs>
      </w:pPr>
      <w:r>
        <w:fldChar w:fldCharType="begin"/>
      </w:r>
      <w:r>
        <w:instrText xml:space="preserve"> HYPERLINK \l _Toc7034 </w:instrText>
      </w:r>
      <w:r>
        <w:fldChar w:fldCharType="separate"/>
      </w:r>
      <w:r>
        <w:rPr>
          <w:rFonts w:hint="eastAsia" w:ascii="Times New Roman" w:hAnsi="Times New Roman" w:eastAsia="宋体" w:cs="Times New Roman"/>
          <w:snapToGrid/>
          <w:lang w:val="en-US" w:eastAsia="zh-CN" w:bidi="ar-SA"/>
        </w:rPr>
        <w:t>5.4    固体废物环境影响分析</w:t>
      </w:r>
      <w:r>
        <w:tab/>
      </w:r>
      <w:r>
        <w:fldChar w:fldCharType="begin"/>
      </w:r>
      <w:r>
        <w:instrText xml:space="preserve"> PAGEREF _Toc7034 \h </w:instrText>
      </w:r>
      <w:r>
        <w:fldChar w:fldCharType="separate"/>
      </w:r>
      <w:r>
        <w:t>86</w:t>
      </w:r>
      <w:r>
        <w:fldChar w:fldCharType="end"/>
      </w:r>
      <w:r>
        <w:fldChar w:fldCharType="end"/>
      </w:r>
    </w:p>
    <w:p>
      <w:pPr>
        <w:pStyle w:val="9"/>
        <w:tabs>
          <w:tab w:val="right" w:leader="dot" w:pos="8306"/>
        </w:tabs>
      </w:pPr>
      <w:r>
        <w:fldChar w:fldCharType="begin"/>
      </w:r>
      <w:r>
        <w:instrText xml:space="preserve"> HYPERLINK \l _Toc19888 </w:instrText>
      </w:r>
      <w:r>
        <w:fldChar w:fldCharType="separate"/>
      </w:r>
      <w:r>
        <w:rPr>
          <w:rFonts w:hint="eastAsia" w:ascii="Times New Roman" w:hAnsi="Times New Roman" w:eastAsia="宋体" w:cs="Times New Roman"/>
          <w:snapToGrid/>
          <w:lang w:val="en-US" w:eastAsia="zh-CN" w:bidi="ar-SA"/>
        </w:rPr>
        <w:t>5.5    地表水环境影响分析</w:t>
      </w:r>
      <w:r>
        <w:tab/>
      </w:r>
      <w:r>
        <w:fldChar w:fldCharType="begin"/>
      </w:r>
      <w:r>
        <w:instrText xml:space="preserve"> PAGEREF _Toc19888 \h </w:instrText>
      </w:r>
      <w:r>
        <w:fldChar w:fldCharType="separate"/>
      </w:r>
      <w:r>
        <w:t>86</w:t>
      </w:r>
      <w:r>
        <w:fldChar w:fldCharType="end"/>
      </w:r>
      <w:r>
        <w:fldChar w:fldCharType="end"/>
      </w:r>
    </w:p>
    <w:p>
      <w:pPr>
        <w:pStyle w:val="9"/>
        <w:tabs>
          <w:tab w:val="right" w:leader="dot" w:pos="8306"/>
        </w:tabs>
      </w:pPr>
      <w:r>
        <w:fldChar w:fldCharType="begin"/>
      </w:r>
      <w:r>
        <w:instrText xml:space="preserve"> HYPERLINK \l _Toc30462 </w:instrText>
      </w:r>
      <w:r>
        <w:fldChar w:fldCharType="separate"/>
      </w:r>
      <w:r>
        <w:rPr>
          <w:rFonts w:hint="eastAsia" w:ascii="Times New Roman" w:hAnsi="Times New Roman" w:eastAsia="宋体" w:cs="Times New Roman"/>
          <w:snapToGrid/>
          <w:lang w:val="en-US" w:eastAsia="zh-CN" w:bidi="ar-SA"/>
        </w:rPr>
        <w:t>6    运行期环境影响评价</w:t>
      </w:r>
      <w:r>
        <w:tab/>
      </w:r>
      <w:r>
        <w:fldChar w:fldCharType="begin"/>
      </w:r>
      <w:r>
        <w:instrText xml:space="preserve"> PAGEREF _Toc30462 \h </w:instrText>
      </w:r>
      <w:r>
        <w:fldChar w:fldCharType="separate"/>
      </w:r>
      <w:r>
        <w:t>88</w:t>
      </w:r>
      <w:r>
        <w:fldChar w:fldCharType="end"/>
      </w:r>
      <w:r>
        <w:fldChar w:fldCharType="end"/>
      </w:r>
    </w:p>
    <w:p>
      <w:pPr>
        <w:pStyle w:val="9"/>
        <w:tabs>
          <w:tab w:val="right" w:leader="dot" w:pos="8306"/>
        </w:tabs>
      </w:pPr>
      <w:r>
        <w:fldChar w:fldCharType="begin"/>
      </w:r>
      <w:r>
        <w:instrText xml:space="preserve"> HYPERLINK \l _Toc8177 </w:instrText>
      </w:r>
      <w:r>
        <w:fldChar w:fldCharType="separate"/>
      </w:r>
      <w:r>
        <w:rPr>
          <w:rFonts w:hint="eastAsia" w:ascii="Times New Roman" w:hAnsi="Times New Roman" w:eastAsia="宋体" w:cs="Times New Roman"/>
          <w:snapToGrid/>
          <w:lang w:val="en-US" w:eastAsia="zh-CN" w:bidi="ar-SA"/>
        </w:rPr>
        <w:t>6.1    电磁环境影响预测与评价</w:t>
      </w:r>
      <w:r>
        <w:tab/>
      </w:r>
      <w:r>
        <w:fldChar w:fldCharType="begin"/>
      </w:r>
      <w:r>
        <w:instrText xml:space="preserve"> PAGEREF _Toc8177 \h </w:instrText>
      </w:r>
      <w:r>
        <w:fldChar w:fldCharType="separate"/>
      </w:r>
      <w:r>
        <w:t>88</w:t>
      </w:r>
      <w:r>
        <w:fldChar w:fldCharType="end"/>
      </w:r>
      <w:r>
        <w:fldChar w:fldCharType="end"/>
      </w:r>
    </w:p>
    <w:p>
      <w:pPr>
        <w:pStyle w:val="9"/>
        <w:tabs>
          <w:tab w:val="right" w:leader="dot" w:pos="8306"/>
        </w:tabs>
      </w:pPr>
      <w:r>
        <w:fldChar w:fldCharType="begin"/>
      </w:r>
      <w:r>
        <w:instrText xml:space="preserve"> HYPERLINK \l _Toc15489 </w:instrText>
      </w:r>
      <w:r>
        <w:fldChar w:fldCharType="separate"/>
      </w:r>
      <w:r>
        <w:rPr>
          <w:rFonts w:hint="eastAsia" w:ascii="Times New Roman" w:hAnsi="Times New Roman" w:eastAsia="宋体" w:cs="Times New Roman"/>
          <w:snapToGrid/>
          <w:lang w:val="en-US" w:eastAsia="zh-CN" w:bidi="ar-SA"/>
        </w:rPr>
        <w:t>6.2    声环境影响预测与评价</w:t>
      </w:r>
      <w:r>
        <w:tab/>
      </w:r>
      <w:r>
        <w:fldChar w:fldCharType="begin"/>
      </w:r>
      <w:r>
        <w:instrText xml:space="preserve"> PAGEREF _Toc15489 \h </w:instrText>
      </w:r>
      <w:r>
        <w:fldChar w:fldCharType="separate"/>
      </w:r>
      <w:r>
        <w:t>104</w:t>
      </w:r>
      <w:r>
        <w:fldChar w:fldCharType="end"/>
      </w:r>
      <w:r>
        <w:fldChar w:fldCharType="end"/>
      </w:r>
    </w:p>
    <w:p>
      <w:pPr>
        <w:pStyle w:val="9"/>
        <w:tabs>
          <w:tab w:val="right" w:leader="dot" w:pos="8306"/>
        </w:tabs>
      </w:pPr>
      <w:r>
        <w:fldChar w:fldCharType="begin"/>
      </w:r>
      <w:r>
        <w:instrText xml:space="preserve"> HYPERLINK \l _Toc27719 </w:instrText>
      </w:r>
      <w:r>
        <w:fldChar w:fldCharType="separate"/>
      </w:r>
      <w:r>
        <w:rPr>
          <w:rFonts w:hint="eastAsia" w:ascii="Times New Roman" w:hAnsi="Times New Roman" w:eastAsia="宋体" w:cs="Times New Roman"/>
          <w:snapToGrid/>
          <w:lang w:val="en-US" w:eastAsia="zh-CN" w:bidi="ar-SA"/>
        </w:rPr>
        <w:t>6.3 地表水环境影响分析</w:t>
      </w:r>
      <w:r>
        <w:tab/>
      </w:r>
      <w:r>
        <w:fldChar w:fldCharType="begin"/>
      </w:r>
      <w:r>
        <w:instrText xml:space="preserve"> PAGEREF _Toc27719 \h </w:instrText>
      </w:r>
      <w:r>
        <w:fldChar w:fldCharType="separate"/>
      </w:r>
      <w:r>
        <w:t>110</w:t>
      </w:r>
      <w:r>
        <w:fldChar w:fldCharType="end"/>
      </w:r>
      <w:r>
        <w:fldChar w:fldCharType="end"/>
      </w:r>
    </w:p>
    <w:p>
      <w:pPr>
        <w:pStyle w:val="9"/>
        <w:tabs>
          <w:tab w:val="right" w:leader="dot" w:pos="8306"/>
        </w:tabs>
      </w:pPr>
      <w:r>
        <w:fldChar w:fldCharType="begin"/>
      </w:r>
      <w:r>
        <w:instrText xml:space="preserve"> HYPERLINK \l _Toc16657 </w:instrText>
      </w:r>
      <w:r>
        <w:fldChar w:fldCharType="separate"/>
      </w:r>
      <w:r>
        <w:rPr>
          <w:rFonts w:hint="eastAsia" w:ascii="Times New Roman" w:hAnsi="Times New Roman" w:eastAsia="宋体" w:cs="Times New Roman"/>
          <w:snapToGrid/>
          <w:lang w:val="en-US" w:eastAsia="zh-CN" w:bidi="ar-SA"/>
        </w:rPr>
        <w:t>6.4 固体废物环境影响分析</w:t>
      </w:r>
      <w:r>
        <w:tab/>
      </w:r>
      <w:r>
        <w:fldChar w:fldCharType="begin"/>
      </w:r>
      <w:r>
        <w:instrText xml:space="preserve"> PAGEREF _Toc16657 \h </w:instrText>
      </w:r>
      <w:r>
        <w:fldChar w:fldCharType="separate"/>
      </w:r>
      <w:r>
        <w:t>110</w:t>
      </w:r>
      <w:r>
        <w:fldChar w:fldCharType="end"/>
      </w:r>
      <w:r>
        <w:fldChar w:fldCharType="end"/>
      </w:r>
    </w:p>
    <w:p>
      <w:pPr>
        <w:pStyle w:val="9"/>
        <w:tabs>
          <w:tab w:val="right" w:leader="dot" w:pos="8306"/>
        </w:tabs>
      </w:pPr>
      <w:r>
        <w:fldChar w:fldCharType="begin"/>
      </w:r>
      <w:r>
        <w:instrText xml:space="preserve"> HYPERLINK \l _Toc20367 </w:instrText>
      </w:r>
      <w:r>
        <w:fldChar w:fldCharType="separate"/>
      </w:r>
      <w:r>
        <w:rPr>
          <w:rFonts w:hint="eastAsia" w:ascii="Times New Roman" w:hAnsi="Times New Roman" w:eastAsia="宋体" w:cs="Times New Roman"/>
          <w:snapToGrid/>
          <w:lang w:val="en-US" w:eastAsia="zh-CN" w:bidi="ar-SA"/>
        </w:rPr>
        <w:t>7 环境保护设施、措施分析与论证</w:t>
      </w:r>
      <w:r>
        <w:tab/>
      </w:r>
      <w:r>
        <w:fldChar w:fldCharType="begin"/>
      </w:r>
      <w:r>
        <w:instrText xml:space="preserve"> PAGEREF _Toc20367 \h </w:instrText>
      </w:r>
      <w:r>
        <w:fldChar w:fldCharType="separate"/>
      </w:r>
      <w:r>
        <w:t>113</w:t>
      </w:r>
      <w:r>
        <w:fldChar w:fldCharType="end"/>
      </w:r>
      <w:r>
        <w:fldChar w:fldCharType="end"/>
      </w:r>
    </w:p>
    <w:p>
      <w:pPr>
        <w:pStyle w:val="9"/>
        <w:tabs>
          <w:tab w:val="right" w:leader="dot" w:pos="8306"/>
        </w:tabs>
      </w:pPr>
      <w:r>
        <w:fldChar w:fldCharType="begin"/>
      </w:r>
      <w:r>
        <w:instrText xml:space="preserve"> HYPERLINK \l _Toc4597 </w:instrText>
      </w:r>
      <w:r>
        <w:fldChar w:fldCharType="separate"/>
      </w:r>
      <w:r>
        <w:rPr>
          <w:rFonts w:hint="eastAsia" w:ascii="Times New Roman" w:hAnsi="Times New Roman" w:eastAsia="宋体" w:cs="Times New Roman"/>
          <w:snapToGrid/>
          <w:lang w:val="en-US" w:eastAsia="zh-CN" w:bidi="ar-SA"/>
        </w:rPr>
        <w:t>7.1    环境保护设施、措施</w:t>
      </w:r>
      <w:r>
        <w:tab/>
      </w:r>
      <w:r>
        <w:fldChar w:fldCharType="begin"/>
      </w:r>
      <w:r>
        <w:instrText xml:space="preserve"> PAGEREF _Toc4597 \h </w:instrText>
      </w:r>
      <w:r>
        <w:fldChar w:fldCharType="separate"/>
      </w:r>
      <w:r>
        <w:t>113</w:t>
      </w:r>
      <w:r>
        <w:fldChar w:fldCharType="end"/>
      </w:r>
      <w:r>
        <w:fldChar w:fldCharType="end"/>
      </w:r>
    </w:p>
    <w:p>
      <w:pPr>
        <w:pStyle w:val="9"/>
        <w:tabs>
          <w:tab w:val="right" w:leader="dot" w:pos="8306"/>
        </w:tabs>
      </w:pPr>
      <w:r>
        <w:fldChar w:fldCharType="begin"/>
      </w:r>
      <w:r>
        <w:instrText xml:space="preserve"> HYPERLINK \l _Toc17549 </w:instrText>
      </w:r>
      <w:r>
        <w:fldChar w:fldCharType="separate"/>
      </w:r>
      <w:r>
        <w:rPr>
          <w:rFonts w:hint="eastAsia" w:ascii="Times New Roman" w:hAnsi="Times New Roman" w:eastAsia="宋体" w:cs="Times New Roman"/>
          <w:snapToGrid/>
          <w:lang w:val="en-US" w:eastAsia="zh-CN" w:bidi="ar-SA"/>
        </w:rPr>
        <w:t>7.2    环境保护设施、措施分析论证</w:t>
      </w:r>
      <w:r>
        <w:tab/>
      </w:r>
      <w:r>
        <w:fldChar w:fldCharType="begin"/>
      </w:r>
      <w:r>
        <w:instrText xml:space="preserve"> PAGEREF _Toc17549 \h </w:instrText>
      </w:r>
      <w:r>
        <w:fldChar w:fldCharType="separate"/>
      </w:r>
      <w:r>
        <w:t>119</w:t>
      </w:r>
      <w:r>
        <w:fldChar w:fldCharType="end"/>
      </w:r>
      <w:r>
        <w:fldChar w:fldCharType="end"/>
      </w:r>
    </w:p>
    <w:p>
      <w:pPr>
        <w:pStyle w:val="9"/>
        <w:tabs>
          <w:tab w:val="right" w:leader="dot" w:pos="8306"/>
        </w:tabs>
      </w:pPr>
      <w:r>
        <w:fldChar w:fldCharType="begin"/>
      </w:r>
      <w:r>
        <w:instrText xml:space="preserve"> HYPERLINK \l _Toc130 </w:instrText>
      </w:r>
      <w:r>
        <w:fldChar w:fldCharType="separate"/>
      </w:r>
      <w:r>
        <w:rPr>
          <w:rFonts w:hint="eastAsia" w:ascii="Times New Roman" w:hAnsi="Times New Roman" w:eastAsia="宋体" w:cs="Times New Roman"/>
          <w:snapToGrid/>
          <w:lang w:val="en-US" w:eastAsia="zh-CN" w:bidi="ar-SA"/>
        </w:rPr>
        <w:t>7.3    环境保护设施、措施投资估算</w:t>
      </w:r>
      <w:r>
        <w:tab/>
      </w:r>
      <w:r>
        <w:fldChar w:fldCharType="begin"/>
      </w:r>
      <w:r>
        <w:instrText xml:space="preserve"> PAGEREF _Toc130 \h </w:instrText>
      </w:r>
      <w:r>
        <w:fldChar w:fldCharType="separate"/>
      </w:r>
      <w:r>
        <w:t>119</w:t>
      </w:r>
      <w:r>
        <w:fldChar w:fldCharType="end"/>
      </w:r>
      <w:r>
        <w:fldChar w:fldCharType="end"/>
      </w:r>
    </w:p>
    <w:p>
      <w:pPr>
        <w:pStyle w:val="9"/>
        <w:tabs>
          <w:tab w:val="right" w:leader="dot" w:pos="8306"/>
        </w:tabs>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9"/>
        <w:tabs>
          <w:tab w:val="right" w:leader="dot" w:pos="8306"/>
        </w:tabs>
      </w:pPr>
      <w:r>
        <w:fldChar w:fldCharType="begin"/>
      </w:r>
      <w:r>
        <w:instrText xml:space="preserve"> HYPERLINK \l _Toc9157 </w:instrText>
      </w:r>
      <w:r>
        <w:fldChar w:fldCharType="separate"/>
      </w:r>
      <w:r>
        <w:rPr>
          <w:rFonts w:hint="eastAsia" w:ascii="Times New Roman" w:hAnsi="Times New Roman" w:eastAsia="宋体" w:cs="Times New Roman"/>
          <w:snapToGrid/>
          <w:lang w:val="en-US" w:eastAsia="zh-CN" w:bidi="ar-SA"/>
        </w:rPr>
        <w:t>8    环境管理与监测计划</w:t>
      </w:r>
      <w:r>
        <w:tab/>
      </w:r>
      <w:r>
        <w:fldChar w:fldCharType="begin"/>
      </w:r>
      <w:r>
        <w:instrText xml:space="preserve"> PAGEREF _Toc9157 \h </w:instrText>
      </w:r>
      <w:r>
        <w:fldChar w:fldCharType="separate"/>
      </w:r>
      <w:r>
        <w:t>121</w:t>
      </w:r>
      <w:r>
        <w:fldChar w:fldCharType="end"/>
      </w:r>
      <w:r>
        <w:fldChar w:fldCharType="end"/>
      </w:r>
    </w:p>
    <w:p>
      <w:pPr>
        <w:pStyle w:val="9"/>
        <w:tabs>
          <w:tab w:val="right" w:leader="dot" w:pos="8306"/>
        </w:tabs>
      </w:pPr>
      <w:r>
        <w:fldChar w:fldCharType="begin"/>
      </w:r>
      <w:r>
        <w:instrText xml:space="preserve"> HYPERLINK \l _Toc23499 </w:instrText>
      </w:r>
      <w:r>
        <w:fldChar w:fldCharType="separate"/>
      </w:r>
      <w:r>
        <w:rPr>
          <w:rFonts w:hint="eastAsia" w:ascii="Times New Roman" w:hAnsi="Times New Roman" w:eastAsia="宋体" w:cs="Times New Roman"/>
          <w:snapToGrid/>
          <w:lang w:val="en-US" w:eastAsia="zh-CN" w:bidi="ar-SA"/>
        </w:rPr>
        <w:t>8.1    环境管理</w:t>
      </w:r>
      <w:r>
        <w:tab/>
      </w:r>
      <w:r>
        <w:fldChar w:fldCharType="begin"/>
      </w:r>
      <w:r>
        <w:instrText xml:space="preserve"> PAGEREF _Toc23499 \h </w:instrText>
      </w:r>
      <w:r>
        <w:fldChar w:fldCharType="separate"/>
      </w:r>
      <w:r>
        <w:t>121</w:t>
      </w:r>
      <w:r>
        <w:fldChar w:fldCharType="end"/>
      </w:r>
      <w:r>
        <w:fldChar w:fldCharType="end"/>
      </w:r>
    </w:p>
    <w:p>
      <w:pPr>
        <w:pStyle w:val="9"/>
        <w:tabs>
          <w:tab w:val="right" w:leader="dot" w:pos="8306"/>
        </w:tabs>
      </w:pPr>
      <w:r>
        <w:fldChar w:fldCharType="begin"/>
      </w:r>
      <w:r>
        <w:instrText xml:space="preserve"> HYPERLINK \l _Toc6328 </w:instrText>
      </w:r>
      <w:r>
        <w:fldChar w:fldCharType="separate"/>
      </w:r>
      <w:r>
        <w:rPr>
          <w:rFonts w:hint="eastAsia" w:ascii="Times New Roman" w:hAnsi="Times New Roman" w:eastAsia="宋体" w:cs="Times New Roman"/>
          <w:snapToGrid/>
          <w:lang w:val="en-US" w:eastAsia="zh-CN" w:bidi="ar-SA"/>
        </w:rPr>
        <w:t>8.2    环境监测</w:t>
      </w:r>
      <w:r>
        <w:tab/>
      </w:r>
      <w:r>
        <w:fldChar w:fldCharType="begin"/>
      </w:r>
      <w:r>
        <w:instrText xml:space="preserve"> PAGEREF _Toc6328 \h </w:instrText>
      </w:r>
      <w:r>
        <w:fldChar w:fldCharType="separate"/>
      </w:r>
      <w:r>
        <w:t>123</w:t>
      </w:r>
      <w:r>
        <w:fldChar w:fldCharType="end"/>
      </w:r>
      <w:r>
        <w:fldChar w:fldCharType="end"/>
      </w:r>
    </w:p>
    <w:p>
      <w:pPr>
        <w:pStyle w:val="9"/>
        <w:tabs>
          <w:tab w:val="right" w:leader="dot" w:pos="8306"/>
        </w:tabs>
      </w:pPr>
      <w:r>
        <w:fldChar w:fldCharType="begin"/>
      </w:r>
      <w:r>
        <w:instrText xml:space="preserve"> HYPERLINK \l _Toc5025 </w:instrText>
      </w:r>
      <w:r>
        <w:fldChar w:fldCharType="separate"/>
      </w:r>
      <w:r>
        <w:rPr>
          <w:rFonts w:hint="eastAsia" w:ascii="Times New Roman" w:hAnsi="Times New Roman" w:eastAsia="宋体" w:cs="Times New Roman"/>
          <w:snapToGrid/>
          <w:lang w:val="en-US" w:eastAsia="zh-CN" w:bidi="ar-SA"/>
        </w:rPr>
        <w:t>9    评价结论</w:t>
      </w:r>
      <w:r>
        <w:tab/>
      </w:r>
      <w:r>
        <w:fldChar w:fldCharType="begin"/>
      </w:r>
      <w:r>
        <w:instrText xml:space="preserve"> PAGEREF _Toc5025 \h </w:instrText>
      </w:r>
      <w:r>
        <w:fldChar w:fldCharType="separate"/>
      </w:r>
      <w:r>
        <w:t>124</w:t>
      </w:r>
      <w:r>
        <w:fldChar w:fldCharType="end"/>
      </w:r>
      <w:r>
        <w:fldChar w:fldCharType="end"/>
      </w:r>
    </w:p>
    <w:p>
      <w:pPr>
        <w:pStyle w:val="9"/>
        <w:tabs>
          <w:tab w:val="right" w:leader="dot" w:pos="8306"/>
        </w:tabs>
      </w:pPr>
      <w:r>
        <w:fldChar w:fldCharType="begin"/>
      </w:r>
      <w:r>
        <w:instrText xml:space="preserve"> HYPERLINK \l _Toc11211 </w:instrText>
      </w:r>
      <w:r>
        <w:fldChar w:fldCharType="separate"/>
      </w:r>
      <w:r>
        <w:rPr>
          <w:rFonts w:hint="eastAsia" w:ascii="Times New Roman" w:hAnsi="Times New Roman" w:eastAsia="宋体" w:cs="Times New Roman"/>
          <w:snapToGrid/>
          <w:lang w:val="en-US" w:eastAsia="zh-CN" w:bidi="ar-SA"/>
        </w:rPr>
        <w:t>9.1    工程概况</w:t>
      </w:r>
      <w:r>
        <w:tab/>
      </w:r>
      <w:r>
        <w:fldChar w:fldCharType="begin"/>
      </w:r>
      <w:r>
        <w:instrText xml:space="preserve"> PAGEREF _Toc11211 \h </w:instrText>
      </w:r>
      <w:r>
        <w:fldChar w:fldCharType="separate"/>
      </w:r>
      <w:r>
        <w:t>124</w:t>
      </w:r>
      <w:r>
        <w:fldChar w:fldCharType="end"/>
      </w:r>
      <w:r>
        <w:fldChar w:fldCharType="end"/>
      </w:r>
    </w:p>
    <w:p>
      <w:pPr>
        <w:pStyle w:val="9"/>
        <w:tabs>
          <w:tab w:val="right" w:leader="dot" w:pos="8306"/>
        </w:tabs>
      </w:pPr>
      <w:r>
        <w:fldChar w:fldCharType="begin"/>
      </w:r>
      <w:r>
        <w:instrText xml:space="preserve"> HYPERLINK \l _Toc11984 </w:instrText>
      </w:r>
      <w:r>
        <w:fldChar w:fldCharType="separate"/>
      </w:r>
      <w:r>
        <w:rPr>
          <w:rFonts w:hint="default" w:ascii="Times New Roman" w:hAnsi="Times New Roman" w:eastAsia="宋体" w:cs="Times New Roman"/>
          <w:snapToGrid/>
          <w:lang w:val="en-US" w:eastAsia="zh-CN" w:bidi="ar-SA"/>
        </w:rPr>
        <w:t>9.2    环境现状与主要生态问题</w:t>
      </w:r>
      <w:r>
        <w:tab/>
      </w:r>
      <w:r>
        <w:fldChar w:fldCharType="begin"/>
      </w:r>
      <w:r>
        <w:instrText xml:space="preserve"> PAGEREF _Toc11984 \h </w:instrText>
      </w:r>
      <w:r>
        <w:fldChar w:fldCharType="separate"/>
      </w:r>
      <w:r>
        <w:t>125</w:t>
      </w:r>
      <w:r>
        <w:fldChar w:fldCharType="end"/>
      </w:r>
      <w:r>
        <w:fldChar w:fldCharType="end"/>
      </w:r>
    </w:p>
    <w:p>
      <w:pPr>
        <w:pStyle w:val="9"/>
        <w:tabs>
          <w:tab w:val="right" w:leader="dot" w:pos="8306"/>
        </w:tabs>
      </w:pPr>
      <w:r>
        <w:fldChar w:fldCharType="begin"/>
      </w:r>
      <w:r>
        <w:instrText xml:space="preserve"> HYPERLINK \l _Toc20643 </w:instrText>
      </w:r>
      <w:r>
        <w:fldChar w:fldCharType="separate"/>
      </w:r>
      <w:r>
        <w:rPr>
          <w:rFonts w:hint="default" w:ascii="Times New Roman" w:hAnsi="Times New Roman" w:eastAsia="宋体" w:cs="Times New Roman"/>
          <w:snapToGrid/>
          <w:lang w:val="en-US" w:eastAsia="zh-CN" w:bidi="ar-SA"/>
        </w:rPr>
        <w:t>9.3    环境影响预测与评价结论</w:t>
      </w:r>
      <w:r>
        <w:tab/>
      </w:r>
      <w:r>
        <w:fldChar w:fldCharType="begin"/>
      </w:r>
      <w:r>
        <w:instrText xml:space="preserve"> PAGEREF _Toc20643 \h </w:instrText>
      </w:r>
      <w:r>
        <w:fldChar w:fldCharType="separate"/>
      </w:r>
      <w:r>
        <w:t>126</w:t>
      </w:r>
      <w:r>
        <w:fldChar w:fldCharType="end"/>
      </w:r>
      <w:r>
        <w:fldChar w:fldCharType="end"/>
      </w:r>
    </w:p>
    <w:p>
      <w:pPr>
        <w:pStyle w:val="9"/>
        <w:tabs>
          <w:tab w:val="right" w:leader="dot" w:pos="8306"/>
        </w:tabs>
      </w:pPr>
      <w:r>
        <w:fldChar w:fldCharType="begin"/>
      </w:r>
      <w:r>
        <w:instrText xml:space="preserve"> HYPERLINK \l _Toc564 </w:instrText>
      </w:r>
      <w:r>
        <w:fldChar w:fldCharType="separate"/>
      </w:r>
      <w:r>
        <w:rPr>
          <w:rFonts w:hint="default" w:ascii="Times New Roman" w:hAnsi="Times New Roman" w:eastAsia="宋体" w:cs="Times New Roman"/>
          <w:snapToGrid/>
          <w:lang w:val="en-US" w:eastAsia="zh-CN" w:bidi="ar-SA"/>
        </w:rPr>
        <w:t>9.4    选址选线的环境合理性</w:t>
      </w:r>
      <w:r>
        <w:tab/>
      </w:r>
      <w:r>
        <w:fldChar w:fldCharType="begin"/>
      </w:r>
      <w:r>
        <w:instrText xml:space="preserve"> PAGEREF _Toc564 \h </w:instrText>
      </w:r>
      <w:r>
        <w:fldChar w:fldCharType="separate"/>
      </w:r>
      <w:r>
        <w:t>128</w:t>
      </w:r>
      <w:r>
        <w:fldChar w:fldCharType="end"/>
      </w:r>
      <w:r>
        <w:fldChar w:fldCharType="end"/>
      </w:r>
    </w:p>
    <w:p>
      <w:pPr>
        <w:pStyle w:val="9"/>
        <w:tabs>
          <w:tab w:val="right" w:leader="dot" w:pos="8306"/>
        </w:tabs>
      </w:pPr>
      <w:r>
        <w:fldChar w:fldCharType="begin"/>
      </w:r>
      <w:r>
        <w:instrText xml:space="preserve"> HYPERLINK \l _Toc8533 </w:instrText>
      </w:r>
      <w:r>
        <w:fldChar w:fldCharType="separate"/>
      </w:r>
      <w:r>
        <w:rPr>
          <w:rFonts w:hint="default" w:ascii="Times New Roman" w:hAnsi="Times New Roman" w:eastAsia="宋体" w:cs="Times New Roman"/>
          <w:snapToGrid/>
          <w:lang w:val="en-US" w:eastAsia="zh-CN" w:bidi="ar-SA"/>
        </w:rPr>
        <w:t>9.5    环境保护设施、措施</w:t>
      </w:r>
      <w:r>
        <w:tab/>
      </w:r>
      <w:r>
        <w:fldChar w:fldCharType="begin"/>
      </w:r>
      <w:r>
        <w:instrText xml:space="preserve"> PAGEREF _Toc8533 \h </w:instrText>
      </w:r>
      <w:r>
        <w:fldChar w:fldCharType="separate"/>
      </w:r>
      <w:r>
        <w:t>128</w:t>
      </w:r>
      <w:r>
        <w:fldChar w:fldCharType="end"/>
      </w:r>
      <w:r>
        <w:fldChar w:fldCharType="end"/>
      </w:r>
    </w:p>
    <w:p>
      <w:r>
        <w:fldChar w:fldCharType="end"/>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286" w:name="_GoBack"/>
      <w:bookmarkEnd w:id="286"/>
      <w:bookmarkStart w:id="0" w:name="_Toc23763"/>
      <w:bookmarkStart w:id="1" w:name="_Toc11886"/>
      <w:bookmarkStart w:id="2" w:name="_Toc30581"/>
      <w:bookmarkStart w:id="3" w:name="_Toc4260"/>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r>
        <w:rPr>
          <w:rFonts w:hint="eastAsia" w:ascii="Times New Roman" w:hAnsi="Times New Roman" w:eastAsia="宋体" w:cs="Times New Roman"/>
          <w:snapToGrid/>
          <w:sz w:val="32"/>
          <w:lang w:val="en-US" w:eastAsia="zh-CN" w:bidi="ar-SA"/>
        </w:rPr>
        <w:t>1前言</w:t>
      </w:r>
      <w:bookmarkEnd w:id="0"/>
      <w:bookmarkEnd w:id="1"/>
      <w:bookmarkEnd w:id="2"/>
      <w:bookmarkEnd w:id="3"/>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4" w:name="_Toc26249"/>
      <w:bookmarkStart w:id="5" w:name="_Toc3211"/>
      <w:r>
        <w:rPr>
          <w:rFonts w:hint="eastAsia" w:ascii="Times New Roman" w:hAnsi="Times New Roman" w:eastAsia="宋体" w:cs="Times New Roman"/>
          <w:snapToGrid/>
          <w:sz w:val="32"/>
          <w:lang w:val="en-US" w:eastAsia="zh-CN" w:bidi="ar-SA"/>
        </w:rPr>
        <w:t>1.1 项目由来及建设必要性</w:t>
      </w:r>
      <w:bookmarkEnd w:id="4"/>
      <w:bookmarkEnd w:id="5"/>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2020年9月22日，习近平主席在第七十五届联合国大会一般性辩论上发表重要讲话中明确，应对气候变化《巴黎协定》代表了全球绿色低碳转型的大方向，中国将提高国家自主贡献力度，采取更加有力的政策和措施，二氧化碳排放力争于2030年前达到峰值，努力争取2060年前实现碳中和。随着国家可再生能源电力“配额制”的实施，加快大庆地区新能源的开发，促进资源优势转化为经济优势，提高受端省份新能源电量占比和改善大气环境治理具有重要意义。</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为落实2030年应对气候变化国家自主贡献目标，充分发挥大庆地区的风光资源优势和区域优势促进东北地区新能源电量占比提升和环境治理，缓解地区负荷中心电力供应压力，建设本项目是十分必要的。</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大庆南部500kV汇集升压送出工程可行性研究》，大庆黄和光储实证研究有限公司新建500kv汇集站1座，位于大庆市大同区小山屯北侧，新建单回5km-500kv输电线1条，起点为新建的500kV汇集站，止于国富500kV变电站；国富500kV变电站扩建500kv间隔；新建单回26km-220kv输电线1条，起点为新建的500kV汇集站，止于永越220kv升压站。项目利用已建成输变电网络，按照一体化管理、一体化规划设计、一体化开发建设、一体运维的思路开展存量“风光火”一体化建设。打造由一个集团全过程组织并实施的具有“同组织、同部署、同设计、同建设、同运维、同调度”六同步特点的国际一流多能互补示范项目。</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本次新建500kV汇集站主变容量为1×500MVA，占地面积31575m2，占地类型耕地、草地。</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6" w:name="_Toc32024"/>
      <w:bookmarkStart w:id="7" w:name="_Toc22259"/>
      <w:r>
        <w:rPr>
          <w:rFonts w:hint="eastAsia" w:ascii="Times New Roman" w:hAnsi="Times New Roman" w:eastAsia="宋体" w:cs="Times New Roman"/>
          <w:snapToGrid/>
          <w:sz w:val="32"/>
          <w:lang w:val="en-US" w:eastAsia="zh-CN" w:bidi="ar-SA"/>
        </w:rPr>
        <w:t>1.2 项目概况</w:t>
      </w:r>
      <w:bookmarkEnd w:id="6"/>
      <w:bookmarkEnd w:id="7"/>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1.2.1总述</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本工程建设内容主要包括500kV汇集站、2条输电线路和国富变出线间隔扩建：</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建设地点：黑龙江省大庆市大同区小山屯北侧及厢房屯东南侧；</w:t>
      </w:r>
    </w:p>
    <w:p>
      <w:pPr>
        <w:bidi w:val="0"/>
        <w:rPr>
          <w:rFonts w:hint="eastAsia" w:ascii="Arial" w:hAnsi="Arial" w:eastAsia="Arial" w:cs="Arial"/>
          <w:snapToGrid w:val="0"/>
          <w:color w:val="000000"/>
          <w:kern w:val="0"/>
          <w:sz w:val="21"/>
          <w:szCs w:val="21"/>
          <w:lang w:val="en-US" w:eastAsia="zh-CN"/>
        </w:rPr>
      </w:pPr>
    </w:p>
    <w:p>
      <w:pPr>
        <w:bidi w:val="0"/>
        <w:rPr>
          <w:rFonts w:hint="eastAsia"/>
          <w:lang w:val="en-US" w:eastAsia="zh-CN"/>
        </w:rPr>
      </w:pPr>
    </w:p>
    <w:p>
      <w:pPr>
        <w:tabs>
          <w:tab w:val="left" w:pos="3467"/>
        </w:tabs>
        <w:bidi w:val="0"/>
        <w:jc w:val="left"/>
        <w:rPr>
          <w:rFonts w:hint="eastAsia"/>
          <w:lang w:val="en-US" w:eastAsia="zh-CN"/>
        </w:rPr>
      </w:pPr>
      <w:r>
        <w:rPr>
          <w:rFonts w:hint="eastAsia"/>
          <w:lang w:val="en-US" w:eastAsia="zh-CN"/>
        </w:rPr>
        <w:tab/>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建设规模：新建1座500kV汇集站，汇集站采用户内布置，主变容量为1×500MVA；新建1条5km-500kv的单回输电线，连接本次新建500kV汇集站及国富500kV变电站；新建1条26km-220kv的单回输电线，连接本次新建500kV汇集站及永越220kv升压站（暂未建设）；国富500kV变电站扩建500kv间隔，新增2组断路器和1跨500kV构架。</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1.2.2 500kV 汇集站</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（1）站址</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拟建500kV汇集站位于黑龙江省大庆市大同区小山屯北侧0.3公里。坐标为124.830269°，45.987938°。</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（2）现状</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500kV汇集站未建设，目前项目站址区为空地，土地性质为耕地。站址西侧、南侧分别临一条村路，北侧、东侧均为耕地。站址地形较平坦、地势开阔。站址范围内无任何建构筑物。</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1.2.3 国富500kv变电站</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（1）站址</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位于黑龙江省大庆市大同区厢房屯东南侧约700m处，坐标为124.892625°,45.998205°。</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（2）现状</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站址西侧为耕地，北侧及南侧为草地，东侧隔一片草地为河塘。周围地形平坦、地势开阔。</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1.2.4输电线路</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新建输电线路位于大同市境内，采用JL/G1A-400/35钢芯铝绞线，每相四分裂，共建设塔杆109基，其中500kv输电线23基，耐张塔8基，直线塔15基。其中220kv输电线86基，耐张塔25基，直线塔61基。</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（2）现状</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线路沿线地貌类型为耕地及草地，地势教平坦，不跨越林区、经济作物区、旅游开发区、 自然保护区、文物保护区、森林公园。</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1.2.4国富变出线间隔扩建</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在国富500kV变电站站址内新增2组断路器和1跨500kV构架，扩建为不完整串，不新增占地。</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8" w:name="_Toc976"/>
      <w:r>
        <w:rPr>
          <w:rFonts w:hint="eastAsia" w:ascii="Times New Roman" w:hAnsi="Times New Roman" w:eastAsia="宋体" w:cs="Times New Roman"/>
          <w:snapToGrid/>
          <w:sz w:val="32"/>
          <w:lang w:val="en-US" w:eastAsia="zh-CN" w:bidi="ar-SA"/>
        </w:rPr>
        <w:t>1.3环境影响评价工作过程</w:t>
      </w:r>
      <w:bookmarkEnd w:id="8"/>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2022年7月23日，我公司收到了建设单位关于本工程环境影响评价工作的委托书，开展本工程环境影响评价工作。接受环评委托后，我公司成立了本工程的环评项目组，项目组对工程认真分析研究，2022年8月3日~8月15日进行现场踏勘，收集相关资料。结合本工程的实际情况，进行了环境影响预测及评价，制定了相应的环境保护措施。根据相关技术规范、技术导则要求，环评单位编制了《大庆南部500kV汇集升压送出工程环境影响报告书》，上报大庆市生态环境主管部门审查。</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9" w:name="_Toc17837"/>
      <w:r>
        <w:rPr>
          <w:rFonts w:hint="eastAsia" w:ascii="Times New Roman" w:hAnsi="Times New Roman" w:eastAsia="宋体" w:cs="Times New Roman"/>
          <w:snapToGrid/>
          <w:sz w:val="32"/>
          <w:lang w:val="en-US" w:eastAsia="zh-CN" w:bidi="ar-SA"/>
        </w:rPr>
        <w:t>1.4建设项目特点</w:t>
      </w:r>
      <w:bookmarkEnd w:id="9"/>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为500kV交流输变电工程，含500kV汇集站、500kV汇集站至国富变输电线路、500kV汇集站至永跃220kv升压站输电线路和国富变内出线间隔扩建。本工程500kV汇集站为面状工程，输电线路工程为点状工程，国富变内出线间隔扩建在站址内建设，未新增占地。施工期主要包括施工准备、基础开挖、土建施工、设备安装调试等环节；交流输电线路施工主要包括施工准备、基础施工、铁塔组立及架线等环节。本工程输电线路工程在设计阶段开展了多线路方案比选，线路沿线主要途径耕地和草地，拟建500kV汇集站主要占用耕地，最终确定本工程线路为唯一走径。</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0" w:name="_Toc8359"/>
      <w:r>
        <w:rPr>
          <w:rFonts w:hint="eastAsia" w:ascii="Times New Roman" w:hAnsi="Times New Roman" w:eastAsia="宋体" w:cs="Times New Roman"/>
          <w:snapToGrid/>
          <w:sz w:val="32"/>
          <w:lang w:val="en-US" w:eastAsia="zh-CN" w:bidi="ar-SA"/>
        </w:rPr>
        <w:t>1.5关注的主要环境问题及环境影响</w:t>
      </w:r>
      <w:bookmarkEnd w:id="10"/>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本工程环评关注的主要环境问题包括：工程施工对生态的影响(如植被破坏、土地 占用等)；运行期产生的工频电场、工频磁场及噪声对周围环境敏感目标的影响等。本工程施工期主要的环境影响为对生态的影响 ；运行期的主要环境影响为电磁环境影响(工 频电场、工频磁场)和声环境影响。</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1" w:name="_Toc61"/>
      <w:r>
        <w:rPr>
          <w:rFonts w:hint="eastAsia" w:ascii="Times New Roman" w:hAnsi="Times New Roman" w:eastAsia="宋体" w:cs="Times New Roman"/>
          <w:snapToGrid/>
          <w:sz w:val="32"/>
          <w:lang w:val="en-US" w:eastAsia="zh-CN" w:bidi="ar-SA"/>
        </w:rPr>
        <w:t>1.6分析判定情况</w:t>
      </w:r>
      <w:bookmarkEnd w:id="11"/>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1.6.1工程与国家产业政策的相符性分析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本工程为交流输变电工程，属国家发改委《产业结构调整指导目录(2019年本)》及《国家发展改革委关于修改产业结构调整指导目录(2019 年本) 的决定》(2021 年修订)》“第一类 鼓励类”中四、电力中第8条的“500千伏及以上交、直流输变电”工程，符合国家产业政策。</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1.6.2与《黑龙江省国民经济和社会发展第十四个五年规划和二〇三五年远景目标纲要》</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优先发展新能源和可再生能源。以消纳为导向，结合省内外电力市场，提升可再生能源电力比重，构建多种能源形态灵活转换、智能协同的新能源和可再生能源供应体系，到2025年可再生能源装机达到3000万千瓦，占总装机比例50%以上。有序推进风光资源利用，建设哈尔滨、绥化综合能源基地和齐齐哈尔、大庆可再生能源综合应用示范区，在佳木斯、牡丹江、鸡西、双鸭山、七台河、鹤岗等城市建设以电力外送为主的可再生能源基地，因地制宜发展分布式能源。科学布局生物质热电联产、燃气调峰电站，建设抽水蓄能电站等蓄能设施。推广地热能、太阳能等非电利用方式，积极稳妥推广核能供暖示范，探索可再生能源制氢，开展绿色氢能利用。</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本项目为国家光伏、储能实证实验平台(大庆基地)二期工程项目中500kv汇集站、500kV线路新建工程、升压站 220kV 送出工程及国富变扩建间隔项目，属于太阳能发电大庆重点建设项目，符合《黑龙江省国民经济和社会发展第十四个五年规划和二〇三五年远景目标纲要》要求。</w:t>
      </w:r>
    </w:p>
    <w:p>
      <w:pPr>
        <w:widowControl/>
        <w:kinsoku/>
        <w:autoSpaceDE/>
        <w:autoSpaceDN/>
        <w:adjustRightInd/>
        <w:snapToGrid/>
        <w:spacing w:line="360" w:lineRule="auto"/>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1.6.3与《输变电建设项目环境保护技术要求》（HJ  1113-2020）相符性分析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次新建500kv汇集站1座，国富变扩建500kv间隔，及2条单回输电线路。新建500kv汇集站占用一般耕地，国富变扩建500kv间隔在站址内，不新增占地，国富变占地类型为建设用地，新建输电线路不跨越林区、经济作物区、旅游开发区、自然保护区、文物保护区、森林公园，采用户外布置，架空出线。</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主变压器等选用低噪声设备，且变电站四周评价范围内无声环境、电磁环境敏感目标。</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汇集站内运维人员生活污水排入化粪池内，定期清掏，拉运至大同污水处理厂处理。设置隔油池，食堂废水经隔油池简单处置后，排入化粪池内，随生活污水一同拉运处置。不会对周边地表水体产生污染。站内设置事故油池，危废暂存间库，危险废物交由有资质单位处置，事故油池及危废暂存间进行重点防渗。可避免变压器绝缘油在事故并失控情况下泄漏时不外溢至外环境，不会对周边地表水体、土壤等造成污染。</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运行期间，做好了环境保护设施的维护和运行管理，加强了巡查和检查；主要声源设备大修前后，对变电站厂界噪声进行监测；对变电站事故油池的完好情况及水位进行检查，确保无渗漏、无溢流。</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综上，500kv汇集站选址、布置及运行期环境管理均满足《输变电建设项目环境保护技术要求》（HJ 1113-2020）相关要求。</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1.6.4与《黑龙江省“十四五”生态环境保护规划》相符性分析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黑龙江省“十四五”生态环境保护规划》中要求可知，本规划主任务为：深入实施减污降碳、精准治污、亮剑护绿、科技赋能“四大行动”，聚焦生态环境保护的短板弱项，大力实施绿色低碳发展战略，深入打好蓝天、碧水、净土保卫战，坚持山水林田湖草一体化保护和系统治理，深入实施“十个全覆盖”，加强环境风险防范，推进生态环境治理体系与治理能力现代化。</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项目为输变电工程项目，运行期做好产噪设备的隔声减振、距离衰减等措施，确保厂界达标；事故油池按规范进行设计，做到风险可控。生活污水排入化粪池内，定期清掏，拉运至大同污水处理厂处理。设置隔油池，食堂废水经隔油池简单处置后，排入化粪池内，随生活污水一同拉运处置。食堂油烟经油烟净化器净化后通过专用烟道。因此，本项目建设满足《黑龙江省“十四五”生态环境保护规划》中要求。</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1.6.5 与《大庆市人民政府关于印发“三线一单”生态环境分区管控方案的通知 (庆政发〔2021〕17 号)》的相符性</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新建500kv汇集站占用一般耕地，国富变扩建500kv间隔在站址内，不新增占地，国富变占地类型为建设用地，新建输电线路不跨越林区、经济作物区、旅游开发区、自然保护区、文物保护区、森林公园，采用户外布置，架空出线。</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本项目新建汇集站、输电线路及国富变扩建工程均位于重点管控单元。</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（1）生态保护红线</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生态保护红线是生态空间范围内具有特殊重要生态功能必须实行强制性严格保护的区域。</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本项目位于大庆市大同境内，根据《大庆市人民政府关于实施“三线一单”生态环境分区管控的意见》（庆政规〔2021〕3号），本项目均位于重点管控单元。</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（2）环境质量底线</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项目所在区域环境空气功能为二类区，项目选址区域环境空气质量能够满足《环境空气质量标准》（GB3095-2012）及其2018修改单二级标准要求。本项目废水、废气经治理，对周围环境影响可被接受。因此本项目建设符合环境质量底线要求。</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（3）资源利用上线</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项目为太阳能发电建设项目，为新能源项目，运营期基本不消耗常规资源，建设用地应本着节约和集约利用土地的原则，尽量使用未利用土地，少占或不占林地与耕地。本项目占地为未利用自然保留地，不涉及特殊保护区域。对于临时占用的土地，环评提出进行生态恢复，按照原占地类型种植草本植物，恢复临时占地的生态环境。本项目土地资源消耗符合要求。</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（4）环境准入负面清单</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本项目与大同区城镇空间生态环境准入清单符合性分析见下表。</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表1-</w:t>
      </w:r>
      <w:r>
        <w:rPr>
          <w:rFonts w:hint="eastAsia" w:ascii="Times New Roman" w:hAnsi="Times New Roman" w:eastAsia="宋体" w:cs="Times New Roman"/>
          <w:snapToGrid/>
          <w:kern w:val="0"/>
          <w:sz w:val="24"/>
          <w:szCs w:val="24"/>
          <w:highlight w:val="none"/>
          <w:lang w:val="en-US" w:eastAsia="zh-CN" w:bidi="ar"/>
        </w:rPr>
        <w:t>1</w:t>
      </w:r>
      <w:r>
        <w:rPr>
          <w:rFonts w:hint="default" w:ascii="Times New Roman" w:hAnsi="Times New Roman" w:eastAsia="宋体" w:cs="Times New Roman"/>
          <w:snapToGrid/>
          <w:kern w:val="0"/>
          <w:sz w:val="24"/>
          <w:szCs w:val="24"/>
          <w:highlight w:val="none"/>
          <w:lang w:val="en-US" w:eastAsia="zh-CN" w:bidi="ar"/>
        </w:rPr>
        <w:t>生态环境准入清单符合性分析</w:t>
      </w:r>
    </w:p>
    <w:tbl>
      <w:tblPr>
        <w:tblStyle w:val="12"/>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4"/>
        <w:gridCol w:w="736"/>
        <w:gridCol w:w="778"/>
        <w:gridCol w:w="641"/>
        <w:gridCol w:w="2536"/>
        <w:gridCol w:w="2373"/>
        <w:gridCol w:w="7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4" w:type="pct"/>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环境管控单元编码</w:t>
            </w:r>
          </w:p>
        </w:tc>
        <w:tc>
          <w:tcPr>
            <w:tcW w:w="431" w:type="pct"/>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环境管控单元名称</w:t>
            </w:r>
          </w:p>
        </w:tc>
        <w:tc>
          <w:tcPr>
            <w:tcW w:w="456" w:type="pct"/>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管控单元类别</w:t>
            </w:r>
          </w:p>
        </w:tc>
        <w:tc>
          <w:tcPr>
            <w:tcW w:w="1864" w:type="pct"/>
            <w:gridSpan w:val="2"/>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管控要求</w:t>
            </w:r>
          </w:p>
        </w:tc>
        <w:tc>
          <w:tcPr>
            <w:tcW w:w="1392" w:type="pct"/>
            <w:tcBorders>
              <w:righ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建设项目</w:t>
            </w: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4" w:type="pct"/>
            <w:vMerge w:val="restar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ZH23060110002</w:t>
            </w:r>
          </w:p>
        </w:tc>
        <w:tc>
          <w:tcPr>
            <w:tcW w:w="431" w:type="pct"/>
            <w:vMerge w:val="restar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eastAsia" w:ascii="Times New Roman" w:hAnsi="Times New Roman" w:eastAsia="宋体" w:cs="Times New Roman"/>
                <w:smallCaps w:val="0"/>
                <w:spacing w:val="0"/>
                <w:w w:val="100"/>
                <w:kern w:val="0"/>
                <w:sz w:val="21"/>
                <w:szCs w:val="21"/>
                <w:highlight w:val="none"/>
                <w:lang w:val="en-US" w:eastAsia="zh-CN" w:bidi="ar-SA"/>
              </w:rPr>
              <w:t>大同</w:t>
            </w:r>
            <w:r>
              <w:rPr>
                <w:rFonts w:hint="default" w:ascii="Times New Roman" w:hAnsi="Times New Roman" w:eastAsia="宋体" w:cs="Times New Roman"/>
                <w:smallCaps w:val="0"/>
                <w:spacing w:val="0"/>
                <w:w w:val="100"/>
                <w:kern w:val="0"/>
                <w:sz w:val="21"/>
                <w:szCs w:val="21"/>
                <w:highlight w:val="none"/>
                <w:lang w:val="en-US" w:eastAsia="zh-CN" w:bidi="ar-SA"/>
              </w:rPr>
              <w:t>区城镇空间</w:t>
            </w:r>
          </w:p>
        </w:tc>
        <w:tc>
          <w:tcPr>
            <w:tcW w:w="456" w:type="pct"/>
            <w:vMerge w:val="restar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重点管控单元</w:t>
            </w: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空间布局约束</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1.执行本清单全市准入要求中“5.2城镇空间重点管控单元”准入要求。</w:t>
            </w:r>
          </w:p>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2.水环境工业污染重点管控区同时执行本清单全市准入要求中“5.4水环境工业污染重点管控区”准入要求。</w:t>
            </w:r>
          </w:p>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3.建设用地污染风险管控区同时执行本清单全市准入要求中“6.3建设用地污染风险管控区”准入要求。</w:t>
            </w:r>
          </w:p>
        </w:tc>
        <w:tc>
          <w:tcPr>
            <w:tcW w:w="1392" w:type="pct"/>
            <w:vMerge w:val="restart"/>
            <w:tcBorders>
              <w:righ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本项目占地类型为</w:t>
            </w:r>
            <w:r>
              <w:rPr>
                <w:rFonts w:hint="eastAsia" w:ascii="Times New Roman" w:hAnsi="Times New Roman" w:eastAsia="宋体" w:cs="Times New Roman"/>
                <w:smallCaps w:val="0"/>
                <w:snapToGrid/>
                <w:spacing w:val="0"/>
                <w:w w:val="100"/>
                <w:kern w:val="2"/>
                <w:sz w:val="21"/>
                <w:szCs w:val="21"/>
                <w:highlight w:val="none"/>
                <w:lang w:val="en-US" w:eastAsia="zh-CN" w:bidi="ar-SA"/>
              </w:rPr>
              <w:t>耕地、草地</w:t>
            </w:r>
            <w:r>
              <w:rPr>
                <w:rFonts w:hint="default" w:ascii="Times New Roman" w:hAnsi="Times New Roman" w:eastAsia="宋体" w:cs="Times New Roman"/>
                <w:smallCaps w:val="0"/>
                <w:snapToGrid/>
                <w:spacing w:val="0"/>
                <w:w w:val="100"/>
                <w:kern w:val="2"/>
                <w:sz w:val="21"/>
                <w:szCs w:val="21"/>
                <w:highlight w:val="none"/>
                <w:lang w:val="en-US" w:eastAsia="zh-CN" w:bidi="ar-SA"/>
              </w:rPr>
              <w:t>，土壤环境较好，且项目运营期无生产废水产生、生活污水处理后达标排放；环境风险物质废变压器油经收集后委托有资质单位处理。本项目满足“5.2城镇空间重点管控单元”准入要求、满足“5.4水环境工业污染重点管控区”准入要求；且本项目用地不属于“6.3建设用地污染风险管控区”范围。</w:t>
            </w: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4" w:type="pct"/>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431" w:type="pct"/>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456" w:type="pct"/>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污染物排放管控</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1.执行本清单全市准入要求中“5.2城镇空间重点管控单元”准入要求。</w:t>
            </w:r>
          </w:p>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2.水环境工业污染重点管控区同时执行本清单全市准入要求中“5.4水环境工业污染重点管控区”准入要求。</w:t>
            </w:r>
          </w:p>
        </w:tc>
        <w:tc>
          <w:tcPr>
            <w:tcW w:w="1392" w:type="pct"/>
            <w:vMerge w:val="continue"/>
            <w:tcBorders>
              <w:righ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4" w:type="pct"/>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431" w:type="pct"/>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456" w:type="pct"/>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环境风险防控</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1.执行本清单全市准入要求中“5.2城镇空间重点管控单元”准入要求。</w:t>
            </w:r>
          </w:p>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2.水环境农业污染重点管控区同时执行本清单全市准入要求中“5.4水环境工业污染重点管控区”准入要求。</w:t>
            </w:r>
          </w:p>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3.建设用地污染风险管控区同时执行本清单全市准入要求中“6.3建设用地污染风险管控区”准入要求。</w:t>
            </w:r>
          </w:p>
        </w:tc>
        <w:tc>
          <w:tcPr>
            <w:tcW w:w="1392" w:type="pct"/>
            <w:vMerge w:val="continue"/>
            <w:tcBorders>
              <w:righ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4" w:type="pct"/>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431" w:type="pct"/>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456" w:type="pct"/>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资源利用效率要求</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left"/>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1.执行本清单全市准入要求中“5.2城镇空间重点管控单元”准入要求。</w:t>
            </w:r>
          </w:p>
        </w:tc>
        <w:tc>
          <w:tcPr>
            <w:tcW w:w="1392" w:type="pct"/>
            <w:vMerge w:val="continue"/>
            <w:tcBorders>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3" w:type="pct"/>
            <w:gridSpan w:val="3"/>
            <w:vMerge w:val="restar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5.2城镇空间重点管控单元</w:t>
            </w: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空间布局约束</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1.推进城镇人口密集区危险化学品生产企业搬迁改造。</w:t>
            </w:r>
          </w:p>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2.禁止在城镇居民区、文化教育科学研究区等人口集中区域建设畜禽养殖场、养殖小区。</w:t>
            </w:r>
          </w:p>
        </w:tc>
        <w:tc>
          <w:tcPr>
            <w:tcW w:w="1392" w:type="pct"/>
            <w:tcBorders>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eastAsia" w:ascii="Times New Roman" w:hAnsi="Times New Roman" w:eastAsia="宋体" w:cs="Times New Roman"/>
                <w:smallCaps w:val="0"/>
                <w:snapToGrid/>
                <w:spacing w:val="0"/>
                <w:w w:val="100"/>
                <w:kern w:val="2"/>
                <w:sz w:val="21"/>
                <w:szCs w:val="21"/>
                <w:highlight w:val="none"/>
                <w:lang w:val="en-US" w:eastAsia="zh-CN" w:bidi="ar-SA"/>
              </w:rPr>
              <w:t>本项目为输变电项目。</w:t>
            </w: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3" w:type="pct"/>
            <w:gridSpan w:val="3"/>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污染物排放管控</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1.加快燃煤电厂超低排放改造，提高煤电高效清洁利用水平。</w:t>
            </w:r>
          </w:p>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2.施工降水或基坑排水排入市政管网的，应纳入污水排入排水管网许可管理，明确排水接口位置和去向，避免排入城镇污水处理厂。</w:t>
            </w:r>
          </w:p>
        </w:tc>
        <w:tc>
          <w:tcPr>
            <w:tcW w:w="1392" w:type="pct"/>
            <w:tcBorders>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eastAsia" w:ascii="Times New Roman" w:hAnsi="Times New Roman" w:eastAsia="宋体" w:cs="Times New Roman"/>
                <w:smallCaps w:val="0"/>
                <w:snapToGrid/>
                <w:spacing w:val="0"/>
                <w:w w:val="100"/>
                <w:kern w:val="2"/>
                <w:sz w:val="21"/>
                <w:szCs w:val="21"/>
                <w:highlight w:val="none"/>
                <w:lang w:val="en-US" w:eastAsia="zh-CN" w:bidi="ar-SA"/>
              </w:rPr>
              <w:t>施工期间生活污水排入汇集站化粪池内，定期清掏，拉运至大同污水处理厂处理。</w:t>
            </w: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3" w:type="pct"/>
            <w:gridSpan w:val="3"/>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环境风险防控</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化工园区与城市建成区、人员密集场所、重要设施、敏感目标等应当保持规定的安全距离，相对封闭，不应保留常住居民，非关联企业和产业要逐步搬迁或退出，妥善防范化解“临避”问题。严禁在松花江干流及一级支流沿岸1公里范围内布局化工园区。</w:t>
            </w:r>
          </w:p>
        </w:tc>
        <w:tc>
          <w:tcPr>
            <w:tcW w:w="1392" w:type="pct"/>
            <w:tcBorders>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eastAsia" w:ascii="Times New Roman" w:hAnsi="Times New Roman" w:eastAsia="宋体" w:cs="Times New Roman"/>
                <w:smallCaps w:val="0"/>
                <w:snapToGrid/>
                <w:spacing w:val="0"/>
                <w:w w:val="100"/>
                <w:kern w:val="2"/>
                <w:sz w:val="21"/>
                <w:szCs w:val="21"/>
                <w:highlight w:val="none"/>
                <w:lang w:val="en-US" w:eastAsia="zh-CN" w:bidi="ar-SA"/>
              </w:rPr>
              <w:t>本项目为输变电项目。位于大同区小山屯北侧耕地内。</w:t>
            </w: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3" w:type="pct"/>
            <w:gridSpan w:val="3"/>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资源利用效率要求</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1.推进污水再生利用设施建设。</w:t>
            </w:r>
          </w:p>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2.公共建筑必须采用节水器具，限期淘汰公共建筑中不符合节水标准的水嘴、便器水箱等生活用水器具。</w:t>
            </w:r>
          </w:p>
        </w:tc>
        <w:tc>
          <w:tcPr>
            <w:tcW w:w="1392" w:type="pct"/>
            <w:tcBorders>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汇集站内运维人员生活污水排入化粪池内，定期清掏，拉运至大同污水处理厂处理。设置隔油池，食堂废水经隔油池简单处置后，排入化粪池内，随生活污水一同拉运处置。</w:t>
            </w: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3" w:type="pct"/>
            <w:gridSpan w:val="3"/>
            <w:vMerge w:val="restart"/>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5.4 水环境工业污染重点管控区</w:t>
            </w: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空间布局约束</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区域内严格控制高耗水、高污染行业发展。</w:t>
            </w:r>
          </w:p>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2、加速淘汰落后产能，加强重点行业源头控制。</w:t>
            </w:r>
          </w:p>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3、根据水资源和水环境承载能力，以水定城、以水定地、以水定人、以水定产。</w:t>
            </w:r>
          </w:p>
        </w:tc>
        <w:tc>
          <w:tcPr>
            <w:tcW w:w="1392" w:type="pct"/>
            <w:tcBorders>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eastAsia" w:ascii="Times New Roman" w:hAnsi="Times New Roman" w:eastAsia="宋体" w:cs="Times New Roman"/>
                <w:smallCaps w:val="0"/>
                <w:snapToGrid/>
                <w:spacing w:val="0"/>
                <w:w w:val="100"/>
                <w:kern w:val="2"/>
                <w:sz w:val="21"/>
                <w:szCs w:val="21"/>
                <w:highlight w:val="none"/>
                <w:lang w:val="en-US" w:eastAsia="zh-CN" w:bidi="ar-SA"/>
              </w:rPr>
              <w:t>本项目运行期用水主要为员工生活用水，用水量较小 。</w:t>
            </w: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3" w:type="pct"/>
            <w:gridSpan w:val="3"/>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污染物排放管控</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1、加强重点行业源头控制，落实企业排污许可证制度，排污企业应确保稳定达标排放。</w:t>
            </w:r>
          </w:p>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2、推行清洁生产审核力度，采用新工艺、新技术，提高工业企业技术及现代企业管理水平。</w:t>
            </w:r>
          </w:p>
        </w:tc>
        <w:tc>
          <w:tcPr>
            <w:tcW w:w="1392" w:type="pct"/>
            <w:tcBorders>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生活污水排入化粪池内，定期清掏，拉运至大同污水处理厂处理。设置隔油池，食堂废水经隔油池简单处置后，排入化粪池内，随生活污水一同拉运处置。</w:t>
            </w:r>
            <w:r>
              <w:rPr>
                <w:rFonts w:hint="eastAsia" w:ascii="Times New Roman" w:hAnsi="Times New Roman" w:eastAsia="宋体" w:cs="Times New Roman"/>
                <w:smallCaps w:val="0"/>
                <w:snapToGrid/>
                <w:spacing w:val="0"/>
                <w:w w:val="100"/>
                <w:kern w:val="2"/>
                <w:sz w:val="21"/>
                <w:szCs w:val="21"/>
                <w:highlight w:val="none"/>
                <w:lang w:val="en-US" w:eastAsia="zh-CN" w:bidi="ar-SA"/>
              </w:rPr>
              <w:t>食堂油烟经集气罩收集后经净化器净化通过专用烟道排放。</w:t>
            </w: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3" w:type="pct"/>
            <w:gridSpan w:val="3"/>
            <w:vMerge w:val="continue"/>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环境风险防控</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生产、存储危险化学品及产生大量废水的企事业单位应建立健全环境风险防控体系，制定环境风险应急预案，成立应急组织机构，建设突发事件应急物资储备库，并与当地环境风险应急预案联动。</w:t>
            </w:r>
          </w:p>
        </w:tc>
        <w:tc>
          <w:tcPr>
            <w:tcW w:w="1392" w:type="pct"/>
            <w:tcBorders>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eastAsia" w:ascii="Times New Roman" w:hAnsi="Times New Roman" w:eastAsia="宋体" w:cs="Times New Roman"/>
                <w:smallCaps w:val="0"/>
                <w:snapToGrid/>
                <w:spacing w:val="0"/>
                <w:w w:val="100"/>
                <w:kern w:val="2"/>
                <w:sz w:val="21"/>
                <w:szCs w:val="21"/>
                <w:highlight w:val="none"/>
                <w:lang w:val="en-US" w:eastAsia="zh-CN" w:bidi="ar-SA"/>
              </w:rPr>
              <w:t>站内设置</w:t>
            </w:r>
            <w:r>
              <w:rPr>
                <w:rFonts w:hint="default" w:ascii="Times New Roman" w:hAnsi="Times New Roman" w:eastAsia="宋体" w:cs="Times New Roman"/>
                <w:smallCaps w:val="0"/>
                <w:snapToGrid/>
                <w:spacing w:val="0"/>
                <w:w w:val="100"/>
                <w:kern w:val="2"/>
                <w:sz w:val="21"/>
                <w:szCs w:val="21"/>
                <w:highlight w:val="none"/>
                <w:lang w:val="en-US" w:eastAsia="zh-CN" w:bidi="ar-SA"/>
              </w:rPr>
              <w:t>事故油池</w:t>
            </w:r>
            <w:r>
              <w:rPr>
                <w:rFonts w:hint="eastAsia" w:ascii="Times New Roman" w:hAnsi="Times New Roman" w:eastAsia="宋体" w:cs="Times New Roman"/>
                <w:smallCaps w:val="0"/>
                <w:snapToGrid/>
                <w:spacing w:val="0"/>
                <w:w w:val="100"/>
                <w:kern w:val="2"/>
                <w:sz w:val="21"/>
                <w:szCs w:val="21"/>
                <w:highlight w:val="none"/>
                <w:lang w:val="en-US" w:eastAsia="zh-CN" w:bidi="ar-SA"/>
              </w:rPr>
              <w:t>，</w:t>
            </w:r>
            <w:r>
              <w:rPr>
                <w:rFonts w:hint="default" w:ascii="Times New Roman" w:hAnsi="Times New Roman" w:eastAsia="宋体" w:cs="Times New Roman"/>
                <w:smallCaps w:val="0"/>
                <w:snapToGrid/>
                <w:spacing w:val="0"/>
                <w:w w:val="100"/>
                <w:kern w:val="2"/>
                <w:sz w:val="21"/>
                <w:szCs w:val="21"/>
                <w:highlight w:val="none"/>
                <w:lang w:val="en-US" w:eastAsia="zh-CN" w:bidi="ar-SA"/>
              </w:rPr>
              <w:t>用于收集事故排油，</w:t>
            </w:r>
            <w:r>
              <w:rPr>
                <w:rFonts w:hint="eastAsia" w:ascii="Times New Roman" w:hAnsi="Times New Roman" w:eastAsia="宋体" w:cs="Times New Roman"/>
                <w:smallCaps w:val="0"/>
                <w:snapToGrid/>
                <w:spacing w:val="0"/>
                <w:w w:val="100"/>
                <w:kern w:val="2"/>
                <w:sz w:val="21"/>
                <w:szCs w:val="21"/>
                <w:highlight w:val="none"/>
                <w:lang w:val="en-US" w:eastAsia="zh-CN" w:bidi="ar-SA"/>
              </w:rPr>
              <w:t>池底及池壁进行重点防渗，</w:t>
            </w:r>
            <w:r>
              <w:rPr>
                <w:rFonts w:hint="default" w:ascii="Times New Roman" w:hAnsi="Times New Roman" w:eastAsia="宋体" w:cs="Times New Roman"/>
                <w:smallCaps w:val="0"/>
                <w:snapToGrid/>
                <w:spacing w:val="0"/>
                <w:w w:val="100"/>
                <w:kern w:val="2"/>
                <w:sz w:val="21"/>
                <w:szCs w:val="21"/>
                <w:highlight w:val="none"/>
                <w:lang w:val="en-US" w:eastAsia="zh-CN" w:bidi="ar-SA"/>
              </w:rPr>
              <w:t>废油交由有资质单位处理。</w:t>
            </w:r>
          </w:p>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废蓄电池</w:t>
            </w:r>
            <w:r>
              <w:rPr>
                <w:rFonts w:hint="eastAsia" w:ascii="Times New Roman" w:hAnsi="Times New Roman" w:eastAsia="宋体" w:cs="Times New Roman"/>
                <w:smallCaps w:val="0"/>
                <w:snapToGrid/>
                <w:spacing w:val="0"/>
                <w:w w:val="100"/>
                <w:kern w:val="2"/>
                <w:sz w:val="21"/>
                <w:szCs w:val="21"/>
                <w:highlight w:val="none"/>
                <w:lang w:val="en-US" w:eastAsia="zh-CN" w:bidi="ar-SA"/>
              </w:rPr>
              <w:t>暂存于危废暂存间内，交由有资质单位处置。</w:t>
            </w:r>
          </w:p>
        </w:tc>
        <w:tc>
          <w:tcPr>
            <w:tcW w:w="429" w:type="pct"/>
            <w:tcBorders>
              <w:lef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3" w:type="pct"/>
            <w:gridSpan w:val="3"/>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6.3建设用地污染风险管</w:t>
            </w: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环境风险防控</w:t>
            </w: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r>
              <w:rPr>
                <w:rFonts w:hint="default" w:ascii="Times New Roman" w:hAnsi="Times New Roman" w:eastAsia="宋体" w:cs="Times New Roman"/>
                <w:smallCaps w:val="0"/>
                <w:spacing w:val="0"/>
                <w:w w:val="100"/>
                <w:kern w:val="0"/>
                <w:sz w:val="21"/>
                <w:szCs w:val="21"/>
                <w:highlight w:val="none"/>
                <w:lang w:val="en-US" w:eastAsia="zh-CN" w:bidi="ar-SA"/>
              </w:rPr>
              <w:t>各级自然资源等部门在编制土地利用总体规划、城市总体规划、控制性详细规划等相关规划时，应充分考虑污染地块的环境风险，合理确定土地用途。</w:t>
            </w:r>
          </w:p>
        </w:tc>
        <w:tc>
          <w:tcPr>
            <w:tcW w:w="1392" w:type="pct"/>
            <w:tcBorders>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eastAsia" w:ascii="Times New Roman" w:hAnsi="Times New Roman" w:eastAsia="宋体" w:cs="Times New Roman"/>
                <w:smallCaps w:val="0"/>
                <w:snapToGrid/>
                <w:spacing w:val="0"/>
                <w:w w:val="100"/>
                <w:kern w:val="2"/>
                <w:sz w:val="21"/>
                <w:szCs w:val="21"/>
                <w:highlight w:val="none"/>
                <w:lang w:val="en-US" w:eastAsia="zh-CN" w:bidi="ar-SA"/>
              </w:rPr>
              <w:t>项目占用一般耕地，不涉及风险地块。</w:t>
            </w: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r>
              <w:rPr>
                <w:rFonts w:hint="default" w:ascii="Times New Roman" w:hAnsi="Times New Roman" w:eastAsia="宋体" w:cs="Times New Roman"/>
                <w:smallCaps w:val="0"/>
                <w:snapToGrid/>
                <w:spacing w:val="0"/>
                <w:w w:val="100"/>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13" w:type="pct"/>
            <w:gridSpan w:val="3"/>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376"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smallCaps w:val="0"/>
                <w:spacing w:val="0"/>
                <w:w w:val="100"/>
                <w:kern w:val="0"/>
                <w:sz w:val="21"/>
                <w:szCs w:val="21"/>
                <w:highlight w:val="none"/>
                <w:lang w:val="en-US" w:eastAsia="zh-CN" w:bidi="ar-SA"/>
              </w:rPr>
            </w:pPr>
          </w:p>
        </w:tc>
        <w:tc>
          <w:tcPr>
            <w:tcW w:w="1488" w:type="pct"/>
            <w:noWrap w:val="0"/>
            <w:vAlign w:val="center"/>
          </w:tcPr>
          <w:p>
            <w:pPr>
              <w:keepNext w:val="0"/>
              <w:keepLines w:val="0"/>
              <w:pageBreakBefore w:val="0"/>
              <w:widowControl/>
              <w:suppressLineNumbers w:val="0"/>
              <w:kinsoku/>
              <w:overflowPunct/>
              <w:topLinePunct w:val="0"/>
              <w:bidi w:val="0"/>
              <w:adjustRightInd/>
              <w:snapToGrid/>
              <w:spacing w:before="0" w:beforeAutospacing="0" w:after="0" w:afterAutospacing="0" w:line="360" w:lineRule="auto"/>
              <w:ind w:right="0"/>
              <w:jc w:val="both"/>
              <w:textAlignment w:val="auto"/>
              <w:rPr>
                <w:rFonts w:hint="default" w:ascii="Times New Roman" w:hAnsi="Times New Roman" w:eastAsia="宋体" w:cs="Times New Roman"/>
                <w:smallCaps w:val="0"/>
                <w:spacing w:val="0"/>
                <w:w w:val="100"/>
                <w:kern w:val="0"/>
                <w:sz w:val="21"/>
                <w:szCs w:val="21"/>
                <w:highlight w:val="none"/>
                <w:lang w:val="en-US" w:eastAsia="zh-CN" w:bidi="ar-SA"/>
              </w:rPr>
            </w:pPr>
          </w:p>
        </w:tc>
        <w:tc>
          <w:tcPr>
            <w:tcW w:w="1392" w:type="pct"/>
            <w:tcBorders>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snapToGrid/>
              <w:spacing w:beforeAutospacing="0" w:afterAutospacing="0" w:line="360" w:lineRule="auto"/>
              <w:ind w:right="0"/>
              <w:jc w:val="both"/>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c>
          <w:tcPr>
            <w:tcW w:w="429" w:type="pct"/>
            <w:tcBorders>
              <w:left w:val="single" w:color="auto" w:sz="4" w:space="0"/>
            </w:tcBorders>
            <w:noWrap w:val="0"/>
            <w:vAlign w:val="center"/>
          </w:tcPr>
          <w:p>
            <w:pPr>
              <w:keepNext w:val="0"/>
              <w:keepLines w:val="0"/>
              <w:pageBreakBefore w:val="0"/>
              <w:widowControl w:val="0"/>
              <w:kinsoku/>
              <w:overflowPunct/>
              <w:topLinePunct w:val="0"/>
              <w:autoSpaceDE w:val="0"/>
              <w:autoSpaceDN w:val="0"/>
              <w:bidi w:val="0"/>
              <w:adjustRightInd/>
              <w:snapToGrid/>
              <w:spacing w:beforeAutospacing="0" w:afterAutospacing="0" w:line="360" w:lineRule="auto"/>
              <w:ind w:right="0"/>
              <w:jc w:val="center"/>
              <w:textAlignment w:val="auto"/>
              <w:rPr>
                <w:rFonts w:hint="default" w:ascii="Times New Roman" w:hAnsi="Times New Roman" w:eastAsia="宋体" w:cs="Times New Roman"/>
                <w:smallCaps w:val="0"/>
                <w:snapToGrid/>
                <w:spacing w:val="0"/>
                <w:w w:val="100"/>
                <w:kern w:val="2"/>
                <w:sz w:val="21"/>
                <w:szCs w:val="21"/>
                <w:highlight w:val="none"/>
                <w:lang w:val="en-US" w:eastAsia="zh-CN" w:bidi="ar-SA"/>
              </w:rPr>
            </w:pPr>
          </w:p>
        </w:tc>
      </w:tr>
    </w:tbl>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本项目选址位于项目位于大庆市大同区，本项目选址占地性质为未耕地、草地，并采取了有效、可行的污染治理措施，各项污染物均可达标排放，本项目建设对周围环境影响较小，因此本项目符合《黑龙江省区域空间生态环境评价报告（大庆市部分）》、《大庆市人民政府关于实施“三线一单”生态环境分区控制的意见》庆政规〔2021〕3号以及《黑龙江省“三线一单”文本》中要求。</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12" w:name="_Toc22879"/>
      <w:r>
        <w:rPr>
          <w:rFonts w:hint="default" w:ascii="Times New Roman" w:hAnsi="Times New Roman" w:eastAsia="宋体" w:cs="Times New Roman"/>
          <w:snapToGrid/>
          <w:sz w:val="32"/>
          <w:lang w:val="en-US" w:eastAsia="zh-CN" w:bidi="ar-SA"/>
        </w:rPr>
        <w:t>1.7.工程选址选线环境合理性分析</w:t>
      </w:r>
      <w:bookmarkEnd w:id="12"/>
    </w:p>
    <w:p>
      <w:pPr>
        <w:widowControl/>
        <w:kinsoku/>
        <w:autoSpaceDE/>
        <w:autoSpaceDN/>
        <w:adjustRightInd/>
        <w:snapToGrid/>
        <w:spacing w:line="360" w:lineRule="auto"/>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1.7.1 站址选择的环境合理性</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本工程500kV汇集站</w:t>
      </w:r>
      <w:r>
        <w:rPr>
          <w:rFonts w:hint="eastAsia" w:ascii="Times New Roman" w:hAnsi="Times New Roman" w:eastAsia="宋体" w:cs="Times New Roman"/>
          <w:snapToGrid/>
          <w:kern w:val="0"/>
          <w:sz w:val="24"/>
          <w:szCs w:val="24"/>
          <w:highlight w:val="none"/>
          <w:lang w:val="en-US" w:eastAsia="zh-CN" w:bidi="ar"/>
        </w:rPr>
        <w:t>未涉及不属于生活饮用水源地和地下水补给区、风景名胜区、温泉疗养区、水产养殖区、基本农田保护区、自然保护区等需要特殊保护区域。</w:t>
      </w:r>
      <w:r>
        <w:rPr>
          <w:rFonts w:hint="default" w:ascii="Times New Roman" w:hAnsi="Times New Roman" w:eastAsia="宋体" w:cs="Times New Roman"/>
          <w:snapToGrid/>
          <w:kern w:val="0"/>
          <w:sz w:val="24"/>
          <w:szCs w:val="24"/>
          <w:highlight w:val="none"/>
          <w:lang w:val="en-US" w:eastAsia="zh-CN" w:bidi="ar"/>
        </w:rPr>
        <w:t>选址合理可行。</w:t>
      </w:r>
    </w:p>
    <w:p>
      <w:pPr>
        <w:widowControl/>
        <w:kinsoku/>
        <w:autoSpaceDE/>
        <w:autoSpaceDN/>
        <w:adjustRightInd/>
        <w:snapToGrid/>
        <w:spacing w:line="360" w:lineRule="auto"/>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1.7.2 输电线路选线的环境合理性</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本工程交流输电线路在选线阶段，已充分征求所涉地区地方政府相关部门的意见。尽量避开了居民集中区，</w:t>
      </w:r>
      <w:r>
        <w:rPr>
          <w:rFonts w:hint="eastAsia" w:ascii="Times New Roman" w:hAnsi="Times New Roman" w:eastAsia="宋体" w:cs="Times New Roman"/>
          <w:snapToGrid/>
          <w:kern w:val="0"/>
          <w:sz w:val="24"/>
          <w:szCs w:val="24"/>
          <w:highlight w:val="none"/>
          <w:lang w:val="en-US" w:eastAsia="zh-CN" w:bidi="ar"/>
        </w:rPr>
        <w:t>输电线路不跨越林区、经济作物区、旅游开发区、 自然保护区、文物保护区、森林公园等，</w:t>
      </w:r>
      <w:r>
        <w:rPr>
          <w:rFonts w:hint="default" w:ascii="Times New Roman" w:hAnsi="Times New Roman" w:eastAsia="宋体" w:cs="Times New Roman"/>
          <w:snapToGrid/>
          <w:kern w:val="0"/>
          <w:sz w:val="24"/>
          <w:szCs w:val="24"/>
          <w:highlight w:val="none"/>
          <w:lang w:val="en-US" w:eastAsia="zh-CN" w:bidi="ar"/>
        </w:rPr>
        <w:t>在设计和施工阶段采取相应的环保措施，可以将生态环境影响降至最低。从环保角度考虑，推荐方案具有唯一性。</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综上本项目选址可行。</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3" w:name="_Toc18938"/>
      <w:r>
        <w:rPr>
          <w:rFonts w:hint="eastAsia" w:ascii="Times New Roman" w:hAnsi="Times New Roman" w:eastAsia="宋体" w:cs="Times New Roman"/>
          <w:snapToGrid/>
          <w:sz w:val="32"/>
          <w:lang w:val="en-US" w:eastAsia="zh-CN" w:bidi="ar-SA"/>
        </w:rPr>
        <w:t>1.8 主要结论</w:t>
      </w:r>
      <w:bookmarkEnd w:id="13"/>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大庆南部500kV汇集升压送出工程按照国家、地方环境保护要求，分别采取一系列可行的环境保护措施，使工程产生的电磁环境、声环境、生态环境等影响符合国家有关环境保护法规、环境保护标准的要求。采取一系列可行的生态保护措施，降低工程建设对沿线生态系统的生态影响。因此，从满足环境质量目标角度来看，本工程的建设是可行的。</w:t>
      </w:r>
    </w:p>
    <w:p>
      <w:pPr>
        <w:numPr>
          <w:ilvl w:val="0"/>
          <w:numId w:val="0"/>
        </w:numPr>
        <w:spacing w:line="500" w:lineRule="exact"/>
        <w:jc w:val="center"/>
        <w:rPr>
          <w:rFonts w:hint="eastAsia" w:ascii="Times New Roman" w:hAnsi="Times New Roman" w:eastAsia="宋体" w:cs="Times New Roman"/>
          <w:b/>
          <w:bCs w:val="0"/>
          <w:color w:val="auto"/>
          <w:kern w:val="0"/>
          <w:szCs w:val="21"/>
          <w:highlight w:val="none"/>
          <w:lang w:val="en-US" w:eastAsia="zh-CN"/>
        </w:rPr>
      </w:pPr>
    </w:p>
    <w:p>
      <w:pPr>
        <w:numPr>
          <w:ilvl w:val="0"/>
          <w:numId w:val="0"/>
        </w:numPr>
        <w:spacing w:line="500" w:lineRule="exact"/>
        <w:jc w:val="center"/>
        <w:rPr>
          <w:rFonts w:hint="eastAsia" w:ascii="Times New Roman" w:hAnsi="Times New Roman" w:eastAsia="宋体" w:cs="Times New Roman"/>
          <w:b/>
          <w:bCs w:val="0"/>
          <w:color w:val="auto"/>
          <w:kern w:val="0"/>
          <w:szCs w:val="21"/>
          <w:highlight w:val="none"/>
          <w:lang w:val="en-US" w:eastAsia="zh-CN"/>
        </w:rPr>
      </w:pPr>
    </w:p>
    <w:p>
      <w:pPr>
        <w:rPr>
          <w:rFonts w:ascii="Times New Roman" w:hAnsi="Times New Roman" w:eastAsia="宋体" w:cs="Times New Roman"/>
          <w:snapToGrid/>
          <w:sz w:val="32"/>
          <w:lang w:val="en-US" w:eastAsia="zh-CN" w:bidi="ar-SA"/>
        </w:rPr>
      </w:pPr>
      <w:r>
        <w:rPr>
          <w:rFonts w:ascii="Times New Roman" w:hAnsi="Times New Roman" w:eastAsia="宋体" w:cs="Times New Roman"/>
          <w:snapToGrid/>
          <w:sz w:val="32"/>
          <w:lang w:val="en-US" w:eastAsia="zh-CN" w:bidi="ar-SA"/>
        </w:rPr>
        <w:br w:type="page"/>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4" w:name="_Toc15"/>
      <w:bookmarkStart w:id="15" w:name="_Toc12811"/>
      <w:bookmarkStart w:id="16" w:name="_Toc5819"/>
      <w:bookmarkStart w:id="17" w:name="_Toc6422"/>
      <w:r>
        <w:rPr>
          <w:rFonts w:hint="eastAsia" w:ascii="Times New Roman" w:hAnsi="Times New Roman" w:eastAsia="宋体" w:cs="Times New Roman"/>
          <w:snapToGrid/>
          <w:sz w:val="32"/>
          <w:lang w:val="en-US" w:eastAsia="zh-CN" w:bidi="ar-SA"/>
        </w:rPr>
        <w:t>2</w:t>
      </w:r>
      <w:r>
        <w:rPr>
          <w:rFonts w:hint="eastAsia" w:ascii="Times New Roman" w:hAnsi="Times New Roman" w:eastAsia="宋体" w:cs="Times New Roman"/>
          <w:snapToGrid/>
          <w:sz w:val="32"/>
          <w:lang w:val="en-US" w:eastAsia="zh-CN" w:bidi="ar-SA"/>
        </w:rPr>
        <w:t xml:space="preserve">   总则</w:t>
      </w:r>
      <w:bookmarkEnd w:id="14"/>
      <w:bookmarkEnd w:id="15"/>
      <w:bookmarkEnd w:id="16"/>
      <w:bookmarkEnd w:id="17"/>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18" w:name="_bookmark26"/>
      <w:bookmarkEnd w:id="18"/>
      <w:bookmarkStart w:id="19" w:name="_Toc18982"/>
      <w:r>
        <w:rPr>
          <w:rFonts w:hint="default" w:ascii="Times New Roman" w:hAnsi="Times New Roman" w:eastAsia="宋体" w:cs="Times New Roman"/>
          <w:snapToGrid/>
          <w:sz w:val="32"/>
          <w:lang w:val="en-US" w:eastAsia="zh-CN" w:bidi="ar-SA"/>
        </w:rPr>
        <w:t>2.1编制依据</w:t>
      </w:r>
      <w:bookmarkEnd w:id="19"/>
    </w:p>
    <w:p>
      <w:pPr>
        <w:widowControl/>
        <w:kinsoku/>
        <w:autoSpaceDE/>
        <w:autoSpaceDN/>
        <w:adjustRightInd/>
        <w:snapToGrid/>
        <w:spacing w:line="360" w:lineRule="auto"/>
        <w:jc w:val="both"/>
        <w:textAlignment w:val="auto"/>
        <w:rPr>
          <w:rFonts w:hint="default" w:ascii="Times New Roman" w:hAnsi="Times New Roman" w:eastAsia="宋体" w:cs="Times New Roman"/>
          <w:b/>
          <w:bCs/>
          <w:snapToGrid/>
          <w:kern w:val="0"/>
          <w:sz w:val="24"/>
          <w:szCs w:val="24"/>
          <w:highlight w:val="none"/>
          <w:lang w:val="en-US" w:eastAsia="zh-CN" w:bidi="ar"/>
        </w:rPr>
      </w:pPr>
      <w:bookmarkStart w:id="20" w:name="_bookmark27"/>
      <w:bookmarkEnd w:id="20"/>
      <w:r>
        <w:rPr>
          <w:rFonts w:hint="default" w:ascii="Times New Roman" w:hAnsi="Times New Roman" w:eastAsia="宋体" w:cs="Times New Roman"/>
          <w:b/>
          <w:bCs/>
          <w:snapToGrid/>
          <w:kern w:val="0"/>
          <w:sz w:val="24"/>
          <w:szCs w:val="24"/>
          <w:highlight w:val="none"/>
          <w:lang w:val="en-US" w:eastAsia="zh-CN" w:bidi="ar"/>
        </w:rPr>
        <w:t>2.1.1国家法律、法规</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（1）《中华人民共和国环境保护法》（2015年1月1日）；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（2）《中华人民共和国环境影响评价法》（2018年12月29日）；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（3）《中华人民共和国水污染防治法》（2018年1月1日）；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（4）《中华人民共和国噪声污染防治法》（2022年6月5日）；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（5）《中华人民共和国大气污染防治法》（2018年10月26日）；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（6）《中华人民共和国固体废物污染环境防治法》（2020年9月1日）；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（7）《中华人民共和国水法》（2016年7月2日）；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（8）《中华人民共和国电力法》（2018年12月29日）；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（9）《中华人民共和国野生动物保护法》（2018年10月26日）；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（10）《中华人民共和国森林法》（2020年7月1日）；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（11）《建设项目环境保护管理条例》（国务院令2017年第682号）；</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（12）《中华人民共和国野生植物保护条例》（国务院令2017年第687号）；</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（13）《中华人民共和国陆生野生动物保护实施条例》（2016年修订）；</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（14）《中华人民共和国自然保护区条例》（国务院令第687号，2017年修订）；</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（15）《中华人民共和国湿地保护法》（2022年6月1日实施）。</w:t>
      </w:r>
    </w:p>
    <w:p>
      <w:pPr>
        <w:widowControl/>
        <w:kinsoku/>
        <w:autoSpaceDE/>
        <w:autoSpaceDN/>
        <w:adjustRightInd/>
        <w:snapToGrid/>
        <w:spacing w:line="360" w:lineRule="auto"/>
        <w:jc w:val="both"/>
        <w:textAlignment w:val="auto"/>
        <w:rPr>
          <w:rFonts w:hint="default"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2.1.</w:t>
      </w:r>
      <w:r>
        <w:rPr>
          <w:rFonts w:hint="eastAsia" w:ascii="Times New Roman" w:hAnsi="Times New Roman" w:eastAsia="宋体" w:cs="Times New Roman"/>
          <w:b/>
          <w:bCs/>
          <w:snapToGrid/>
          <w:kern w:val="0"/>
          <w:sz w:val="24"/>
          <w:szCs w:val="24"/>
          <w:highlight w:val="none"/>
          <w:lang w:val="en-US" w:eastAsia="zh-CN" w:bidi="ar"/>
        </w:rPr>
        <w:t>2</w:t>
      </w:r>
      <w:r>
        <w:rPr>
          <w:rFonts w:hint="default" w:ascii="Times New Roman" w:hAnsi="Times New Roman" w:eastAsia="宋体" w:cs="Times New Roman"/>
          <w:b/>
          <w:bCs/>
          <w:snapToGrid/>
          <w:kern w:val="0"/>
          <w:sz w:val="24"/>
          <w:szCs w:val="24"/>
          <w:highlight w:val="none"/>
          <w:lang w:val="en-US" w:eastAsia="zh-CN" w:bidi="ar"/>
        </w:rPr>
        <w:t>部委规章</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w:t>
      </w:r>
      <w:r>
        <w:rPr>
          <w:rFonts w:hint="default" w:ascii="Times New Roman" w:hAnsi="Times New Roman" w:eastAsia="宋体" w:cs="Times New Roman"/>
          <w:snapToGrid/>
          <w:kern w:val="0"/>
          <w:sz w:val="24"/>
          <w:szCs w:val="24"/>
          <w:highlight w:val="none"/>
          <w:lang w:val="en-US" w:eastAsia="zh-CN" w:bidi="ar"/>
        </w:rPr>
        <w:t>《建设项目环境影响评价分类管理名录（2021年版）》（生态环境部令部令第</w:t>
      </w:r>
      <w:r>
        <w:rPr>
          <w:rFonts w:hint="eastAsia" w:ascii="Times New Roman" w:hAnsi="Times New Roman" w:eastAsia="宋体" w:cs="Times New Roman"/>
          <w:snapToGrid/>
          <w:kern w:val="0"/>
          <w:sz w:val="24"/>
          <w:szCs w:val="24"/>
          <w:highlight w:val="none"/>
          <w:lang w:val="en-US" w:eastAsia="zh-CN" w:bidi="ar"/>
        </w:rPr>
        <w:t>16</w:t>
      </w:r>
      <w:r>
        <w:rPr>
          <w:rFonts w:hint="default" w:ascii="Times New Roman" w:hAnsi="Times New Roman" w:eastAsia="宋体" w:cs="Times New Roman"/>
          <w:snapToGrid/>
          <w:kern w:val="0"/>
          <w:sz w:val="24"/>
          <w:szCs w:val="24"/>
          <w:highlight w:val="none"/>
          <w:lang w:val="en-US" w:eastAsia="zh-CN" w:bidi="ar"/>
        </w:rPr>
        <w:t>号，2020年</w:t>
      </w:r>
      <w:r>
        <w:rPr>
          <w:rFonts w:hint="eastAsia" w:ascii="Times New Roman" w:hAnsi="Times New Roman" w:eastAsia="宋体" w:cs="Times New Roman"/>
          <w:snapToGrid/>
          <w:kern w:val="0"/>
          <w:sz w:val="24"/>
          <w:szCs w:val="24"/>
          <w:highlight w:val="none"/>
          <w:lang w:val="en-US" w:eastAsia="zh-CN" w:bidi="ar"/>
        </w:rPr>
        <w:t>11</w:t>
      </w:r>
      <w:r>
        <w:rPr>
          <w:rFonts w:hint="default" w:ascii="Times New Roman" w:hAnsi="Times New Roman" w:eastAsia="宋体" w:cs="Times New Roman"/>
          <w:snapToGrid/>
          <w:kern w:val="0"/>
          <w:sz w:val="24"/>
          <w:szCs w:val="24"/>
          <w:highlight w:val="none"/>
          <w:lang w:val="en-US" w:eastAsia="zh-CN" w:bidi="ar"/>
        </w:rPr>
        <w:t>月30日）；</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w:t>
      </w:r>
      <w:r>
        <w:rPr>
          <w:rFonts w:hint="default" w:ascii="Times New Roman" w:hAnsi="Times New Roman" w:eastAsia="宋体" w:cs="Times New Roman"/>
          <w:snapToGrid/>
          <w:kern w:val="0"/>
          <w:sz w:val="24"/>
          <w:szCs w:val="24"/>
          <w:highlight w:val="none"/>
          <w:lang w:val="en-US" w:eastAsia="zh-CN" w:bidi="ar"/>
        </w:rPr>
        <w:t>《环境影响评价公众参与办法》（生态环境部令第</w:t>
      </w:r>
      <w:r>
        <w:rPr>
          <w:rFonts w:hint="eastAsia" w:ascii="Times New Roman" w:hAnsi="Times New Roman" w:eastAsia="宋体" w:cs="Times New Roman"/>
          <w:snapToGrid/>
          <w:kern w:val="0"/>
          <w:sz w:val="24"/>
          <w:szCs w:val="24"/>
          <w:highlight w:val="none"/>
          <w:lang w:val="en-US" w:eastAsia="zh-CN" w:bidi="ar"/>
        </w:rPr>
        <w:t>4</w:t>
      </w:r>
      <w:r>
        <w:rPr>
          <w:rFonts w:hint="default" w:ascii="Times New Roman" w:hAnsi="Times New Roman" w:eastAsia="宋体" w:cs="Times New Roman"/>
          <w:snapToGrid/>
          <w:kern w:val="0"/>
          <w:sz w:val="24"/>
          <w:szCs w:val="24"/>
          <w:highlight w:val="none"/>
          <w:lang w:val="en-US" w:eastAsia="zh-CN" w:bidi="ar"/>
        </w:rPr>
        <w:t>号，2019年</w:t>
      </w:r>
      <w:r>
        <w:rPr>
          <w:rFonts w:hint="eastAsia" w:ascii="Times New Roman" w:hAnsi="Times New Roman" w:eastAsia="宋体" w:cs="Times New Roman"/>
          <w:snapToGrid/>
          <w:kern w:val="0"/>
          <w:sz w:val="24"/>
          <w:szCs w:val="24"/>
          <w:highlight w:val="none"/>
          <w:lang w:val="en-US" w:eastAsia="zh-CN" w:bidi="ar"/>
        </w:rPr>
        <w:t>1</w:t>
      </w:r>
      <w:r>
        <w:rPr>
          <w:rFonts w:hint="default" w:ascii="Times New Roman" w:hAnsi="Times New Roman" w:eastAsia="宋体" w:cs="Times New Roman"/>
          <w:snapToGrid/>
          <w:kern w:val="0"/>
          <w:sz w:val="24"/>
          <w:szCs w:val="24"/>
          <w:highlight w:val="none"/>
          <w:lang w:val="en-US" w:eastAsia="zh-CN" w:bidi="ar"/>
        </w:rPr>
        <w:t>月1日起执行）；</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w:t>
      </w:r>
      <w:r>
        <w:rPr>
          <w:rFonts w:hint="default" w:ascii="Times New Roman" w:hAnsi="Times New Roman" w:eastAsia="宋体" w:cs="Times New Roman"/>
          <w:snapToGrid/>
          <w:kern w:val="0"/>
          <w:sz w:val="24"/>
          <w:szCs w:val="24"/>
          <w:highlight w:val="none"/>
          <w:lang w:val="en-US" w:eastAsia="zh-CN" w:bidi="ar"/>
        </w:rPr>
        <w:t>《产业结构调整指导目录（2019年本）》（国家发展和改革委员会令第</w:t>
      </w:r>
      <w:r>
        <w:rPr>
          <w:rFonts w:hint="eastAsia" w:ascii="Times New Roman" w:hAnsi="Times New Roman" w:eastAsia="宋体" w:cs="Times New Roman"/>
          <w:snapToGrid/>
          <w:kern w:val="0"/>
          <w:sz w:val="24"/>
          <w:szCs w:val="24"/>
          <w:highlight w:val="none"/>
          <w:lang w:val="en-US" w:eastAsia="zh-CN" w:bidi="ar"/>
        </w:rPr>
        <w:t>29</w:t>
      </w:r>
      <w:r>
        <w:rPr>
          <w:rFonts w:hint="default" w:ascii="Times New Roman" w:hAnsi="Times New Roman" w:eastAsia="宋体" w:cs="Times New Roman"/>
          <w:snapToGrid/>
          <w:kern w:val="0"/>
          <w:sz w:val="24"/>
          <w:szCs w:val="24"/>
          <w:highlight w:val="none"/>
          <w:lang w:val="en-US" w:eastAsia="zh-CN" w:bidi="ar"/>
        </w:rPr>
        <w:t>号）；</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w:t>
      </w:r>
      <w:r>
        <w:rPr>
          <w:rFonts w:hint="default" w:ascii="Times New Roman" w:hAnsi="Times New Roman" w:eastAsia="宋体" w:cs="Times New Roman"/>
          <w:snapToGrid/>
          <w:kern w:val="0"/>
          <w:sz w:val="24"/>
          <w:szCs w:val="24"/>
          <w:highlight w:val="none"/>
          <w:lang w:val="en-US" w:eastAsia="zh-CN" w:bidi="ar"/>
        </w:rPr>
        <w:t>《关于进一步加强输变电类建设项目环境保护监管工作的通知》（环境保护部环办〔2012〕131号）；</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w:t>
      </w:r>
      <w:r>
        <w:rPr>
          <w:rFonts w:hint="default" w:ascii="Times New Roman" w:hAnsi="Times New Roman" w:eastAsia="宋体" w:cs="Times New Roman"/>
          <w:snapToGrid/>
          <w:kern w:val="0"/>
          <w:sz w:val="24"/>
          <w:szCs w:val="24"/>
          <w:highlight w:val="none"/>
          <w:lang w:val="en-US" w:eastAsia="zh-CN" w:bidi="ar"/>
        </w:rPr>
        <w:t>《关于切实加强风险防范严格环境影响评价管理的通知》（环境保护部环发〔2012〕98号）；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（6）《国家危险废物名录（2021年版）》（生态环境部令部令第15号，2020年11月25日）；</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（7）《关于强化建设项目环境影响评价事中事后监管的实施意见》（环环评〔2018〕11号）；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（8）《关于以改善环境质量为核心加强环境影响评价管理的通知》（环环评〔2016〕150号）；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（9）《中共中央办公厅国务院办公厅印发〈关于划定并严守生态保护红线的若干意见〉的通知》（厅字〔2017〕2号）；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（10）《关于在国土空间规划中统筹划定落实三条控制线的指导意见》（中共中央办公厅、国务院办公厅，2019年11月）；</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（11）《生态环境部关于严惩弄虚作假提高环评质量的意见》（环环评〔2020〕48号）；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（12）《关于生态环境领域进一步深化“放管服”改革，推动经济高质量发展的指导意见》（环规财〔2018〕86号）；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（13）《关于启用&lt;建设项目环境影响报告书审批基础信息表&gt;的通知》（环办环评函〔2020〕771号）；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（14）《建设项目环境影响评价信息公开机制方案》（环境保护部环发〔2015〕162号）；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（15）《建设项目环境影响评价政府信息公开指南（试行）》（环境保护部环办〔2013〕103号）；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（16）《市场准入负面清单（2022年版）》（发改体改规〔2022〕397号，2022年3月12日实施）。</w:t>
      </w:r>
    </w:p>
    <w:p>
      <w:pPr>
        <w:widowControl/>
        <w:kinsoku/>
        <w:autoSpaceDE/>
        <w:autoSpaceDN/>
        <w:adjustRightInd/>
        <w:snapToGrid/>
        <w:spacing w:line="360" w:lineRule="auto"/>
        <w:jc w:val="both"/>
        <w:textAlignment w:val="auto"/>
        <w:rPr>
          <w:rFonts w:hint="eastAsia"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2.1.</w:t>
      </w:r>
      <w:r>
        <w:rPr>
          <w:rFonts w:hint="eastAsia" w:ascii="Times New Roman" w:hAnsi="Times New Roman" w:eastAsia="宋体" w:cs="Times New Roman"/>
          <w:b/>
          <w:bCs/>
          <w:snapToGrid/>
          <w:kern w:val="0"/>
          <w:sz w:val="24"/>
          <w:szCs w:val="24"/>
          <w:highlight w:val="none"/>
          <w:lang w:val="en-US" w:eastAsia="zh-CN" w:bidi="ar"/>
        </w:rPr>
        <w:t>3地方性法规及相关文件</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（1）《黑龙江省地表水功能区标准》（DB23/T740-2003）；</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（2）《黑龙江省主体功能区规划》（2012年4月25日）；</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（3）《黑龙江省生态功能区划》（2005年9月）；</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（4）《黑龙江省贯彻落实&lt;关于划定并严守生态保护红线的若干意见&gt;的实施意见》（2017年8月14日）；</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（5）《黑龙江省生态环境厅审批环境影响评价文件的建设项目目录（2019年本）》（黑龙江省生态环境厅，2019年6月）；</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（6）《黑龙江省人民政府关于实施“三线一单”生态环境分区管控的意见》（黑政发〔2020〕14号）；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（7）《大庆市人民政府关于实施“三线一单”生态环境分区管控的意见》庆政发〔2021〕3号；</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（8）《黑龙江省人民政府关于实施“三线一单”生态环境分区管控的意见》（黑政发〔2020〕14号，2020年12月16日）；</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（9）《黑龙江省“十四五”生态环境保护规划》（黑政规〔2021〕18号，2021年12月31日）。</w:t>
      </w:r>
    </w:p>
    <w:p>
      <w:pPr>
        <w:widowControl/>
        <w:kinsoku/>
        <w:autoSpaceDE/>
        <w:autoSpaceDN/>
        <w:adjustRightInd/>
        <w:snapToGrid/>
        <w:spacing w:line="360" w:lineRule="auto"/>
        <w:jc w:val="both"/>
        <w:textAlignment w:val="auto"/>
        <w:rPr>
          <w:rFonts w:hint="eastAsia" w:ascii="Times New Roman" w:hAnsi="Times New Roman" w:eastAsia="宋体" w:cs="Times New Roman"/>
          <w:b/>
          <w:bCs/>
          <w:snapToGrid/>
          <w:kern w:val="0"/>
          <w:sz w:val="24"/>
          <w:szCs w:val="24"/>
          <w:highlight w:val="none"/>
          <w:lang w:val="en-US" w:eastAsia="zh-CN" w:bidi="ar"/>
        </w:rPr>
      </w:pPr>
      <w:r>
        <w:rPr>
          <w:rFonts w:hint="eastAsia" w:ascii="Times New Roman" w:hAnsi="Times New Roman" w:eastAsia="宋体" w:cs="Times New Roman"/>
          <w:b/>
          <w:bCs/>
          <w:snapToGrid/>
          <w:kern w:val="0"/>
          <w:sz w:val="24"/>
          <w:szCs w:val="24"/>
          <w:highlight w:val="none"/>
          <w:lang w:val="en-US" w:eastAsia="zh-CN" w:bidi="ar"/>
        </w:rPr>
        <w:t>2.1.4环评技术导则、规范、标准及测量方法</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（1）《建设项目环境影响评价技术导则 总纲》（HJ2.1-2016）；</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（2）《电磁环境控制限值》（GB8702-2014）；</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（3）《声环境质量标准》（GB3096-2008）；</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（4）《工业企业厂界环境噪声排放标准》（GB12348-2008）；</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（5）《环境空气质量标准》（GB3095-2012）；</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（6）《污水综合排放标准》（GB8978-1996）；</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（7）《地表水环境质量标准》（GB3838-2002）；</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（8）《环境影响评价技术导则 声环境》（HJ2.4-2021）；</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（9）《建筑施工场界环境噪声排放标准》（GB12523-2011）；</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（10）《环境影响评价技术导则 生态影响》（HJ19-2022）；</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（11）《环境影响评价技术导则 输变电》（HJ24-2020）；</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（12）《交流输变电工程电磁环境监测方法（试行）》（HJ681-2013）</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（13）《环境影响评价技术导则 地表水环境》（HJ2.3-2018）；</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（14）《环境影响评价技术导则 大气环境》（HJ2.2-2018）；</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（15）《环境影响评价技术导则 地下水环境》（HJ610-2016）；</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（16）《建设项目环境风险评价技术导则》（HJ169-2018）；</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（17）《输变电建设项目环境保护技术要求》（HJ1113-2020）。</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（18）《110kV-750kV架空输电线路设计规范》(GB50545-2010)；</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（19）《220kV-750kV变电站设计技术规程》(DL/T5218-2012)；</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（20）《架空输电线路杆塔结构设计技术规定》(DL/T5154-2012)；</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（21）《架空输电线路基础设计技术规程》(DL/T5219-2014)；</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（22）《变电站噪声控制技术导则》(DL/T1518-2016)。</w:t>
      </w:r>
    </w:p>
    <w:p>
      <w:pPr>
        <w:widowControl/>
        <w:kinsoku/>
        <w:autoSpaceDE/>
        <w:autoSpaceDN/>
        <w:adjustRightInd/>
        <w:snapToGrid/>
        <w:spacing w:line="360" w:lineRule="auto"/>
        <w:jc w:val="both"/>
        <w:textAlignment w:val="auto"/>
        <w:rPr>
          <w:rFonts w:hint="default"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2.1.5工程设计资料</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（1）《大庆南部500kV汇集升压送出工程可行性研究》（2022年8月）；</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w:t>
      </w:r>
      <w:r>
        <w:rPr>
          <w:rFonts w:hint="default" w:ascii="Times New Roman" w:hAnsi="Times New Roman" w:eastAsia="宋体" w:cs="Times New Roman"/>
          <w:snapToGrid/>
          <w:kern w:val="0"/>
          <w:sz w:val="24"/>
          <w:szCs w:val="24"/>
          <w:highlight w:val="none"/>
          <w:lang w:val="en-US" w:eastAsia="zh-CN" w:bidi="ar"/>
        </w:rPr>
        <w:t>建设单位提供的其他资料</w:t>
      </w:r>
      <w:r>
        <w:rPr>
          <w:rFonts w:hint="eastAsia" w:ascii="Times New Roman" w:hAnsi="Times New Roman" w:eastAsia="宋体" w:cs="Times New Roman"/>
          <w:snapToGrid/>
          <w:kern w:val="0"/>
          <w:sz w:val="24"/>
          <w:szCs w:val="24"/>
          <w:highlight w:val="none"/>
          <w:lang w:val="en-US" w:eastAsia="zh-CN" w:bidi="ar"/>
        </w:rPr>
        <w:t>。</w:t>
      </w:r>
    </w:p>
    <w:p>
      <w:pPr>
        <w:widowControl/>
        <w:kinsoku/>
        <w:autoSpaceDE/>
        <w:autoSpaceDN/>
        <w:adjustRightInd/>
        <w:snapToGrid/>
        <w:spacing w:line="360" w:lineRule="auto"/>
        <w:jc w:val="both"/>
        <w:textAlignment w:val="auto"/>
        <w:rPr>
          <w:rFonts w:hint="default"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2.1.</w:t>
      </w:r>
      <w:r>
        <w:rPr>
          <w:rFonts w:hint="eastAsia" w:ascii="Times New Roman" w:hAnsi="Times New Roman" w:eastAsia="宋体" w:cs="Times New Roman"/>
          <w:b/>
          <w:bCs/>
          <w:snapToGrid/>
          <w:kern w:val="0"/>
          <w:sz w:val="24"/>
          <w:szCs w:val="24"/>
          <w:highlight w:val="none"/>
          <w:lang w:val="en-US" w:eastAsia="zh-CN" w:bidi="ar"/>
        </w:rPr>
        <w:t>6</w:t>
      </w:r>
      <w:r>
        <w:rPr>
          <w:rFonts w:hint="default" w:ascii="Times New Roman" w:hAnsi="Times New Roman" w:eastAsia="宋体" w:cs="Times New Roman"/>
          <w:b/>
          <w:bCs/>
          <w:snapToGrid/>
          <w:kern w:val="0"/>
          <w:sz w:val="24"/>
          <w:szCs w:val="24"/>
          <w:highlight w:val="none"/>
          <w:lang w:val="en-US" w:eastAsia="zh-CN" w:bidi="ar"/>
        </w:rPr>
        <w:t>环评工作委托文件</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本工程环境影响评价委托书</w:t>
      </w:r>
      <w:r>
        <w:rPr>
          <w:rFonts w:hint="eastAsia" w:ascii="Times New Roman" w:hAnsi="Times New Roman" w:eastAsia="宋体" w:cs="Times New Roman"/>
          <w:snapToGrid/>
          <w:kern w:val="0"/>
          <w:sz w:val="24"/>
          <w:szCs w:val="24"/>
          <w:highlight w:val="none"/>
          <w:lang w:val="en-US" w:eastAsia="zh-CN" w:bidi="ar"/>
        </w:rPr>
        <w:t>（见附件）。</w:t>
      </w:r>
    </w:p>
    <w:p>
      <w:pPr>
        <w:widowControl/>
        <w:kinsoku/>
        <w:autoSpaceDE/>
        <w:autoSpaceDN/>
        <w:adjustRightInd/>
        <w:snapToGrid/>
        <w:spacing w:line="360" w:lineRule="auto"/>
        <w:jc w:val="both"/>
        <w:textAlignment w:val="auto"/>
        <w:rPr>
          <w:rFonts w:hint="default"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2.1.</w:t>
      </w:r>
      <w:r>
        <w:rPr>
          <w:rFonts w:hint="eastAsia" w:ascii="Times New Roman" w:hAnsi="Times New Roman" w:eastAsia="宋体" w:cs="Times New Roman"/>
          <w:b/>
          <w:bCs/>
          <w:snapToGrid/>
          <w:kern w:val="0"/>
          <w:sz w:val="24"/>
          <w:szCs w:val="24"/>
          <w:highlight w:val="none"/>
          <w:lang w:val="en-US" w:eastAsia="zh-CN" w:bidi="ar"/>
        </w:rPr>
        <w:t>7</w:t>
      </w:r>
      <w:r>
        <w:rPr>
          <w:rFonts w:hint="default" w:ascii="Times New Roman" w:hAnsi="Times New Roman" w:eastAsia="宋体" w:cs="Times New Roman"/>
          <w:b/>
          <w:bCs/>
          <w:snapToGrid/>
          <w:kern w:val="0"/>
          <w:sz w:val="24"/>
          <w:szCs w:val="24"/>
          <w:highlight w:val="none"/>
          <w:lang w:val="en-US" w:eastAsia="zh-CN" w:bidi="ar"/>
        </w:rPr>
        <w:t>环境质量现状监测相关文件</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本工程环境质量现状监测报告</w:t>
      </w:r>
      <w:r>
        <w:rPr>
          <w:rFonts w:hint="eastAsia" w:ascii="Times New Roman" w:hAnsi="Times New Roman" w:eastAsia="宋体" w:cs="Times New Roman"/>
          <w:snapToGrid/>
          <w:kern w:val="0"/>
          <w:sz w:val="24"/>
          <w:szCs w:val="24"/>
          <w:highlight w:val="none"/>
          <w:lang w:val="en-US" w:eastAsia="zh-CN" w:bidi="ar"/>
        </w:rPr>
        <w:t>（见附件）</w:t>
      </w:r>
      <w:r>
        <w:rPr>
          <w:rFonts w:hint="default" w:ascii="Times New Roman" w:hAnsi="Times New Roman" w:eastAsia="宋体" w:cs="Times New Roman"/>
          <w:snapToGrid/>
          <w:kern w:val="0"/>
          <w:sz w:val="24"/>
          <w:szCs w:val="24"/>
          <w:highlight w:val="none"/>
          <w:lang w:val="en-US" w:eastAsia="zh-CN" w:bidi="ar"/>
        </w:rPr>
        <w:t>。</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21" w:name="_Toc6202"/>
      <w:r>
        <w:rPr>
          <w:rFonts w:hint="default" w:ascii="Times New Roman" w:hAnsi="Times New Roman" w:eastAsia="宋体" w:cs="Times New Roman"/>
          <w:snapToGrid/>
          <w:sz w:val="32"/>
          <w:lang w:val="en-US" w:eastAsia="zh-CN" w:bidi="ar-SA"/>
        </w:rPr>
        <w:t>2.2评价因子与评价标准</w:t>
      </w:r>
      <w:bookmarkEnd w:id="21"/>
    </w:p>
    <w:p>
      <w:pPr>
        <w:widowControl/>
        <w:kinsoku/>
        <w:autoSpaceDE/>
        <w:autoSpaceDN/>
        <w:adjustRightInd/>
        <w:snapToGrid/>
        <w:spacing w:line="360" w:lineRule="auto"/>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2.2.1评价因子</w:t>
      </w:r>
    </w:p>
    <w:p>
      <w:pPr>
        <w:widowControl/>
        <w:kinsoku/>
        <w:autoSpaceDE/>
        <w:autoSpaceDN/>
        <w:adjustRightInd/>
        <w:snapToGrid/>
        <w:spacing w:line="360" w:lineRule="auto"/>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w:t>
      </w:r>
      <w:r>
        <w:rPr>
          <w:rFonts w:hint="default" w:ascii="Times New Roman" w:hAnsi="Times New Roman" w:eastAsia="宋体" w:cs="Times New Roman"/>
          <w:snapToGrid/>
          <w:kern w:val="0"/>
          <w:sz w:val="24"/>
          <w:szCs w:val="24"/>
          <w:highlight w:val="none"/>
          <w:lang w:val="en-US" w:eastAsia="zh-CN" w:bidi="ar"/>
        </w:rPr>
        <w:t>施工期</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①声环境：昼间、夜间等效A声级，LAeq，T。</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②生态：生态系统及其生物因子、非生物因子。</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③地表水：pH、COD、BOD</w:t>
      </w:r>
      <w:r>
        <w:rPr>
          <w:rFonts w:hint="default" w:ascii="Times New Roman" w:hAnsi="Times New Roman" w:eastAsia="宋体" w:cs="Times New Roman"/>
          <w:snapToGrid/>
          <w:kern w:val="0"/>
          <w:sz w:val="24"/>
          <w:szCs w:val="24"/>
          <w:highlight w:val="none"/>
          <w:vertAlign w:val="subscript"/>
          <w:lang w:val="en-US" w:eastAsia="zh-CN" w:bidi="ar"/>
        </w:rPr>
        <w:t>5</w:t>
      </w:r>
      <w:r>
        <w:rPr>
          <w:rFonts w:hint="default" w:ascii="Times New Roman" w:hAnsi="Times New Roman" w:eastAsia="宋体" w:cs="Times New Roman"/>
          <w:snapToGrid/>
          <w:kern w:val="0"/>
          <w:sz w:val="24"/>
          <w:szCs w:val="24"/>
          <w:highlight w:val="none"/>
          <w:lang w:val="en-US" w:eastAsia="zh-CN" w:bidi="ar"/>
        </w:rPr>
        <w:t>、NH</w:t>
      </w:r>
      <w:r>
        <w:rPr>
          <w:rFonts w:hint="default" w:ascii="Times New Roman" w:hAnsi="Times New Roman" w:eastAsia="宋体" w:cs="Times New Roman"/>
          <w:snapToGrid/>
          <w:kern w:val="0"/>
          <w:sz w:val="24"/>
          <w:szCs w:val="24"/>
          <w:highlight w:val="none"/>
          <w:vertAlign w:val="subscript"/>
          <w:lang w:val="en-US" w:eastAsia="zh-CN" w:bidi="ar"/>
        </w:rPr>
        <w:t>3</w:t>
      </w:r>
      <w:r>
        <w:rPr>
          <w:rFonts w:hint="default" w:ascii="Times New Roman" w:hAnsi="Times New Roman" w:eastAsia="宋体" w:cs="Times New Roman"/>
          <w:snapToGrid/>
          <w:kern w:val="0"/>
          <w:sz w:val="24"/>
          <w:szCs w:val="24"/>
          <w:highlight w:val="none"/>
          <w:lang w:val="en-US" w:eastAsia="zh-CN" w:bidi="ar"/>
        </w:rPr>
        <w:t>-N、石油类</w:t>
      </w:r>
      <w:r>
        <w:rPr>
          <w:rFonts w:hint="eastAsia" w:ascii="Times New Roman" w:hAnsi="Times New Roman" w:eastAsia="宋体" w:cs="Times New Roman"/>
          <w:snapToGrid/>
          <w:kern w:val="0"/>
          <w:sz w:val="24"/>
          <w:szCs w:val="24"/>
          <w:highlight w:val="none"/>
          <w:lang w:val="en-US" w:eastAsia="zh-CN" w:bidi="ar"/>
        </w:rPr>
        <w:t>。</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④环境空气：扬尘。</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⑤固废：建筑垃圾、生活垃圾。</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其他如环境空气做简要分析。</w:t>
      </w:r>
    </w:p>
    <w:p>
      <w:pPr>
        <w:widowControl/>
        <w:kinsoku/>
        <w:autoSpaceDE/>
        <w:autoSpaceDN/>
        <w:adjustRightInd/>
        <w:snapToGrid/>
        <w:spacing w:line="360" w:lineRule="auto"/>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w:t>
      </w:r>
      <w:r>
        <w:rPr>
          <w:rFonts w:hint="default" w:ascii="Times New Roman" w:hAnsi="Times New Roman" w:eastAsia="宋体" w:cs="Times New Roman"/>
          <w:snapToGrid/>
          <w:kern w:val="0"/>
          <w:sz w:val="24"/>
          <w:szCs w:val="24"/>
          <w:highlight w:val="none"/>
          <w:lang w:val="en-US" w:eastAsia="zh-CN" w:bidi="ar"/>
        </w:rPr>
        <w:t>运行期</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①电磁环境</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交流输电线路：工频电场、工频磁场。</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②声环境</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昼间、夜间等效</w:t>
      </w:r>
      <w:r>
        <w:rPr>
          <w:rFonts w:hint="eastAsia" w:ascii="Times New Roman" w:hAnsi="Times New Roman" w:eastAsia="宋体" w:cs="Times New Roman"/>
          <w:snapToGrid/>
          <w:kern w:val="0"/>
          <w:sz w:val="24"/>
          <w:szCs w:val="24"/>
          <w:highlight w:val="none"/>
          <w:lang w:val="en-US" w:eastAsia="zh-CN" w:bidi="ar"/>
        </w:rPr>
        <w:t>A</w:t>
      </w:r>
      <w:r>
        <w:rPr>
          <w:rFonts w:hint="default" w:ascii="Times New Roman" w:hAnsi="Times New Roman" w:eastAsia="宋体" w:cs="Times New Roman"/>
          <w:snapToGrid/>
          <w:kern w:val="0"/>
          <w:sz w:val="24"/>
          <w:szCs w:val="24"/>
          <w:highlight w:val="none"/>
          <w:lang w:val="en-US" w:eastAsia="zh-CN" w:bidi="ar"/>
        </w:rPr>
        <w:t>声级，LAeq，T。</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其他如固废、环境风险等做简要分析。</w:t>
      </w:r>
    </w:p>
    <w:p>
      <w:pPr>
        <w:widowControl/>
        <w:kinsoku/>
        <w:autoSpaceDE/>
        <w:autoSpaceDN/>
        <w:adjustRightInd/>
        <w:snapToGrid/>
        <w:spacing w:line="360" w:lineRule="auto"/>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w:t>
      </w:r>
      <w:r>
        <w:rPr>
          <w:rFonts w:hint="default" w:ascii="Times New Roman" w:hAnsi="Times New Roman" w:eastAsia="宋体" w:cs="Times New Roman"/>
          <w:snapToGrid/>
          <w:kern w:val="0"/>
          <w:sz w:val="24"/>
          <w:szCs w:val="24"/>
          <w:highlight w:val="none"/>
          <w:lang w:val="en-US" w:eastAsia="zh-CN" w:bidi="ar"/>
        </w:rPr>
        <w:t>环境质量标准</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①电磁环境执行《电磁环境控制限值》(GB8702-2014)中频率(f)为50Hz时电场强度、磁感应强度的标准。</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②依据《声环境功能区划分技术规范》、《声环境质量标准》，本</w:t>
      </w:r>
      <w:r>
        <w:rPr>
          <w:rFonts w:hint="eastAsia" w:ascii="Times New Roman" w:hAnsi="Times New Roman" w:eastAsia="宋体" w:cs="Times New Roman"/>
          <w:snapToGrid/>
          <w:kern w:val="0"/>
          <w:sz w:val="24"/>
          <w:szCs w:val="24"/>
          <w:highlight w:val="none"/>
          <w:lang w:val="en-US" w:eastAsia="zh-CN" w:bidi="ar"/>
        </w:rPr>
        <w:t>项目</w:t>
      </w:r>
      <w:r>
        <w:rPr>
          <w:rFonts w:hint="default" w:ascii="Times New Roman" w:hAnsi="Times New Roman" w:eastAsia="宋体" w:cs="Times New Roman"/>
          <w:snapToGrid/>
          <w:kern w:val="0"/>
          <w:sz w:val="24"/>
          <w:szCs w:val="24"/>
          <w:highlight w:val="none"/>
          <w:lang w:val="en-US" w:eastAsia="zh-CN" w:bidi="ar"/>
        </w:rPr>
        <w:t>500kV汇集站和输电线路沿线居民点相应执行《声环境质量标准》(GB3096-2008)中</w:t>
      </w:r>
      <w:r>
        <w:rPr>
          <w:rFonts w:hint="eastAsia" w:ascii="Times New Roman" w:hAnsi="Times New Roman" w:eastAsia="宋体" w:cs="Times New Roman"/>
          <w:snapToGrid/>
          <w:kern w:val="0"/>
          <w:sz w:val="24"/>
          <w:szCs w:val="24"/>
          <w:highlight w:val="none"/>
          <w:lang w:val="en-US" w:eastAsia="zh-CN" w:bidi="ar"/>
        </w:rPr>
        <w:t>1</w:t>
      </w:r>
      <w:r>
        <w:rPr>
          <w:rFonts w:hint="default" w:ascii="Times New Roman" w:hAnsi="Times New Roman" w:eastAsia="宋体" w:cs="Times New Roman"/>
          <w:snapToGrid/>
          <w:kern w:val="0"/>
          <w:sz w:val="24"/>
          <w:szCs w:val="24"/>
          <w:highlight w:val="none"/>
          <w:lang w:val="en-US" w:eastAsia="zh-CN" w:bidi="ar"/>
        </w:rPr>
        <w:t>类、2类标准。电磁环境执行标准具体见表2.2-1，声环境执行标准具体见表2.2-2</w:t>
      </w:r>
      <w:r>
        <w:rPr>
          <w:rFonts w:hint="eastAsia" w:ascii="Times New Roman" w:hAnsi="Times New Roman" w:eastAsia="宋体" w:cs="Times New Roman"/>
          <w:snapToGrid/>
          <w:kern w:val="0"/>
          <w:sz w:val="24"/>
          <w:szCs w:val="24"/>
          <w:highlight w:val="none"/>
          <w:lang w:val="en-US" w:eastAsia="zh-CN" w:bidi="ar"/>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.2-1电磁环境公众曝露控制限值一览表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3"/>
        <w:gridCol w:w="1668"/>
        <w:gridCol w:w="1618"/>
        <w:gridCol w:w="840"/>
        <w:gridCol w:w="36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序号</w:t>
            </w:r>
          </w:p>
        </w:tc>
        <w:tc>
          <w:tcPr>
            <w:tcW w:w="166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项目</w:t>
            </w:r>
          </w:p>
        </w:tc>
        <w:tc>
          <w:tcPr>
            <w:tcW w:w="161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标准限值</w:t>
            </w:r>
          </w:p>
        </w:tc>
        <w:tc>
          <w:tcPr>
            <w:tcW w:w="84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单位</w:t>
            </w:r>
          </w:p>
        </w:tc>
        <w:tc>
          <w:tcPr>
            <w:tcW w:w="3693"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标准名称及级</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类</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1</w:t>
            </w:r>
          </w:p>
        </w:tc>
        <w:tc>
          <w:tcPr>
            <w:tcW w:w="166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电场强度E</w:t>
            </w:r>
          </w:p>
        </w:tc>
        <w:tc>
          <w:tcPr>
            <w:tcW w:w="161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4000</w:t>
            </w:r>
          </w:p>
        </w:tc>
        <w:tc>
          <w:tcPr>
            <w:tcW w:w="84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V/m</w:t>
            </w:r>
          </w:p>
        </w:tc>
        <w:tc>
          <w:tcPr>
            <w:tcW w:w="3693" w:type="dxa"/>
            <w:vMerge w:val="restart"/>
            <w:tcBorders>
              <w:tl2br w:val="nil"/>
              <w:tr2bl w:val="nil"/>
            </w:tcBorders>
            <w:vAlign w:val="center"/>
          </w:tcPr>
          <w:p>
            <w:pPr>
              <w:pStyle w:val="11"/>
              <w:keepNext w:val="0"/>
              <w:keepLines w:val="0"/>
              <w:pageBreakBefore w:val="0"/>
              <w:widowControl/>
              <w:wordWrap/>
              <w:overflowPunct/>
              <w:topLinePunct w:val="0"/>
              <w:bidi w:val="0"/>
              <w:spacing w:line="360" w:lineRule="exact"/>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《电磁环境控制限值》</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GB8702-2014</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频率：50kHz</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3"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2</w:t>
            </w:r>
          </w:p>
        </w:tc>
        <w:tc>
          <w:tcPr>
            <w:tcW w:w="166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磁感应强度B</w:t>
            </w:r>
          </w:p>
        </w:tc>
        <w:tc>
          <w:tcPr>
            <w:tcW w:w="161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100</w:t>
            </w:r>
          </w:p>
        </w:tc>
        <w:tc>
          <w:tcPr>
            <w:tcW w:w="84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vertAlign w:val="baseline"/>
                <w:lang w:val="en-US" w:eastAsia="zh-CN"/>
              </w:rPr>
              <w:t>μT</w:t>
            </w:r>
          </w:p>
        </w:tc>
        <w:tc>
          <w:tcPr>
            <w:tcW w:w="3693" w:type="dxa"/>
            <w:vMerge w:val="continue"/>
            <w:tcBorders>
              <w:tl2br w:val="nil"/>
              <w:tr2bl w:val="nil"/>
            </w:tcBorders>
            <w:vAlign w:val="center"/>
          </w:tcPr>
          <w:p>
            <w:pPr>
              <w:pStyle w:val="11"/>
              <w:keepNext w:val="0"/>
              <w:keepLines w:val="0"/>
              <w:pageBreakBefore w:val="0"/>
              <w:widowControl/>
              <w:wordWrap/>
              <w:overflowPunct/>
              <w:topLinePunct w:val="0"/>
              <w:bidi w:val="0"/>
              <w:spacing w:line="360" w:lineRule="exact"/>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22" w:type="dxa"/>
            <w:gridSpan w:val="5"/>
            <w:tcBorders>
              <w:tl2br w:val="nil"/>
              <w:tr2bl w:val="nil"/>
            </w:tcBorders>
            <w:vAlign w:val="center"/>
          </w:tcPr>
          <w:p>
            <w:pPr>
              <w:pStyle w:val="11"/>
              <w:keepNext w:val="0"/>
              <w:keepLines w:val="0"/>
              <w:pageBreakBefore w:val="0"/>
              <w:widowControl/>
              <w:wordWrap/>
              <w:overflowPunct/>
              <w:topLinePunct w:val="0"/>
              <w:bidi w:val="0"/>
              <w:spacing w:line="360" w:lineRule="exact"/>
              <w:ind w:left="0" w:leftChars="0" w:firstLine="0" w:firstLineChars="0"/>
              <w:jc w:val="both"/>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Arial" w:cs="Times New Roman"/>
                <w:snapToGrid w:val="0"/>
                <w:color w:val="auto"/>
                <w:kern w:val="0"/>
                <w:sz w:val="21"/>
                <w:szCs w:val="21"/>
                <w:highlight w:val="none"/>
                <w:vertAlign w:val="baseline"/>
                <w:lang w:val="en-US" w:eastAsia="zh-CN"/>
              </w:rPr>
              <w:t>注：架空输电线路线下的耕地、园地、牧草地、畜禽饲养地、养殖水面、道路等场所，其频率50Hz的电场强度控制限值为10kV/m，且应给出警示和防护指示标志</w:t>
            </w:r>
            <w:r>
              <w:rPr>
                <w:rFonts w:hint="eastAsia" w:ascii="Times New Roman" w:hAnsi="Times New Roman" w:cs="Times New Roman"/>
                <w:snapToGrid w:val="0"/>
                <w:color w:val="auto"/>
                <w:kern w:val="0"/>
                <w:sz w:val="21"/>
                <w:szCs w:val="21"/>
                <w:highlight w:val="none"/>
                <w:vertAlign w:val="baseline"/>
                <w:lang w:val="en-US" w:eastAsia="zh-CN"/>
              </w:rPr>
              <w:t>。</w:t>
            </w:r>
          </w:p>
        </w:tc>
      </w:tr>
    </w:tbl>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表2.2-2声环境质量标准限值一览表</w:t>
      </w:r>
    </w:p>
    <w:p>
      <w:pPr>
        <w:spacing w:line="14" w:lineRule="exact"/>
        <w:rPr>
          <w:highlight w:val="none"/>
        </w:rPr>
      </w:pP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739"/>
        <w:gridCol w:w="2696"/>
        <w:gridCol w:w="1347"/>
        <w:gridCol w:w="1002"/>
        <w:gridCol w:w="251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16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项目</w:t>
            </w:r>
          </w:p>
        </w:tc>
        <w:tc>
          <w:tcPr>
            <w:tcW w:w="8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标准限值</w:t>
            </w:r>
          </w:p>
        </w:tc>
        <w:tc>
          <w:tcPr>
            <w:tcW w:w="603" w:type="pct"/>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单位</w:t>
            </w:r>
          </w:p>
        </w:tc>
        <w:tc>
          <w:tcPr>
            <w:tcW w:w="1516" w:type="pct"/>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标准名称及级</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类</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别</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6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Leq</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A</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昼间</w:t>
            </w:r>
            <w:r>
              <w:rPr>
                <w:rFonts w:hint="eastAsia" w:ascii="Times New Roman" w:hAnsi="Times New Roman" w:cs="Times New Roman"/>
                <w:color w:val="auto"/>
                <w:sz w:val="21"/>
                <w:szCs w:val="21"/>
                <w:highlight w:val="none"/>
                <w:vertAlign w:val="baseline"/>
                <w:lang w:val="en-US" w:eastAsia="zh-CN"/>
              </w:rPr>
              <w:t>）</w:t>
            </w:r>
          </w:p>
        </w:tc>
        <w:tc>
          <w:tcPr>
            <w:tcW w:w="8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≤55</w:t>
            </w:r>
          </w:p>
        </w:tc>
        <w:tc>
          <w:tcPr>
            <w:tcW w:w="603"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dB(A)</w:t>
            </w:r>
          </w:p>
        </w:tc>
        <w:tc>
          <w:tcPr>
            <w:tcW w:w="1516" w:type="pct"/>
            <w:vMerge w:val="restart"/>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《声环境质量标准》</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GB3096-2008</w:t>
            </w: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6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Leq</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A</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夜间</w:t>
            </w:r>
            <w:r>
              <w:rPr>
                <w:rFonts w:hint="eastAsia" w:ascii="Times New Roman" w:hAnsi="Times New Roman" w:cs="Times New Roman"/>
                <w:color w:val="auto"/>
                <w:sz w:val="21"/>
                <w:szCs w:val="21"/>
                <w:highlight w:val="none"/>
                <w:vertAlign w:val="baseline"/>
                <w:lang w:val="en-US" w:eastAsia="zh-CN"/>
              </w:rPr>
              <w:t>）</w:t>
            </w:r>
          </w:p>
        </w:tc>
        <w:tc>
          <w:tcPr>
            <w:tcW w:w="8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≤45</w:t>
            </w:r>
          </w:p>
        </w:tc>
        <w:tc>
          <w:tcPr>
            <w:tcW w:w="603" w:type="pct"/>
            <w:vMerge w:val="continue"/>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516" w:type="pct"/>
            <w:vMerge w:val="continue"/>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16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Leq</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A</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昼间</w:t>
            </w:r>
            <w:r>
              <w:rPr>
                <w:rFonts w:hint="eastAsia" w:ascii="Times New Roman" w:hAnsi="Times New Roman" w:cs="Times New Roman"/>
                <w:color w:val="auto"/>
                <w:sz w:val="21"/>
                <w:szCs w:val="21"/>
                <w:highlight w:val="none"/>
                <w:vertAlign w:val="baseline"/>
                <w:lang w:val="en-US" w:eastAsia="zh-CN"/>
              </w:rPr>
              <w:t>）</w:t>
            </w:r>
          </w:p>
        </w:tc>
        <w:tc>
          <w:tcPr>
            <w:tcW w:w="8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≤60</w:t>
            </w:r>
          </w:p>
        </w:tc>
        <w:tc>
          <w:tcPr>
            <w:tcW w:w="603" w:type="pct"/>
            <w:vMerge w:val="continue"/>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516" w:type="pct"/>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《声环境质量标准》</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GB3096-2008</w:t>
            </w:r>
            <w:r>
              <w:rPr>
                <w:rFonts w:hint="eastAsia" w:ascii="Times New Roman" w:hAnsi="Times New Roman" w:cs="Times New Roman"/>
                <w:color w:val="auto"/>
                <w:sz w:val="21"/>
                <w:szCs w:val="21"/>
                <w:highlight w:val="none"/>
                <w:vertAlign w:val="baseline"/>
                <w:lang w:val="en-US" w:eastAsia="zh-CN"/>
              </w:rPr>
              <w:t>）2</w:t>
            </w:r>
            <w:r>
              <w:rPr>
                <w:rFonts w:hint="default" w:ascii="Times New Roman" w:hAnsi="Times New Roman" w:cs="Times New Roman"/>
                <w:color w:val="auto"/>
                <w:sz w:val="21"/>
                <w:szCs w:val="21"/>
                <w:highlight w:val="none"/>
                <w:vertAlign w:val="baseline"/>
                <w:lang w:val="en-US" w:eastAsia="zh-CN"/>
              </w:rPr>
              <w:t>类</w:t>
            </w:r>
          </w:p>
        </w:tc>
      </w:tr>
    </w:tbl>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（2）污染物排放标准</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①</w:t>
      </w:r>
      <w:r>
        <w:rPr>
          <w:rFonts w:hint="eastAsia" w:ascii="Times New Roman" w:hAnsi="Times New Roman" w:eastAsia="宋体" w:cs="Times New Roman"/>
          <w:snapToGrid/>
          <w:kern w:val="0"/>
          <w:sz w:val="24"/>
          <w:szCs w:val="24"/>
          <w:highlight w:val="none"/>
          <w:lang w:val="en-US" w:eastAsia="zh-CN" w:bidi="ar"/>
        </w:rPr>
        <w:t>输电线路电磁环境执行《电磁环境控制限值》（GB8702-2014）中f为50Hz时电场强度、磁感应强度的标准。</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②</w:t>
      </w:r>
      <w:r>
        <w:rPr>
          <w:rFonts w:hint="eastAsia" w:ascii="Times New Roman" w:hAnsi="Times New Roman" w:eastAsia="宋体" w:cs="Times New Roman"/>
          <w:snapToGrid/>
          <w:kern w:val="0"/>
          <w:sz w:val="24"/>
          <w:szCs w:val="24"/>
          <w:highlight w:val="none"/>
          <w:lang w:val="en-US" w:eastAsia="zh-CN" w:bidi="ar"/>
        </w:rPr>
        <w:t>施工期噪声执行《建筑施工场界环境噪声排放标准》（GB12523-2011），运营期噪声执行《工业企业厂界环境噪声排放标准》（GB12348-2008）2类标准。</w:t>
      </w:r>
    </w:p>
    <w:p>
      <w:pPr>
        <w:keepNext w:val="0"/>
        <w:keepLines w:val="0"/>
        <w:widowControl/>
        <w:suppressLineNumbers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③</w:t>
      </w:r>
      <w:r>
        <w:rPr>
          <w:rFonts w:hint="eastAsia" w:ascii="Times New Roman" w:hAnsi="Times New Roman" w:eastAsia="宋体" w:cs="Times New Roman"/>
          <w:snapToGrid/>
          <w:color w:val="auto"/>
          <w:kern w:val="0"/>
          <w:sz w:val="24"/>
          <w:szCs w:val="24"/>
          <w:highlight w:val="none"/>
          <w:lang w:val="en-US" w:eastAsia="zh-CN" w:bidi="ar"/>
        </w:rPr>
        <w:t>施工扬尘执行《施工场界扬尘排放限值》（DB61/1078-2017）。</w:t>
      </w:r>
    </w:p>
    <w:p>
      <w:pPr>
        <w:keepNext w:val="0"/>
        <w:keepLines w:val="0"/>
        <w:widowControl/>
        <w:suppressLineNumbers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④</w:t>
      </w:r>
      <w:r>
        <w:rPr>
          <w:rFonts w:hint="eastAsia" w:ascii="Times New Roman" w:hAnsi="Times New Roman" w:eastAsia="宋体" w:cs="Times New Roman"/>
          <w:snapToGrid/>
          <w:color w:val="auto"/>
          <w:kern w:val="0"/>
          <w:sz w:val="24"/>
          <w:szCs w:val="24"/>
          <w:highlight w:val="none"/>
          <w:lang w:val="en-US" w:eastAsia="zh-CN" w:bidi="ar"/>
        </w:rPr>
        <w:t>固体废弃物执行《一般工业固体废物贮存和填埋污染控制标准》（GB18599-2020）中的相关规定；危险废物执行《危险废物贮存污染控制标准》（GB18597-2001）及其修改清单中的相关规定；生活垃圾由环卫部门处置。</w:t>
      </w:r>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⑤</w:t>
      </w:r>
      <w:r>
        <w:rPr>
          <w:rFonts w:hint="eastAsia" w:ascii="Times New Roman" w:hAnsi="Times New Roman" w:eastAsia="宋体" w:cs="Times New Roman"/>
          <w:snapToGrid/>
          <w:color w:val="auto"/>
          <w:kern w:val="0"/>
          <w:sz w:val="24"/>
          <w:szCs w:val="24"/>
          <w:highlight w:val="none"/>
          <w:lang w:val="en-US" w:eastAsia="zh-CN" w:bidi="ar"/>
        </w:rPr>
        <w:t>施工期生活污水排入依托变电站化粪池，再经埋地式一体化污水处理装置的进一步处理后就地储存不外排，化粪池及污水处理设备定期清理。</w:t>
      </w:r>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eastAsia" w:ascii="Times New Roman" w:hAnsi="Times New Roman" w:eastAsia="宋体" w:cs="Times New Roman"/>
          <w:snapToGrid/>
          <w:color w:val="auto"/>
          <w:kern w:val="0"/>
          <w:sz w:val="24"/>
          <w:szCs w:val="24"/>
          <w:highlight w:val="none"/>
          <w:lang w:val="en-US" w:eastAsia="zh-CN" w:bidi="ar"/>
        </w:rPr>
        <w:t>运行期生活污水</w:t>
      </w:r>
    </w:p>
    <w:p>
      <w:pPr>
        <w:keepNext w:val="0"/>
        <w:keepLines w:val="0"/>
        <w:widowControl/>
        <w:suppressLineNumbers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0"/>
          <w:sz w:val="24"/>
          <w:szCs w:val="24"/>
          <w:highlight w:val="none"/>
          <w:lang w:val="en-US" w:eastAsia="zh-CN" w:bidi="ar"/>
        </w:rPr>
      </w:pPr>
      <w:r>
        <w:rPr>
          <w:rFonts w:hint="eastAsia" w:ascii="Times New Roman" w:hAnsi="Times New Roman" w:eastAsia="宋体" w:cs="Times New Roman"/>
          <w:snapToGrid/>
          <w:color w:val="auto"/>
          <w:kern w:val="0"/>
          <w:sz w:val="24"/>
          <w:szCs w:val="24"/>
          <w:highlight w:val="none"/>
          <w:lang w:val="en-US" w:eastAsia="zh-CN" w:bidi="ar"/>
        </w:rPr>
        <w:t>生产废水经沉淀处理后回用；生活污水排入化粪池，定期清理，做到不外排。本项目运行期生活污水经地埋式污水处理站处理后回用于站内绿化。</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22" w:name="_Toc5350"/>
      <w:r>
        <w:rPr>
          <w:rFonts w:hint="eastAsia" w:ascii="Times New Roman" w:hAnsi="Times New Roman" w:eastAsia="宋体" w:cs="Times New Roman"/>
          <w:snapToGrid/>
          <w:sz w:val="32"/>
          <w:lang w:val="en-US" w:eastAsia="zh-CN" w:bidi="ar-SA"/>
        </w:rPr>
        <w:t>2.3评价等级</w:t>
      </w:r>
      <w:bookmarkEnd w:id="22"/>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2.3.1电磁环境</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根据《环境影响评价技术导则 输变电》(HJ24-2020)，本工程500kV汇集站工程属于户内式，评价等级为二级；大庆南部500kV汇集升压送出工程架空交流输电线路边导线地面投影外两侧各20m范围内无电磁环境敏感目标，其电磁环境影响评价工作等级为二级，综上本项目电磁环境评价等级为二级。电磁环境评价工作等级判定见表2.3-1。</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表2.3-1电磁环境影响评价工作等级</w:t>
      </w:r>
    </w:p>
    <w:tbl>
      <w:tblPr>
        <w:tblStyle w:val="12"/>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29"/>
        <w:gridCol w:w="1179"/>
        <w:gridCol w:w="1131"/>
        <w:gridCol w:w="3770"/>
        <w:gridCol w:w="159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454" w:hRule="atLeast"/>
        </w:trPr>
        <w:tc>
          <w:tcPr>
            <w:tcW w:w="37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分类</w:t>
            </w:r>
          </w:p>
        </w:tc>
        <w:tc>
          <w:tcPr>
            <w:tcW w:w="71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电压等级</w:t>
            </w:r>
          </w:p>
        </w:tc>
        <w:tc>
          <w:tcPr>
            <w:tcW w:w="68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工程</w:t>
            </w:r>
          </w:p>
        </w:tc>
        <w:tc>
          <w:tcPr>
            <w:tcW w:w="22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条件</w:t>
            </w:r>
          </w:p>
        </w:tc>
        <w:tc>
          <w:tcPr>
            <w:tcW w:w="9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评价工作等级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379"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交流</w:t>
            </w:r>
          </w:p>
        </w:tc>
        <w:tc>
          <w:tcPr>
            <w:tcW w:w="71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500kV及</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以上</w:t>
            </w:r>
          </w:p>
        </w:tc>
        <w:tc>
          <w:tcPr>
            <w:tcW w:w="68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变电站</w:t>
            </w:r>
          </w:p>
        </w:tc>
        <w:tc>
          <w:tcPr>
            <w:tcW w:w="22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户内式，地下式</w:t>
            </w:r>
          </w:p>
        </w:tc>
        <w:tc>
          <w:tcPr>
            <w:tcW w:w="9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71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8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2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户外式</w:t>
            </w:r>
          </w:p>
        </w:tc>
        <w:tc>
          <w:tcPr>
            <w:tcW w:w="9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71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8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输电线</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路</w:t>
            </w:r>
          </w:p>
        </w:tc>
        <w:tc>
          <w:tcPr>
            <w:tcW w:w="22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1.地下电缆</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2.边导线地面投影外两侧各20m范围内无电磁环境敏感目标的架空线</w:t>
            </w:r>
          </w:p>
        </w:tc>
        <w:tc>
          <w:tcPr>
            <w:tcW w:w="9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7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71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8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2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边导线地面投影外两侧各20m范围内有电磁环境敏感目标的架空线</w:t>
            </w:r>
          </w:p>
        </w:tc>
        <w:tc>
          <w:tcPr>
            <w:tcW w:w="95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5000" w:type="pct"/>
            <w:gridSpan w:val="5"/>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注：根据同电压等级的变电站确定开关站、串补站的电磁环境影响评价工作等级，根据直流侧电压等级确定换流站的电磁环境影响评价工作等级。</w:t>
            </w:r>
          </w:p>
        </w:tc>
      </w:tr>
    </w:tbl>
    <w:p>
      <w:pPr>
        <w:keepNext w:val="0"/>
        <w:keepLines w:val="0"/>
        <w:widowControl/>
        <w:suppressLineNumbers w:val="0"/>
        <w:kinsoku/>
        <w:autoSpaceDE/>
        <w:autoSpaceDN/>
        <w:adjustRightInd/>
        <w:snapToGrid/>
        <w:spacing w:line="360" w:lineRule="auto"/>
        <w:jc w:val="both"/>
        <w:textAlignment w:val="auto"/>
        <w:rPr>
          <w:rFonts w:hint="eastAsia" w:ascii="Times New Roman" w:hAnsi="Times New Roman" w:eastAsia="宋体" w:cs="Times New Roman"/>
          <w:snapToGrid/>
          <w:color w:val="auto"/>
          <w:kern w:val="0"/>
          <w:sz w:val="24"/>
          <w:szCs w:val="24"/>
          <w:highlight w:val="none"/>
          <w:lang w:val="en-US" w:eastAsia="zh-CN" w:bidi="ar"/>
        </w:rPr>
      </w:pPr>
      <w:bookmarkStart w:id="23" w:name="_Toc14063"/>
      <w:r>
        <w:rPr>
          <w:rFonts w:hint="eastAsia" w:ascii="Times New Roman" w:hAnsi="Times New Roman" w:eastAsia="宋体" w:cs="Times New Roman"/>
          <w:snapToGrid/>
          <w:color w:val="auto"/>
          <w:kern w:val="0"/>
          <w:sz w:val="24"/>
          <w:szCs w:val="24"/>
          <w:highlight w:val="none"/>
          <w:lang w:val="en-US" w:eastAsia="zh-CN" w:bidi="ar"/>
        </w:rPr>
        <w:t>2.3.2声环境</w:t>
      </w:r>
      <w:bookmarkEnd w:id="23"/>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8"/>
          <w:szCs w:val="28"/>
          <w:highlight w:val="none"/>
          <w:lang w:val="en-US" w:eastAsia="zh-CN" w:bidi="ar"/>
        </w:rPr>
      </w:pPr>
      <w:r>
        <w:rPr>
          <w:rFonts w:hint="eastAsia" w:ascii="Times New Roman" w:hAnsi="Times New Roman" w:eastAsia="宋体" w:cs="Times New Roman"/>
          <w:snapToGrid/>
          <w:color w:val="auto"/>
          <w:kern w:val="0"/>
          <w:sz w:val="24"/>
          <w:szCs w:val="24"/>
          <w:highlight w:val="none"/>
          <w:lang w:val="en-US" w:eastAsia="zh-CN" w:bidi="ar"/>
        </w:rPr>
        <w:t>本工程建设地点所处地区为2类声环境功能区。根据《环境影响评价技术导则 声环境》（HJ2.4-202</w:t>
      </w:r>
      <w:r>
        <w:rPr>
          <w:rFonts w:hint="eastAsia" w:ascii="Times New Roman" w:hAnsi="Times New Roman" w:eastAsia="宋体" w:cs="Times New Roman"/>
          <w:snapToGrid/>
          <w:kern w:val="0"/>
          <w:sz w:val="24"/>
          <w:szCs w:val="24"/>
          <w:highlight w:val="none"/>
          <w:lang w:val="en-US" w:eastAsia="zh-CN" w:bidi="ar"/>
        </w:rPr>
        <w:t>1）中有关规定评价工作分级的规定，确定本次声环境影响评价等级，声环境评价工作等级判定见表2.3-2和表2.3-3，本工程声环境影响评价工作等级为二级。</w:t>
      </w:r>
    </w:p>
    <w:p>
      <w:pPr>
        <w:widowControl/>
        <w:kinsoku/>
        <w:autoSpaceDE/>
        <w:autoSpaceDN/>
        <w:adjustRightInd/>
        <w:snapToGrid/>
        <w:spacing w:line="360" w:lineRule="auto"/>
        <w:ind w:firstLine="482" w:firstLineChars="200"/>
        <w:jc w:val="center"/>
        <w:textAlignment w:val="auto"/>
        <w:rPr>
          <w:rFonts w:hint="default"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表2.3-2噪声评价工作等级判定表</w:t>
      </w:r>
    </w:p>
    <w:tbl>
      <w:tblPr>
        <w:tblStyle w:val="20"/>
        <w:tblW w:w="4997"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794"/>
        <w:gridCol w:w="1578"/>
        <w:gridCol w:w="1578"/>
        <w:gridCol w:w="1580"/>
        <w:gridCol w:w="177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654" w:hRule="atLeast"/>
        </w:trPr>
        <w:tc>
          <w:tcPr>
            <w:tcW w:w="108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等级</w:t>
            </w:r>
          </w:p>
        </w:tc>
        <w:tc>
          <w:tcPr>
            <w:tcW w:w="9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声环境功能区</w:t>
            </w:r>
          </w:p>
        </w:tc>
        <w:tc>
          <w:tcPr>
            <w:tcW w:w="9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声级增量</w:t>
            </w:r>
          </w:p>
        </w:tc>
        <w:tc>
          <w:tcPr>
            <w:tcW w:w="9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影响人口变化</w:t>
            </w:r>
          </w:p>
        </w:tc>
        <w:tc>
          <w:tcPr>
            <w:tcW w:w="106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1" w:hRule="atLeast"/>
        </w:trPr>
        <w:tc>
          <w:tcPr>
            <w:tcW w:w="108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一级</w:t>
            </w:r>
          </w:p>
        </w:tc>
        <w:tc>
          <w:tcPr>
            <w:tcW w:w="9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0类</w:t>
            </w:r>
          </w:p>
        </w:tc>
        <w:tc>
          <w:tcPr>
            <w:tcW w:w="9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&gt;5dB</w:t>
            </w:r>
          </w:p>
        </w:tc>
        <w:tc>
          <w:tcPr>
            <w:tcW w:w="9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显著</w:t>
            </w:r>
          </w:p>
        </w:tc>
        <w:tc>
          <w:tcPr>
            <w:tcW w:w="1066"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三个因素独立，只要满足任意一项</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21" w:hRule="atLeast"/>
        </w:trPr>
        <w:tc>
          <w:tcPr>
            <w:tcW w:w="108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二级</w:t>
            </w:r>
          </w:p>
        </w:tc>
        <w:tc>
          <w:tcPr>
            <w:tcW w:w="9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1类2类</w:t>
            </w:r>
          </w:p>
        </w:tc>
        <w:tc>
          <w:tcPr>
            <w:tcW w:w="9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≥3dB且≤5dB</w:t>
            </w:r>
          </w:p>
        </w:tc>
        <w:tc>
          <w:tcPr>
            <w:tcW w:w="9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较多</w:t>
            </w:r>
          </w:p>
        </w:tc>
        <w:tc>
          <w:tcPr>
            <w:tcW w:w="1066" w:type="pct"/>
            <w:vMerge w:val="continue"/>
            <w:tcBorders>
              <w:tl2br w:val="nil"/>
              <w:tr2bl w:val="nil"/>
            </w:tcBorders>
            <w:vAlign w:val="center"/>
          </w:tcPr>
          <w:p>
            <w:pPr>
              <w:jc w:val="center"/>
              <w:rPr>
                <w:rFonts w:ascii="Arial"/>
                <w:sz w:val="21"/>
                <w:highlight w:val="none"/>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08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三级</w:t>
            </w:r>
          </w:p>
        </w:tc>
        <w:tc>
          <w:tcPr>
            <w:tcW w:w="9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3类4类</w:t>
            </w:r>
          </w:p>
        </w:tc>
        <w:tc>
          <w:tcPr>
            <w:tcW w:w="95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&lt;3dB</w:t>
            </w:r>
          </w:p>
        </w:tc>
        <w:tc>
          <w:tcPr>
            <w:tcW w:w="95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不大</w:t>
            </w:r>
          </w:p>
        </w:tc>
        <w:tc>
          <w:tcPr>
            <w:tcW w:w="1066" w:type="pct"/>
            <w:vMerge w:val="continue"/>
            <w:tcBorders>
              <w:tl2br w:val="nil"/>
              <w:tr2bl w:val="nil"/>
            </w:tcBorders>
            <w:vAlign w:val="center"/>
          </w:tcPr>
          <w:p>
            <w:pPr>
              <w:jc w:val="center"/>
              <w:rPr>
                <w:rFonts w:ascii="Arial"/>
                <w:sz w:val="21"/>
                <w:highlight w:val="none"/>
              </w:rPr>
            </w:pPr>
          </w:p>
        </w:tc>
      </w:tr>
    </w:tbl>
    <w:p>
      <w:pPr>
        <w:widowControl/>
        <w:kinsoku/>
        <w:autoSpaceDE/>
        <w:autoSpaceDN/>
        <w:adjustRightInd/>
        <w:snapToGrid/>
        <w:spacing w:line="360" w:lineRule="auto"/>
        <w:jc w:val="both"/>
        <w:textAlignment w:val="auto"/>
        <w:rPr>
          <w:rFonts w:hint="default" w:ascii="Times New Roman" w:hAnsi="Times New Roman" w:eastAsia="宋体" w:cs="Times New Roman"/>
          <w:b/>
          <w:bCs/>
          <w:snapToGrid/>
          <w:kern w:val="0"/>
          <w:sz w:val="24"/>
          <w:szCs w:val="24"/>
          <w:highlight w:val="none"/>
          <w:lang w:val="en-US" w:eastAsia="zh-CN" w:bidi="ar"/>
        </w:rPr>
      </w:pPr>
    </w:p>
    <w:p>
      <w:pPr>
        <w:widowControl/>
        <w:kinsoku/>
        <w:autoSpaceDE/>
        <w:autoSpaceDN/>
        <w:adjustRightInd/>
        <w:snapToGrid/>
        <w:spacing w:line="360" w:lineRule="auto"/>
        <w:ind w:firstLine="482" w:firstLineChars="200"/>
        <w:jc w:val="center"/>
        <w:textAlignment w:val="auto"/>
        <w:rPr>
          <w:rFonts w:hint="default"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表2.3-3声环境影响评价等级表</w:t>
      </w:r>
    </w:p>
    <w:tbl>
      <w:tblPr>
        <w:tblStyle w:val="20"/>
        <w:tblW w:w="4999"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114"/>
        <w:gridCol w:w="2949"/>
        <w:gridCol w:w="424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2446"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环境要素</w:t>
            </w:r>
          </w:p>
        </w:tc>
        <w:tc>
          <w:tcPr>
            <w:tcW w:w="2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评价等级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67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声环境</w:t>
            </w:r>
          </w:p>
        </w:tc>
        <w:tc>
          <w:tcPr>
            <w:tcW w:w="17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功能区</w:t>
            </w:r>
          </w:p>
        </w:tc>
        <w:tc>
          <w:tcPr>
            <w:tcW w:w="2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2类区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6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7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预计噪声增加值(敏感目标)</w:t>
            </w:r>
          </w:p>
        </w:tc>
        <w:tc>
          <w:tcPr>
            <w:tcW w:w="2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&lt;3dB(站址周围200m范围内无敏感点分布)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6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7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影响人口</w:t>
            </w:r>
          </w:p>
        </w:tc>
        <w:tc>
          <w:tcPr>
            <w:tcW w:w="2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受影响人口变化不大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67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7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评价等级</w:t>
            </w:r>
          </w:p>
        </w:tc>
        <w:tc>
          <w:tcPr>
            <w:tcW w:w="2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二级</w:t>
            </w:r>
          </w:p>
        </w:tc>
      </w:tr>
    </w:tbl>
    <w:p>
      <w:pPr>
        <w:keepNext w:val="0"/>
        <w:keepLines w:val="0"/>
        <w:widowControl/>
        <w:suppressLineNumbers w:val="0"/>
        <w:kinsoku/>
        <w:autoSpaceDE/>
        <w:autoSpaceDN/>
        <w:adjustRightInd/>
        <w:snapToGrid/>
        <w:spacing w:line="360" w:lineRule="auto"/>
        <w:jc w:val="both"/>
        <w:textAlignment w:val="auto"/>
        <w:rPr>
          <w:rFonts w:hint="eastAsia" w:ascii="Times New Roman" w:hAnsi="Times New Roman" w:eastAsia="宋体" w:cs="Times New Roman"/>
          <w:snapToGrid/>
          <w:color w:val="auto"/>
          <w:kern w:val="0"/>
          <w:sz w:val="24"/>
          <w:szCs w:val="24"/>
          <w:highlight w:val="none"/>
          <w:lang w:val="en-US" w:eastAsia="zh-CN" w:bidi="ar"/>
        </w:rPr>
      </w:pPr>
      <w:bookmarkStart w:id="24" w:name="_Toc23969"/>
      <w:r>
        <w:rPr>
          <w:rFonts w:hint="eastAsia" w:ascii="Times New Roman" w:hAnsi="Times New Roman" w:eastAsia="宋体" w:cs="Times New Roman"/>
          <w:snapToGrid/>
          <w:color w:val="auto"/>
          <w:kern w:val="0"/>
          <w:sz w:val="24"/>
          <w:szCs w:val="24"/>
          <w:highlight w:val="none"/>
          <w:lang w:val="en-US" w:eastAsia="zh-CN" w:bidi="ar"/>
        </w:rPr>
        <w:t>2.3.3生态环境</w:t>
      </w:r>
      <w:bookmarkEnd w:id="24"/>
    </w:p>
    <w:p>
      <w:pPr>
        <w:keepNext w:val="0"/>
        <w:keepLines w:val="0"/>
        <w:widowControl/>
        <w:suppressLineNumbers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0"/>
          <w:sz w:val="28"/>
          <w:szCs w:val="28"/>
          <w:highlight w:val="none"/>
          <w:lang w:val="en-US" w:eastAsia="zh-CN" w:bidi="ar"/>
        </w:rPr>
      </w:pPr>
      <w:r>
        <w:rPr>
          <w:rFonts w:hint="eastAsia" w:ascii="Times New Roman" w:hAnsi="Times New Roman" w:eastAsia="宋体" w:cs="Times New Roman"/>
          <w:snapToGrid/>
          <w:color w:val="auto"/>
          <w:kern w:val="0"/>
          <w:sz w:val="24"/>
          <w:szCs w:val="24"/>
          <w:highlight w:val="none"/>
          <w:lang w:val="en-US" w:eastAsia="zh-CN" w:bidi="ar"/>
        </w:rPr>
        <w:t>根据《环境影响评价技术导则 生态环境》（HJ19-2022）评价等级和评价范围确定中的第6.1节规定，见表2.3-4，判定本项目生态环境影响评价工作等级为三级。</w:t>
      </w:r>
    </w:p>
    <w:p>
      <w:pPr>
        <w:widowControl/>
        <w:kinsoku/>
        <w:autoSpaceDE/>
        <w:autoSpaceDN/>
        <w:adjustRightInd/>
        <w:snapToGrid/>
        <w:spacing w:line="360" w:lineRule="auto"/>
        <w:ind w:firstLine="482" w:firstLineChars="200"/>
        <w:jc w:val="center"/>
        <w:textAlignment w:val="auto"/>
        <w:rPr>
          <w:rFonts w:hint="default"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表</w:t>
      </w:r>
      <w:r>
        <w:rPr>
          <w:rFonts w:hint="eastAsia" w:ascii="Times New Roman" w:hAnsi="Times New Roman" w:eastAsia="宋体" w:cs="Times New Roman"/>
          <w:b/>
          <w:bCs/>
          <w:snapToGrid/>
          <w:kern w:val="0"/>
          <w:sz w:val="24"/>
          <w:szCs w:val="24"/>
          <w:highlight w:val="none"/>
          <w:lang w:val="en-US" w:eastAsia="zh-CN" w:bidi="ar"/>
        </w:rPr>
        <w:t>2</w:t>
      </w:r>
      <w:r>
        <w:rPr>
          <w:rFonts w:hint="default" w:ascii="Times New Roman" w:hAnsi="Times New Roman" w:eastAsia="宋体" w:cs="Times New Roman"/>
          <w:b/>
          <w:bCs/>
          <w:snapToGrid/>
          <w:kern w:val="0"/>
          <w:sz w:val="24"/>
          <w:szCs w:val="24"/>
          <w:highlight w:val="none"/>
          <w:lang w:val="en-US" w:eastAsia="zh-CN" w:bidi="ar"/>
        </w:rPr>
        <w:t>.3-4生态评价等级判定</w:t>
      </w: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3899"/>
        <w:gridCol w:w="2322"/>
        <w:gridCol w:w="1281"/>
        <w:gridCol w:w="80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23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导则要求</w:t>
            </w:r>
          </w:p>
        </w:tc>
        <w:tc>
          <w:tcPr>
            <w:tcW w:w="1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项目实际</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等级划分</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依据</w:t>
            </w:r>
          </w:p>
        </w:tc>
        <w:tc>
          <w:tcPr>
            <w:tcW w:w="48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评价</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44" w:hRule="atLeast"/>
        </w:trPr>
        <w:tc>
          <w:tcPr>
            <w:tcW w:w="23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a）</w:t>
            </w:r>
            <w:r>
              <w:rPr>
                <w:rFonts w:hint="default" w:ascii="Times New Roman" w:hAnsi="Times New Roman" w:cs="Times New Roman"/>
                <w:color w:val="auto"/>
                <w:sz w:val="21"/>
                <w:szCs w:val="21"/>
                <w:highlight w:val="none"/>
                <w:vertAlign w:val="baseline"/>
                <w:lang w:val="en-US" w:eastAsia="zh-CN"/>
              </w:rPr>
              <w:t>涉及国家公园、自然保护区、世界自然遗产、重要生境时，评价等级为一级；</w:t>
            </w:r>
          </w:p>
        </w:tc>
        <w:tc>
          <w:tcPr>
            <w:tcW w:w="1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新建汇集站厂址、铺设输电线路及国富变扩建占地均不位于</w:t>
            </w:r>
            <w:r>
              <w:rPr>
                <w:rFonts w:hint="default" w:ascii="Times New Roman" w:hAnsi="Times New Roman" w:cs="Times New Roman"/>
                <w:color w:val="auto"/>
                <w:sz w:val="21"/>
                <w:szCs w:val="21"/>
                <w:highlight w:val="none"/>
                <w:vertAlign w:val="baseline"/>
                <w:lang w:val="en-US" w:eastAsia="zh-CN"/>
              </w:rPr>
              <w:t>国家公园、自然保护区、世界自然遗产、重要生境</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48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三</w:t>
            </w:r>
            <w:r>
              <w:rPr>
                <w:rFonts w:hint="default" w:ascii="Times New Roman" w:hAnsi="Times New Roman" w:cs="Times New Roman"/>
                <w:color w:val="auto"/>
                <w:sz w:val="24"/>
                <w:szCs w:val="24"/>
                <w:highlight w:val="none"/>
                <w:vertAlign w:val="baseline"/>
                <w:lang w:val="en-US" w:eastAsia="zh-CN"/>
              </w:rPr>
              <w:t>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04" w:hRule="atLeast"/>
        </w:trPr>
        <w:tc>
          <w:tcPr>
            <w:tcW w:w="23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b）</w:t>
            </w:r>
            <w:r>
              <w:rPr>
                <w:rFonts w:hint="default" w:ascii="Times New Roman" w:hAnsi="Times New Roman" w:cs="Times New Roman"/>
                <w:color w:val="auto"/>
                <w:sz w:val="21"/>
                <w:szCs w:val="21"/>
                <w:highlight w:val="none"/>
                <w:vertAlign w:val="baseline"/>
                <w:lang w:val="en-US" w:eastAsia="zh-CN"/>
              </w:rPr>
              <w:t>涉及自然公园时，评价等级为二级；</w:t>
            </w:r>
          </w:p>
        </w:tc>
        <w:tc>
          <w:tcPr>
            <w:tcW w:w="1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48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5" w:hRule="atLeast"/>
        </w:trPr>
        <w:tc>
          <w:tcPr>
            <w:tcW w:w="23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w:t>
            </w:r>
            <w:r>
              <w:rPr>
                <w:rFonts w:hint="default" w:ascii="Times New Roman" w:hAnsi="Times New Roman" w:cs="Times New Roman"/>
                <w:color w:val="auto"/>
                <w:sz w:val="21"/>
                <w:szCs w:val="21"/>
                <w:highlight w:val="none"/>
                <w:vertAlign w:val="baseline"/>
                <w:lang w:val="en-US" w:eastAsia="zh-CN"/>
              </w:rPr>
              <w:t>涉及生态保护红线时，评价等级不低于二级；</w:t>
            </w:r>
          </w:p>
        </w:tc>
        <w:tc>
          <w:tcPr>
            <w:tcW w:w="1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位于生态红线外</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48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64" w:hRule="atLeast"/>
        </w:trPr>
        <w:tc>
          <w:tcPr>
            <w:tcW w:w="23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w:t>
            </w:r>
            <w:r>
              <w:rPr>
                <w:rFonts w:hint="default" w:ascii="Times New Roman" w:hAnsi="Times New Roman" w:cs="Times New Roman"/>
                <w:color w:val="auto"/>
                <w:sz w:val="21"/>
                <w:szCs w:val="21"/>
                <w:highlight w:val="none"/>
                <w:vertAlign w:val="baseline"/>
                <w:lang w:val="en-US" w:eastAsia="zh-CN"/>
              </w:rPr>
              <w:t>根据HJ2.3判断属于水文要素影响型且地表水评价等级不低于二级的建设项目，生态影响评价等级不低于二级；</w:t>
            </w:r>
          </w:p>
        </w:tc>
        <w:tc>
          <w:tcPr>
            <w:tcW w:w="1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48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64" w:hRule="atLeast"/>
        </w:trPr>
        <w:tc>
          <w:tcPr>
            <w:tcW w:w="23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e）</w:t>
            </w:r>
            <w:r>
              <w:rPr>
                <w:rFonts w:hint="default" w:ascii="Times New Roman" w:hAnsi="Times New Roman" w:cs="Times New Roman"/>
                <w:color w:val="auto"/>
                <w:sz w:val="21"/>
                <w:szCs w:val="21"/>
                <w:highlight w:val="none"/>
                <w:vertAlign w:val="baseline"/>
                <w:lang w:val="en-US" w:eastAsia="zh-CN"/>
              </w:rPr>
              <w:t>根据HJ610</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HJ64断地下水水位或土壤影响范围内分布有天然林、公益林、湿地等生态保护目标的建设项目，生态影响评价等级不低于二级；</w:t>
            </w:r>
          </w:p>
        </w:tc>
        <w:tc>
          <w:tcPr>
            <w:tcW w:w="1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48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86" w:hRule="atLeast"/>
        </w:trPr>
        <w:tc>
          <w:tcPr>
            <w:tcW w:w="23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f）</w:t>
            </w:r>
            <w:r>
              <w:rPr>
                <w:rFonts w:hint="default" w:ascii="Times New Roman" w:hAnsi="Times New Roman" w:cs="Times New Roman"/>
                <w:color w:val="auto"/>
                <w:sz w:val="21"/>
                <w:szCs w:val="21"/>
                <w:highlight w:val="none"/>
                <w:vertAlign w:val="baseline"/>
                <w:lang w:val="en-US" w:eastAsia="zh-CN"/>
              </w:rPr>
              <w:t>当工程占地规模大于20km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时</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包括永久和临时占用陆域和水域</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，评价等级不低于二级；改扩建项目的占地范围以新增占地</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包括陆域和水域</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确定；</w:t>
            </w:r>
          </w:p>
        </w:tc>
        <w:tc>
          <w:tcPr>
            <w:tcW w:w="1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项目新增占地0.0393km</w:t>
            </w:r>
            <w:r>
              <w:rPr>
                <w:rFonts w:hint="eastAsia" w:ascii="Times New Roman" w:hAnsi="Times New Roman" w:cs="Times New Roman"/>
                <w:color w:val="auto"/>
                <w:sz w:val="21"/>
                <w:szCs w:val="21"/>
                <w:highlight w:val="none"/>
                <w:vertAlign w:val="superscript"/>
                <w:lang w:val="en-US" w:eastAsia="zh-CN"/>
              </w:rPr>
              <w:t>2</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48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86" w:hRule="atLeast"/>
        </w:trPr>
        <w:tc>
          <w:tcPr>
            <w:tcW w:w="23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除本条</w:t>
            </w:r>
            <w:r>
              <w:rPr>
                <w:rFonts w:hint="eastAsia" w:ascii="Times New Roman" w:hAnsi="Times New Roman" w:cs="Times New Roman"/>
                <w:color w:val="auto"/>
                <w:sz w:val="21"/>
                <w:szCs w:val="21"/>
                <w:highlight w:val="none"/>
                <w:vertAlign w:val="baseline"/>
                <w:lang w:val="en-US" w:eastAsia="zh-CN"/>
              </w:rPr>
              <w:t>a）</w:t>
            </w: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b）、c）、d）、e）、f）</w:t>
            </w:r>
            <w:r>
              <w:rPr>
                <w:rFonts w:hint="default" w:ascii="Times New Roman" w:hAnsi="Times New Roman" w:cs="Times New Roman"/>
                <w:color w:val="auto"/>
                <w:sz w:val="21"/>
                <w:szCs w:val="21"/>
                <w:highlight w:val="none"/>
                <w:vertAlign w:val="baseline"/>
                <w:lang w:val="en-US" w:eastAsia="zh-CN"/>
              </w:rPr>
              <w:t>以外的情况，评价等级为三级；</w:t>
            </w:r>
          </w:p>
        </w:tc>
        <w:tc>
          <w:tcPr>
            <w:tcW w:w="1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三级</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三级</w:t>
            </w:r>
          </w:p>
        </w:tc>
        <w:tc>
          <w:tcPr>
            <w:tcW w:w="48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86" w:hRule="atLeast"/>
        </w:trPr>
        <w:tc>
          <w:tcPr>
            <w:tcW w:w="23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当评价等级判定同时符合上述多种情况时，应采用其中最高的评价等级。</w:t>
            </w:r>
          </w:p>
        </w:tc>
        <w:tc>
          <w:tcPr>
            <w:tcW w:w="1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48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86" w:hRule="atLeast"/>
        </w:trPr>
        <w:tc>
          <w:tcPr>
            <w:tcW w:w="23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建设项目涉及经论证对保护生物多样性具有重要意义的区域时，可适当上调评价等级。</w:t>
            </w:r>
          </w:p>
        </w:tc>
        <w:tc>
          <w:tcPr>
            <w:tcW w:w="1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48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86" w:hRule="atLeast"/>
        </w:trPr>
        <w:tc>
          <w:tcPr>
            <w:tcW w:w="234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线性工程可分段确定评价等级。线性工程地下穿越或地表跨越生态敏感区，在生态敏感区范围内无永久、临时占地时，评价等级可下调一级。</w:t>
            </w:r>
          </w:p>
        </w:tc>
        <w:tc>
          <w:tcPr>
            <w:tcW w:w="13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不涉及</w:t>
            </w:r>
          </w:p>
        </w:tc>
        <w:tc>
          <w:tcPr>
            <w:tcW w:w="7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不涉及</w:t>
            </w:r>
          </w:p>
        </w:tc>
        <w:tc>
          <w:tcPr>
            <w:tcW w:w="48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r>
    </w:tbl>
    <w:p>
      <w:pPr>
        <w:keepNext w:val="0"/>
        <w:keepLines w:val="0"/>
        <w:widowControl/>
        <w:suppressLineNumbers w:val="0"/>
        <w:kinsoku/>
        <w:autoSpaceDE/>
        <w:autoSpaceDN/>
        <w:adjustRightInd/>
        <w:snapToGrid/>
        <w:spacing w:line="360" w:lineRule="auto"/>
        <w:jc w:val="both"/>
        <w:textAlignment w:val="auto"/>
        <w:rPr>
          <w:rFonts w:hint="default" w:ascii="Times New Roman" w:hAnsi="Times New Roman" w:eastAsia="宋体" w:cs="Times New Roman"/>
          <w:snapToGrid/>
          <w:color w:val="auto"/>
          <w:kern w:val="0"/>
          <w:sz w:val="24"/>
          <w:szCs w:val="24"/>
          <w:highlight w:val="none"/>
          <w:lang w:val="en-US" w:eastAsia="zh-CN" w:bidi="ar"/>
        </w:rPr>
      </w:pPr>
      <w:bookmarkStart w:id="25" w:name="_Toc19950"/>
      <w:r>
        <w:rPr>
          <w:rFonts w:hint="default" w:ascii="Times New Roman" w:hAnsi="Times New Roman" w:eastAsia="宋体" w:cs="Times New Roman"/>
          <w:snapToGrid/>
          <w:color w:val="auto"/>
          <w:kern w:val="0"/>
          <w:sz w:val="24"/>
          <w:szCs w:val="24"/>
          <w:highlight w:val="none"/>
          <w:lang w:val="en-US" w:eastAsia="zh-CN" w:bidi="ar"/>
        </w:rPr>
        <w:t>2.3.4地表水环境</w:t>
      </w:r>
      <w:bookmarkEnd w:id="25"/>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施工期有少量施工生产废水和生活污水，其中生产废水经沉淀处理后可回用，生活污水</w:t>
      </w:r>
      <w:r>
        <w:rPr>
          <w:rFonts w:hint="eastAsia" w:ascii="Times New Roman" w:hAnsi="Times New Roman" w:eastAsia="宋体" w:cs="Times New Roman"/>
          <w:snapToGrid/>
          <w:color w:val="auto"/>
          <w:kern w:val="0"/>
          <w:sz w:val="24"/>
          <w:szCs w:val="24"/>
          <w:highlight w:val="none"/>
          <w:lang w:val="en-US" w:eastAsia="zh-CN" w:bidi="ar"/>
        </w:rPr>
        <w:t>排入汇集站化粪池内，定期清掏，拉运至大同污水处理厂处理。</w:t>
      </w:r>
    </w:p>
    <w:p>
      <w:pPr>
        <w:keepNext w:val="0"/>
        <w:keepLines w:val="0"/>
        <w:widowControl/>
        <w:suppressLineNumbers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0"/>
          <w:sz w:val="24"/>
          <w:szCs w:val="24"/>
          <w:highlight w:val="none"/>
          <w:lang w:val="en-US" w:eastAsia="zh-CN" w:bidi="ar"/>
        </w:rPr>
      </w:pPr>
      <w:r>
        <w:rPr>
          <w:rFonts w:hint="eastAsia" w:ascii="Times New Roman" w:hAnsi="Times New Roman" w:eastAsia="宋体" w:cs="Times New Roman"/>
          <w:snapToGrid/>
          <w:color w:val="auto"/>
          <w:kern w:val="0"/>
          <w:sz w:val="24"/>
          <w:szCs w:val="24"/>
          <w:highlight w:val="none"/>
          <w:lang w:val="en-US" w:eastAsia="zh-CN" w:bidi="ar"/>
        </w:rPr>
        <w:t>汇集站运行期间，生活污水排入化粪池内，定期清掏，拉运至大同污水处理厂处理。设置隔油池，食堂废水经隔油池简单处置后，排入化粪池内，随生活污水一同拉运处置。</w:t>
      </w:r>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eastAsia" w:ascii="Times New Roman" w:hAnsi="Times New Roman" w:eastAsia="宋体" w:cs="Times New Roman"/>
          <w:snapToGrid/>
          <w:color w:val="auto"/>
          <w:kern w:val="0"/>
          <w:sz w:val="24"/>
          <w:szCs w:val="24"/>
          <w:highlight w:val="none"/>
          <w:lang w:val="en-US" w:eastAsia="zh-CN" w:bidi="ar"/>
        </w:rPr>
        <w:t>国富变扩建工程部新增劳动定员，无生活污水产生。</w:t>
      </w:r>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根据《环境影响评价技术导则 地表水环境》</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snapToGrid/>
          <w:color w:val="auto"/>
          <w:kern w:val="0"/>
          <w:sz w:val="24"/>
          <w:szCs w:val="24"/>
          <w:highlight w:val="none"/>
          <w:lang w:val="en-US" w:eastAsia="zh-CN" w:bidi="ar"/>
        </w:rPr>
        <w:t>HJ2.3-2018</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snapToGrid/>
          <w:color w:val="auto"/>
          <w:kern w:val="0"/>
          <w:sz w:val="24"/>
          <w:szCs w:val="24"/>
          <w:highlight w:val="none"/>
          <w:lang w:val="en-US" w:eastAsia="zh-CN" w:bidi="ar"/>
        </w:rPr>
        <w:t>，地表水环境影响评价工作等级为三级B。</w:t>
      </w:r>
    </w:p>
    <w:p>
      <w:pPr>
        <w:keepNext w:val="0"/>
        <w:keepLines w:val="0"/>
        <w:widowControl/>
        <w:suppressLineNumbers w:val="0"/>
        <w:kinsoku/>
        <w:autoSpaceDE/>
        <w:autoSpaceDN/>
        <w:adjustRightInd/>
        <w:snapToGrid/>
        <w:spacing w:line="360" w:lineRule="auto"/>
        <w:jc w:val="both"/>
        <w:textAlignment w:val="auto"/>
        <w:rPr>
          <w:rFonts w:hint="default" w:ascii="Times New Roman" w:hAnsi="Times New Roman" w:eastAsia="宋体" w:cs="Times New Roman"/>
          <w:snapToGrid/>
          <w:color w:val="auto"/>
          <w:kern w:val="0"/>
          <w:sz w:val="24"/>
          <w:szCs w:val="24"/>
          <w:highlight w:val="none"/>
          <w:lang w:val="en-US" w:eastAsia="zh-CN" w:bidi="ar"/>
        </w:rPr>
      </w:pPr>
      <w:bookmarkStart w:id="26" w:name="_Toc15822"/>
      <w:r>
        <w:rPr>
          <w:rFonts w:hint="default" w:ascii="Times New Roman" w:hAnsi="Times New Roman" w:eastAsia="宋体" w:cs="Times New Roman"/>
          <w:snapToGrid/>
          <w:color w:val="auto"/>
          <w:kern w:val="0"/>
          <w:sz w:val="24"/>
          <w:szCs w:val="24"/>
          <w:highlight w:val="none"/>
          <w:lang w:val="en-US" w:eastAsia="zh-CN" w:bidi="ar"/>
        </w:rPr>
        <w:t>2.3.5地下水环境</w:t>
      </w:r>
      <w:bookmarkEnd w:id="26"/>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bidi="ar"/>
        </w:rPr>
        <w:t>根据《环境影响评价技术导则-地下水环境》</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snapToGrid/>
          <w:color w:val="auto"/>
          <w:kern w:val="0"/>
          <w:sz w:val="24"/>
          <w:szCs w:val="24"/>
          <w:highlight w:val="none"/>
          <w:lang w:val="en-US" w:eastAsia="zh-CN" w:bidi="ar"/>
        </w:rPr>
        <w:t>HJ610-2016</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snapToGrid/>
          <w:color w:val="auto"/>
          <w:kern w:val="0"/>
          <w:sz w:val="24"/>
          <w:szCs w:val="24"/>
          <w:highlight w:val="none"/>
          <w:lang w:val="en-US" w:eastAsia="zh-CN" w:bidi="ar"/>
        </w:rPr>
        <w:t>附录A，该</w:t>
      </w:r>
      <w:r>
        <w:rPr>
          <w:rFonts w:hint="eastAsia" w:ascii="Times New Roman" w:hAnsi="Times New Roman" w:eastAsia="宋体" w:cs="Times New Roman"/>
          <w:snapToGrid/>
          <w:color w:val="auto"/>
          <w:kern w:val="0"/>
          <w:sz w:val="24"/>
          <w:szCs w:val="24"/>
          <w:highlight w:val="none"/>
          <w:lang w:val="en-US" w:eastAsia="zh-CN" w:bidi="ar"/>
        </w:rPr>
        <w:t>项目</w:t>
      </w:r>
      <w:r>
        <w:rPr>
          <w:rFonts w:hint="default" w:ascii="Times New Roman" w:hAnsi="Times New Roman" w:eastAsia="宋体" w:cs="Times New Roman"/>
          <w:snapToGrid/>
          <w:color w:val="auto"/>
          <w:kern w:val="0"/>
          <w:sz w:val="24"/>
          <w:szCs w:val="24"/>
          <w:highlight w:val="none"/>
          <w:lang w:val="en-US" w:eastAsia="zh-CN" w:bidi="ar"/>
        </w:rPr>
        <w:t>为地下水环境影响评价行业分类表中的E35类送</w:t>
      </w:r>
      <w:r>
        <w:rPr>
          <w:rFonts w:hint="eastAsia" w:ascii="Times New Roman" w:hAnsi="Times New Roman" w:eastAsia="宋体" w:cs="Times New Roman"/>
          <w:snapToGrid/>
          <w:color w:val="auto"/>
          <w:kern w:val="0"/>
          <w:sz w:val="24"/>
          <w:szCs w:val="24"/>
          <w:highlight w:val="none"/>
          <w:lang w:val="en-US" w:eastAsia="zh-CN" w:bidi="ar"/>
        </w:rPr>
        <w:t>（输）</w:t>
      </w:r>
      <w:r>
        <w:rPr>
          <w:rFonts w:hint="default" w:ascii="Times New Roman" w:hAnsi="Times New Roman" w:eastAsia="宋体" w:cs="Times New Roman"/>
          <w:snapToGrid/>
          <w:color w:val="auto"/>
          <w:kern w:val="0"/>
          <w:sz w:val="24"/>
          <w:szCs w:val="24"/>
          <w:highlight w:val="none"/>
          <w:lang w:val="en-US" w:eastAsia="zh-CN" w:bidi="ar"/>
        </w:rPr>
        <w:t>变电工程，属于Ⅳ</w:t>
      </w:r>
      <w:r>
        <w:rPr>
          <w:rFonts w:hint="default" w:ascii="Times New Roman" w:hAnsi="Times New Roman" w:eastAsia="宋体" w:cs="Times New Roman"/>
          <w:caps w:val="0"/>
          <w:smallCaps w:val="0"/>
          <w:color w:val="auto"/>
          <w:spacing w:val="0"/>
          <w:w w:val="100"/>
          <w:kern w:val="0"/>
          <w:sz w:val="24"/>
          <w:szCs w:val="24"/>
          <w:highlight w:val="none"/>
          <w:lang w:val="en-US" w:eastAsia="zh-CN"/>
        </w:rPr>
        <w:t>类项目。依据HJ610-2016，Ⅳ类建设项目不开展地下水环境影响评价，因此本工程不开展有关地下水的环境影响评价。</w:t>
      </w:r>
    </w:p>
    <w:p>
      <w:pPr>
        <w:keepNext w:val="0"/>
        <w:keepLines w:val="0"/>
        <w:widowControl/>
        <w:suppressLineNumbers w:val="0"/>
        <w:kinsoku/>
        <w:autoSpaceDE/>
        <w:autoSpaceDN/>
        <w:adjustRightInd/>
        <w:snapToGrid/>
        <w:spacing w:line="360" w:lineRule="auto"/>
        <w:jc w:val="both"/>
        <w:textAlignment w:val="auto"/>
        <w:rPr>
          <w:rFonts w:hint="default" w:ascii="Times New Roman" w:hAnsi="Times New Roman" w:eastAsia="宋体" w:cs="Times New Roman"/>
          <w:snapToGrid/>
          <w:color w:val="auto"/>
          <w:kern w:val="0"/>
          <w:sz w:val="24"/>
          <w:szCs w:val="24"/>
          <w:highlight w:val="none"/>
          <w:lang w:val="en-US" w:eastAsia="zh-CN" w:bidi="ar"/>
        </w:rPr>
      </w:pPr>
      <w:bookmarkStart w:id="27" w:name="_Toc8709"/>
      <w:r>
        <w:rPr>
          <w:rFonts w:hint="default" w:ascii="Times New Roman" w:hAnsi="Times New Roman" w:eastAsia="宋体" w:cs="Times New Roman"/>
          <w:snapToGrid/>
          <w:color w:val="auto"/>
          <w:kern w:val="0"/>
          <w:sz w:val="24"/>
          <w:szCs w:val="24"/>
          <w:highlight w:val="none"/>
          <w:lang w:val="en-US" w:eastAsia="zh-CN" w:bidi="ar"/>
        </w:rPr>
        <w:t>2.3.6土壤环境</w:t>
      </w:r>
      <w:bookmarkEnd w:id="27"/>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根据《环境影响评价技术导则-土壤环境</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snapToGrid/>
          <w:color w:val="auto"/>
          <w:kern w:val="0"/>
          <w:sz w:val="24"/>
          <w:szCs w:val="24"/>
          <w:highlight w:val="none"/>
          <w:lang w:val="en-US" w:eastAsia="zh-CN" w:bidi="ar"/>
        </w:rPr>
        <w:t>试行</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snapToGrid/>
          <w:color w:val="auto"/>
          <w:kern w:val="0"/>
          <w:sz w:val="24"/>
          <w:szCs w:val="24"/>
          <w:highlight w:val="none"/>
          <w:lang w:val="en-US" w:eastAsia="zh-CN" w:bidi="ar"/>
        </w:rPr>
        <w:t>》</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snapToGrid/>
          <w:color w:val="auto"/>
          <w:kern w:val="0"/>
          <w:sz w:val="24"/>
          <w:szCs w:val="24"/>
          <w:highlight w:val="none"/>
          <w:lang w:val="en-US" w:eastAsia="zh-CN" w:bidi="ar"/>
        </w:rPr>
        <w:t>HJ964-2018</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snapToGrid/>
          <w:color w:val="auto"/>
          <w:kern w:val="0"/>
          <w:sz w:val="24"/>
          <w:szCs w:val="24"/>
          <w:highlight w:val="none"/>
          <w:lang w:val="en-US" w:eastAsia="zh-CN" w:bidi="ar"/>
        </w:rPr>
        <w:t>附录A，该</w:t>
      </w:r>
      <w:r>
        <w:rPr>
          <w:rFonts w:hint="eastAsia" w:ascii="Times New Roman" w:hAnsi="Times New Roman" w:eastAsia="宋体" w:cs="Times New Roman"/>
          <w:snapToGrid/>
          <w:color w:val="auto"/>
          <w:kern w:val="0"/>
          <w:sz w:val="24"/>
          <w:szCs w:val="24"/>
          <w:highlight w:val="none"/>
          <w:lang w:val="en-US" w:eastAsia="zh-CN" w:bidi="ar"/>
        </w:rPr>
        <w:t>项目</w:t>
      </w:r>
      <w:r>
        <w:rPr>
          <w:rFonts w:hint="default" w:ascii="Times New Roman" w:hAnsi="Times New Roman" w:eastAsia="宋体" w:cs="Times New Roman"/>
          <w:snapToGrid/>
          <w:color w:val="auto"/>
          <w:kern w:val="0"/>
          <w:sz w:val="24"/>
          <w:szCs w:val="24"/>
          <w:highlight w:val="none"/>
          <w:lang w:val="en-US" w:eastAsia="zh-CN" w:bidi="ar"/>
        </w:rPr>
        <w:t>参照土壤环境影响评价项目类别，属于Ⅳ类项目。依据HJ964-2018，Ⅳ类建设项目可不开展土壤环境影响评价，因此该工程不开展有关土壤的环境影响评价。</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28" w:name="_Toc14150"/>
      <w:bookmarkStart w:id="29" w:name="_Toc2588"/>
      <w:r>
        <w:rPr>
          <w:rFonts w:hint="default" w:ascii="Times New Roman" w:hAnsi="Times New Roman" w:eastAsia="宋体" w:cs="Times New Roman"/>
          <w:snapToGrid/>
          <w:sz w:val="32"/>
          <w:lang w:val="en-US" w:eastAsia="zh-CN" w:bidi="ar-SA"/>
        </w:rPr>
        <w:t>2.4评价范围</w:t>
      </w:r>
      <w:bookmarkEnd w:id="28"/>
      <w:bookmarkEnd w:id="29"/>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caps w:val="0"/>
          <w:smallCaps w:val="0"/>
          <w:color w:val="auto"/>
          <w:spacing w:val="0"/>
          <w:w w:val="100"/>
          <w:kern w:val="0"/>
          <w:sz w:val="28"/>
          <w:szCs w:val="28"/>
          <w:highlight w:val="none"/>
          <w:lang w:val="en-US" w:eastAsia="zh-CN"/>
        </w:rPr>
      </w:pPr>
      <w:r>
        <w:rPr>
          <w:rFonts w:hint="default" w:ascii="Times New Roman" w:hAnsi="Times New Roman" w:eastAsia="宋体" w:cs="Times New Roman"/>
          <w:snapToGrid/>
          <w:color w:val="auto"/>
          <w:kern w:val="0"/>
          <w:sz w:val="24"/>
          <w:szCs w:val="24"/>
          <w:highlight w:val="none"/>
          <w:lang w:val="en-US" w:eastAsia="zh-CN" w:bidi="ar"/>
        </w:rPr>
        <w:t>根据</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snapToGrid/>
          <w:color w:val="auto"/>
          <w:kern w:val="0"/>
          <w:sz w:val="24"/>
          <w:szCs w:val="24"/>
          <w:highlight w:val="none"/>
          <w:lang w:val="en-US" w:eastAsia="zh-CN" w:bidi="ar"/>
        </w:rPr>
        <w:t>环境影响评价技术导则 输变电</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snapToGrid/>
          <w:color w:val="auto"/>
          <w:kern w:val="0"/>
          <w:sz w:val="24"/>
          <w:szCs w:val="24"/>
          <w:highlight w:val="none"/>
          <w:lang w:val="en-US" w:eastAsia="zh-CN" w:bidi="ar"/>
        </w:rPr>
        <w:t>HJ24-2020</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生态环境</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HJ19-2022</w:t>
      </w:r>
      <w:r>
        <w:rPr>
          <w:rFonts w:hint="eastAsia" w:ascii="Times New Roman" w:hAnsi="Times New Roman" w:eastAsia="宋体" w:cs="Times New Roman"/>
          <w:snapToGrid/>
          <w:color w:val="auto"/>
          <w:kern w:val="0"/>
          <w:sz w:val="24"/>
          <w:szCs w:val="24"/>
          <w:highlight w:val="none"/>
          <w:lang w:val="en-US" w:eastAsia="zh-CN" w:bidi="ar"/>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声环境</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snapToGrid/>
          <w:color w:val="auto"/>
          <w:kern w:val="0"/>
          <w:sz w:val="24"/>
          <w:szCs w:val="24"/>
          <w:highlight w:val="none"/>
          <w:lang w:val="en-US" w:eastAsia="zh-CN" w:bidi="ar"/>
        </w:rPr>
        <w:t>HJ2.4-2021</w:t>
      </w:r>
      <w:r>
        <w:rPr>
          <w:rFonts w:hint="eastAsia" w:ascii="Times New Roman" w:hAnsi="Times New Roman" w:eastAsia="宋体" w:cs="Times New Roman"/>
          <w:snapToGrid/>
          <w:color w:val="auto"/>
          <w:kern w:val="0"/>
          <w:sz w:val="24"/>
          <w:szCs w:val="24"/>
          <w:highlight w:val="none"/>
          <w:lang w:val="en-US" w:eastAsia="zh-CN" w:bidi="ar"/>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各环境要素评价范围见表</w:t>
      </w:r>
      <w:r>
        <w:rPr>
          <w:rFonts w:hint="eastAsia" w:ascii="Times New Roman" w:hAnsi="Times New Roman" w:eastAsia="宋体" w:cs="Times New Roman"/>
          <w:caps w:val="0"/>
          <w:smallCaps w:val="0"/>
          <w:color w:val="auto"/>
          <w:spacing w:val="0"/>
          <w:w w:val="100"/>
          <w:kern w:val="0"/>
          <w:sz w:val="24"/>
          <w:szCs w:val="24"/>
          <w:highlight w:val="none"/>
          <w:lang w:val="en-US" w:eastAsia="zh-CN"/>
        </w:rPr>
        <w:t>2.4-1</w:t>
      </w:r>
      <w:r>
        <w:rPr>
          <w:rFonts w:hint="default" w:ascii="Times New Roman" w:hAnsi="Times New Roman" w:eastAsia="宋体" w:cs="Times New Roman"/>
          <w:caps w:val="0"/>
          <w:smallCaps w:val="0"/>
          <w:color w:val="auto"/>
          <w:spacing w:val="0"/>
          <w:w w:val="100"/>
          <w:kern w:val="0"/>
          <w:sz w:val="24"/>
          <w:szCs w:val="24"/>
          <w:highlight w:val="none"/>
          <w:lang w:val="en-US" w:eastAsia="zh-CN"/>
        </w:rPr>
        <w:t>；电磁环境、声环境、生态环境评价范围示意见图</w:t>
      </w:r>
      <w:r>
        <w:rPr>
          <w:rFonts w:hint="eastAsia" w:ascii="Times New Roman" w:hAnsi="Times New Roman" w:eastAsia="宋体" w:cs="Times New Roman"/>
          <w:caps w:val="0"/>
          <w:smallCaps w:val="0"/>
          <w:color w:val="auto"/>
          <w:spacing w:val="0"/>
          <w:w w:val="100"/>
          <w:kern w:val="0"/>
          <w:sz w:val="24"/>
          <w:szCs w:val="24"/>
          <w:highlight w:val="none"/>
          <w:lang w:val="en-US" w:eastAsia="zh-CN"/>
        </w:rPr>
        <w:t>2.4-1</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widowControl/>
        <w:kinsoku/>
        <w:autoSpaceDE/>
        <w:autoSpaceDN/>
        <w:adjustRightInd/>
        <w:snapToGrid/>
        <w:spacing w:line="360" w:lineRule="auto"/>
        <w:ind w:firstLine="482" w:firstLineChars="200"/>
        <w:jc w:val="center"/>
        <w:textAlignment w:val="auto"/>
        <w:rPr>
          <w:rFonts w:hint="default"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表2.4-1各环境要素评价范围一览表</w:t>
      </w:r>
    </w:p>
    <w:p>
      <w:pPr>
        <w:spacing w:line="15" w:lineRule="exact"/>
        <w:rPr>
          <w:highlight w:val="none"/>
        </w:rPr>
      </w:pP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987"/>
        <w:gridCol w:w="2525"/>
        <w:gridCol w:w="479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59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环境要素</w:t>
            </w:r>
          </w:p>
        </w:tc>
        <w:tc>
          <w:tcPr>
            <w:tcW w:w="15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电压等级/</w:t>
            </w:r>
            <w:r>
              <w:rPr>
                <w:rFonts w:hint="default" w:ascii="Times New Roman" w:hAnsi="Times New Roman" w:cs="Times New Roman"/>
                <w:color w:val="auto"/>
                <w:sz w:val="21"/>
                <w:szCs w:val="21"/>
                <w:highlight w:val="none"/>
                <w:vertAlign w:val="baseline"/>
                <w:lang w:val="en-US" w:eastAsia="zh-CN"/>
              </w:rPr>
              <w:t>评价等级</w:t>
            </w:r>
          </w:p>
        </w:tc>
        <w:tc>
          <w:tcPr>
            <w:tcW w:w="2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评价范围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59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电磁环境</w:t>
            </w:r>
          </w:p>
        </w:tc>
        <w:tc>
          <w:tcPr>
            <w:tcW w:w="152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交流500kV/二级</w:t>
            </w:r>
          </w:p>
        </w:tc>
        <w:tc>
          <w:tcPr>
            <w:tcW w:w="2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架空线路：边导线地面投影外两侧各50m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59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52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500kV汇集站：站界外50m范围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59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52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国富变扩建：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59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声环境</w:t>
            </w:r>
          </w:p>
        </w:tc>
        <w:tc>
          <w:tcPr>
            <w:tcW w:w="152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二级</w:t>
            </w:r>
          </w:p>
        </w:tc>
        <w:tc>
          <w:tcPr>
            <w:tcW w:w="2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500kV汇集站：站界外200m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59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52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架空线路：边导线地面投影外两侧各50m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58" w:hRule="atLeast"/>
        </w:trPr>
        <w:tc>
          <w:tcPr>
            <w:tcW w:w="59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生态环境</w:t>
            </w:r>
          </w:p>
        </w:tc>
        <w:tc>
          <w:tcPr>
            <w:tcW w:w="15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三级</w:t>
            </w:r>
          </w:p>
        </w:tc>
        <w:tc>
          <w:tcPr>
            <w:tcW w:w="28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线路边导线地面投影外两侧各</w:t>
            </w:r>
            <w:r>
              <w:rPr>
                <w:rFonts w:hint="eastAsia" w:ascii="Times New Roman" w:hAnsi="Times New Roman" w:cs="Times New Roman"/>
                <w:color w:val="auto"/>
                <w:sz w:val="21"/>
                <w:szCs w:val="21"/>
                <w:highlight w:val="none"/>
                <w:vertAlign w:val="baseline"/>
                <w:lang w:val="en-US" w:eastAsia="zh-CN"/>
              </w:rPr>
              <w:t>3</w:t>
            </w:r>
            <w:r>
              <w:rPr>
                <w:rFonts w:hint="default" w:ascii="Times New Roman" w:hAnsi="Times New Roman" w:cs="Times New Roman"/>
                <w:color w:val="auto"/>
                <w:sz w:val="21"/>
                <w:szCs w:val="21"/>
                <w:highlight w:val="none"/>
                <w:vertAlign w:val="baseline"/>
                <w:lang w:val="en-US" w:eastAsia="zh-CN"/>
              </w:rPr>
              <w:t>00m内的带状区域</w:t>
            </w:r>
          </w:p>
        </w:tc>
      </w:tr>
    </w:tbl>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30" w:name="_Toc18683"/>
      <w:bookmarkStart w:id="31" w:name="_Toc22913"/>
      <w:r>
        <w:rPr>
          <w:rFonts w:hint="default" w:ascii="Times New Roman" w:hAnsi="Times New Roman" w:eastAsia="宋体" w:cs="Times New Roman"/>
          <w:snapToGrid/>
          <w:sz w:val="32"/>
          <w:lang w:val="en-US" w:eastAsia="zh-CN" w:bidi="ar-SA"/>
        </w:rPr>
        <w:t>2.</w:t>
      </w:r>
      <w:r>
        <w:rPr>
          <w:rFonts w:hint="eastAsia" w:ascii="Times New Roman" w:hAnsi="Times New Roman" w:eastAsia="宋体" w:cs="Times New Roman"/>
          <w:snapToGrid/>
          <w:sz w:val="32"/>
          <w:lang w:val="en-US" w:eastAsia="zh-CN" w:bidi="ar-SA"/>
        </w:rPr>
        <w:t>5环境敏感目标</w:t>
      </w:r>
      <w:bookmarkEnd w:id="30"/>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8"/>
          <w:szCs w:val="28"/>
          <w:highlight w:val="yellow"/>
          <w:lang w:val="en-US" w:eastAsia="zh-CN"/>
        </w:rPr>
      </w:pPr>
      <w:r>
        <w:rPr>
          <w:rFonts w:hint="eastAsia" w:ascii="Times New Roman" w:hAnsi="Times New Roman" w:eastAsia="宋体" w:cs="Times New Roman"/>
          <w:caps w:val="0"/>
          <w:smallCaps w:val="0"/>
          <w:color w:val="auto"/>
          <w:spacing w:val="0"/>
          <w:w w:val="100"/>
          <w:kern w:val="0"/>
          <w:sz w:val="24"/>
          <w:szCs w:val="24"/>
          <w:highlight w:val="yellow"/>
          <w:lang w:val="en-US" w:eastAsia="zh-CN"/>
        </w:rPr>
        <w:t>本项目500kV汇集站、国富变电站周边50m范围，输电线路地面投影外各50m范围外电磁环境保护目标见下表。本项目500kV汇集站、国富变电站周边200m范围，输电线路地面投影外各50m范围外均无声环境保护目标</w:t>
      </w:r>
      <w:r>
        <w:rPr>
          <w:rFonts w:hint="eastAsia" w:ascii="Times New Roman" w:hAnsi="Times New Roman" w:eastAsia="宋体" w:cs="Times New Roman"/>
          <w:caps w:val="0"/>
          <w:smallCaps w:val="0"/>
          <w:color w:val="auto"/>
          <w:spacing w:val="0"/>
          <w:w w:val="100"/>
          <w:kern w:val="0"/>
          <w:sz w:val="28"/>
          <w:szCs w:val="28"/>
          <w:highlight w:val="yellow"/>
          <w:lang w:val="en-US" w:eastAsia="zh-CN"/>
        </w:rPr>
        <w:t>。</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8"/>
        <w:gridCol w:w="688"/>
        <w:gridCol w:w="754"/>
        <w:gridCol w:w="928"/>
        <w:gridCol w:w="1016"/>
        <w:gridCol w:w="816"/>
        <w:gridCol w:w="876"/>
        <w:gridCol w:w="689"/>
        <w:gridCol w:w="689"/>
        <w:gridCol w:w="689"/>
        <w:gridCol w:w="6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6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名称</w:t>
            </w:r>
          </w:p>
        </w:tc>
        <w:tc>
          <w:tcPr>
            <w:tcW w:w="7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经度</w:t>
            </w:r>
          </w:p>
        </w:tc>
        <w:tc>
          <w:tcPr>
            <w:tcW w:w="9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纬度</w:t>
            </w:r>
          </w:p>
        </w:tc>
        <w:tc>
          <w:tcPr>
            <w:tcW w:w="10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功能</w:t>
            </w:r>
          </w:p>
        </w:tc>
        <w:tc>
          <w:tcPr>
            <w:tcW w:w="8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评价范围内户数</w:t>
            </w:r>
          </w:p>
        </w:tc>
        <w:tc>
          <w:tcPr>
            <w:tcW w:w="8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构建物楼层/高度</w:t>
            </w:r>
          </w:p>
        </w:tc>
        <w:tc>
          <w:tcPr>
            <w:tcW w:w="6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相对位置/距离</w:t>
            </w:r>
          </w:p>
        </w:tc>
        <w:tc>
          <w:tcPr>
            <w:tcW w:w="6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环境影响因子</w:t>
            </w:r>
          </w:p>
        </w:tc>
        <w:tc>
          <w:tcPr>
            <w:tcW w:w="6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电磁环境保护要求</w:t>
            </w:r>
          </w:p>
        </w:tc>
        <w:tc>
          <w:tcPr>
            <w:tcW w:w="6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声环境保护要求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6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前王家屯</w:t>
            </w:r>
          </w:p>
        </w:tc>
        <w:tc>
          <w:tcPr>
            <w:tcW w:w="7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124.845082</w:t>
            </w:r>
          </w:p>
        </w:tc>
        <w:tc>
          <w:tcPr>
            <w:tcW w:w="9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46.007901</w:t>
            </w:r>
          </w:p>
        </w:tc>
        <w:tc>
          <w:tcPr>
            <w:tcW w:w="10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居住</w:t>
            </w:r>
          </w:p>
        </w:tc>
        <w:tc>
          <w:tcPr>
            <w:tcW w:w="8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2户</w:t>
            </w:r>
          </w:p>
        </w:tc>
        <w:tc>
          <w:tcPr>
            <w:tcW w:w="8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1层平顶，约3.5m</w:t>
            </w:r>
          </w:p>
        </w:tc>
        <w:tc>
          <w:tcPr>
            <w:tcW w:w="6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南侧/40m</w:t>
            </w:r>
          </w:p>
        </w:tc>
        <w:tc>
          <w:tcPr>
            <w:tcW w:w="6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E、B、N</w:t>
            </w:r>
          </w:p>
        </w:tc>
        <w:tc>
          <w:tcPr>
            <w:tcW w:w="6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工频电场强度4kV/m 工频磁感应强度100μT</w:t>
            </w:r>
          </w:p>
        </w:tc>
        <w:tc>
          <w:tcPr>
            <w:tcW w:w="68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1类</w:t>
            </w:r>
          </w:p>
        </w:tc>
      </w:tr>
    </w:tbl>
    <w:p>
      <w:pPr>
        <w:rPr>
          <w:rFonts w:hint="eastAsia" w:ascii="Times New Roman" w:hAnsi="Times New Roman" w:eastAsia="宋体" w:cs="Times New Roman"/>
          <w:b/>
          <w:bCs/>
          <w:snapToGrid/>
          <w:kern w:val="0"/>
          <w:sz w:val="28"/>
          <w:szCs w:val="28"/>
          <w:highlight w:val="none"/>
          <w:lang w:val="en-US" w:eastAsia="zh-CN" w:bidi="ar"/>
        </w:rPr>
      </w:pPr>
      <w:r>
        <w:rPr>
          <w:rFonts w:hint="eastAsia" w:ascii="Times New Roman" w:hAnsi="Times New Roman" w:eastAsia="宋体" w:cs="Times New Roman"/>
          <w:b/>
          <w:bCs/>
          <w:snapToGrid/>
          <w:kern w:val="0"/>
          <w:sz w:val="28"/>
          <w:szCs w:val="28"/>
          <w:highlight w:val="none"/>
          <w:lang w:val="en-US" w:eastAsia="zh-CN" w:bidi="ar"/>
        </w:rPr>
        <w:br w:type="page"/>
      </w:r>
    </w:p>
    <w:p>
      <w:pPr>
        <w:pStyle w:val="11"/>
        <w:ind w:left="0" w:leftChars="0" w:firstLine="0" w:firstLineChars="0"/>
        <w:rPr>
          <w:rFonts w:hint="eastAsia"/>
          <w:lang w:val="en-US" w:eastAsia="zh-CN"/>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32" w:name="_Toc20555"/>
      <w:r>
        <w:rPr>
          <w:rFonts w:hint="eastAsia" w:ascii="Times New Roman" w:hAnsi="Times New Roman" w:eastAsia="宋体" w:cs="Times New Roman"/>
          <w:snapToGrid/>
          <w:sz w:val="32"/>
          <w:lang w:val="en-US" w:eastAsia="zh-CN" w:bidi="ar-SA"/>
        </w:rPr>
        <w:t>2.6</w:t>
      </w:r>
      <w:r>
        <w:rPr>
          <w:rFonts w:hint="default" w:ascii="Times New Roman" w:hAnsi="Times New Roman" w:eastAsia="宋体" w:cs="Times New Roman"/>
          <w:snapToGrid/>
          <w:sz w:val="32"/>
          <w:lang w:val="en-US" w:eastAsia="zh-CN" w:bidi="ar-SA"/>
        </w:rPr>
        <w:t>评价重点</w:t>
      </w:r>
      <w:bookmarkEnd w:id="31"/>
      <w:bookmarkEnd w:id="32"/>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本环评以工程污染源分析、生态影响途径和工程所在地区的自然环境及生态环境现状调查分析为基础，施工期评价重点为生态影响及生态保护、恢复措施。运行期评价重点为交流输电线路生态环境、工频电场、工频磁场、噪声的影响；并重点针对交流输电线路评价范围内环境敏感目标进行环境影响预测及评价；同时，进行环保措施技术经济论证。</w:t>
      </w:r>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主要工作内容包括：</w:t>
      </w:r>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①对交流输电线路两侧有无环境敏感区及电磁环境、声环境敏感目标进行实地调查和收资。</w:t>
      </w:r>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②对工程所在区域的工频电场、工频磁场、声环境进行现状监测和评价。</w:t>
      </w:r>
    </w:p>
    <w:p>
      <w:pPr>
        <w:keepNext w:val="0"/>
        <w:keepLines w:val="0"/>
        <w:widowControl/>
        <w:suppressLineNumbers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0"/>
          <w:sz w:val="24"/>
          <w:szCs w:val="24"/>
          <w:highlight w:val="none"/>
          <w:lang w:val="en-US" w:eastAsia="zh-CN" w:bidi="ar"/>
        </w:rPr>
      </w:pPr>
      <w:r>
        <w:rPr>
          <w:rFonts w:hint="default" w:ascii="Times New Roman" w:hAnsi="Times New Roman" w:eastAsia="宋体" w:cs="Times New Roman"/>
          <w:snapToGrid/>
          <w:color w:val="auto"/>
          <w:kern w:val="0"/>
          <w:sz w:val="24"/>
          <w:szCs w:val="24"/>
          <w:highlight w:val="none"/>
          <w:lang w:val="en-US" w:eastAsia="zh-CN" w:bidi="ar"/>
        </w:rPr>
        <w:t>③对施工期生态影响进行分析，重点对涉及的生态敏感区进行生态影响评价；分析施工期可能存在的环保问题并提出相应的生态保护措施。</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④对交流输电线路运行产生的工频电场、工频磁场、噪声进行预测评价。</w:t>
      </w:r>
    </w:p>
    <w:p>
      <w:pPr>
        <w:rPr>
          <w:rFonts w:hint="default" w:ascii="Times New Roman" w:hAnsi="Times New Roman" w:eastAsia="宋体" w:cs="Times New Roman"/>
          <w:caps w:val="0"/>
          <w:smallCaps w:val="0"/>
          <w:color w:val="auto"/>
          <w:spacing w:val="0"/>
          <w:w w:val="100"/>
          <w:kern w:val="0"/>
          <w:sz w:val="28"/>
          <w:szCs w:val="28"/>
          <w:highlight w:val="none"/>
          <w:lang w:val="en-US" w:eastAsia="zh-CN"/>
        </w:rPr>
      </w:pPr>
      <w:r>
        <w:rPr>
          <w:rFonts w:hint="default" w:ascii="Times New Roman" w:hAnsi="Times New Roman" w:eastAsia="宋体" w:cs="Times New Roman"/>
          <w:caps w:val="0"/>
          <w:smallCaps w:val="0"/>
          <w:color w:val="auto"/>
          <w:spacing w:val="0"/>
          <w:w w:val="100"/>
          <w:kern w:val="0"/>
          <w:sz w:val="28"/>
          <w:szCs w:val="28"/>
          <w:highlight w:val="none"/>
          <w:lang w:val="en-US" w:eastAsia="zh-CN"/>
        </w:rPr>
        <w:br w:type="page"/>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33" w:name="_Toc22784"/>
      <w:bookmarkStart w:id="34" w:name="_Toc23865"/>
      <w:bookmarkStart w:id="35" w:name="_Toc32410"/>
      <w:bookmarkStart w:id="36" w:name="_Toc22480"/>
      <w:bookmarkStart w:id="37" w:name="_Toc20549"/>
      <w:r>
        <w:rPr>
          <w:rFonts w:hint="eastAsia" w:ascii="Times New Roman" w:hAnsi="Times New Roman" w:eastAsia="宋体" w:cs="Times New Roman"/>
          <w:snapToGrid/>
          <w:sz w:val="32"/>
          <w:lang w:val="en-US" w:eastAsia="zh-CN" w:bidi="ar-SA"/>
        </w:rPr>
        <w:t>3    项目概况与分析</w:t>
      </w:r>
      <w:bookmarkEnd w:id="33"/>
      <w:bookmarkEnd w:id="34"/>
      <w:bookmarkEnd w:id="35"/>
      <w:bookmarkEnd w:id="36"/>
      <w:bookmarkEnd w:id="37"/>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38" w:name="_Toc8829"/>
      <w:bookmarkStart w:id="39" w:name="_Toc10634"/>
      <w:r>
        <w:rPr>
          <w:rFonts w:hint="default" w:ascii="Times New Roman" w:hAnsi="Times New Roman" w:eastAsia="宋体" w:cs="Times New Roman"/>
          <w:snapToGrid/>
          <w:sz w:val="32"/>
          <w:lang w:val="en-US" w:eastAsia="zh-CN" w:bidi="ar-SA"/>
        </w:rPr>
        <w:t>3.1项目概况</w:t>
      </w:r>
      <w:bookmarkEnd w:id="38"/>
      <w:bookmarkEnd w:id="39"/>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bookmarkStart w:id="40" w:name="_bookmark51"/>
      <w:bookmarkEnd w:id="40"/>
      <w:bookmarkStart w:id="41" w:name="_Toc3750"/>
      <w:r>
        <w:rPr>
          <w:rFonts w:hint="default" w:ascii="Times New Roman" w:hAnsi="Times New Roman" w:eastAsia="宋体" w:cs="Times New Roman"/>
          <w:caps w:val="0"/>
          <w:smallCaps w:val="0"/>
          <w:color w:val="auto"/>
          <w:spacing w:val="0"/>
          <w:w w:val="100"/>
          <w:kern w:val="0"/>
          <w:sz w:val="24"/>
          <w:szCs w:val="24"/>
          <w:highlight w:val="none"/>
          <w:lang w:val="en-US" w:eastAsia="zh-CN"/>
        </w:rPr>
        <w:t>3.1.1项目一般特性</w:t>
      </w:r>
      <w:bookmarkEnd w:id="41"/>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本工程的一般特性见表3.1-</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widowControl/>
        <w:kinsoku/>
        <w:autoSpaceDE/>
        <w:autoSpaceDN/>
        <w:adjustRightInd/>
        <w:snapToGrid/>
        <w:spacing w:line="360" w:lineRule="auto"/>
        <w:ind w:firstLine="482" w:firstLineChars="200"/>
        <w:jc w:val="center"/>
        <w:textAlignment w:val="auto"/>
        <w:rPr>
          <w:rFonts w:hint="default"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表3.1-1工程特性表</w:t>
      </w:r>
    </w:p>
    <w:p>
      <w:pPr>
        <w:spacing w:line="145" w:lineRule="auto"/>
        <w:rPr>
          <w:rFonts w:ascii="Arial"/>
          <w:sz w:val="2"/>
          <w:highlight w:val="none"/>
        </w:rPr>
      </w:pP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001"/>
        <w:gridCol w:w="1444"/>
        <w:gridCol w:w="2364"/>
        <w:gridCol w:w="449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3" w:hRule="atLeast"/>
        </w:trPr>
        <w:tc>
          <w:tcPr>
            <w:tcW w:w="1314"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工程名称</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大庆南部500kV汇集升压送出工程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8" w:hRule="atLeast"/>
        </w:trPr>
        <w:tc>
          <w:tcPr>
            <w:tcW w:w="1314"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建设性质</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9" w:hRule="atLeast"/>
        </w:trPr>
        <w:tc>
          <w:tcPr>
            <w:tcW w:w="1314"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建设地点</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黑龙江省大庆市大同区小山屯北侧、厢房屯东侧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876" w:hRule="atLeast"/>
        </w:trPr>
        <w:tc>
          <w:tcPr>
            <w:tcW w:w="1314"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工程组成</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本工程汇集站、输电线路工程和</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国富500kV变电站</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扩建工程。</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①新建</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1</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座500kV集站，汇集站采用户</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内</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布置，主变容量为</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1×500</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MVA；</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②新建一条长</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5</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km单回路架设输电线路，线路起于新建的500kV汇集站，止于</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国富500kV变电站</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③新建1条26km的</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单回路架设输电线路</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线路起于新建的500kV汇集站，止于</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大庆光伏220kv升压站。</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④国富变电站</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扩建一个</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500kV出线</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间隔，</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新增2组断路器，1跨500kv构架，在变电站内建设，不新增占地。</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输电线路由：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新建5km输电线均位于大同市境内，线路从大庆南部500kV汇集站500千伏J1（终端塔）出发，向东南偏南方向跨越林带后至J2，于树带南侧油田机井密集区西侧设立J3，利用J3和J4线路向东偏南方向穿越油田机井密集区，该密集区除大量油井外尚有油田汇集枢纽站、10kV油田电力线各1次，随后J4左转向东北偏东方向接至终端塔J5，最终向北接入国富变本次扩建间隔</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2）新建26km输电线均位于大同市境内，</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线路从升压站220千伏构架起经终端塔J1左转，跨越220 千伏升压站-国富变线路，110千伏同宋甲、乙线至J2，左转沿同宋甲、乙线西侧经东太平村东侧至J3，右转至崇文烟花爆竹有限公司厂房北侧J4，左转跨越110千伏同宋甲、乙线，220千伏升压站-国富变线路至J5，左转经J6、J7连续右转绕过鱼池，跨越同宋甲、乙线至J8，左转躲过油田密集区至民发村东侧J9，右转向西南经J10右转至太安村东侧J11</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左转跨越220千伏升压站-国富变线路至 J12，左转向东北方向经电缆敷设钻越500千伏国华线、220kV富榆线至J13，右转向西南方向至大同镇东侧J14，左转向南至国富村东侧J15，右转至国富侧南侧J16，继续右转向西经J17、J18、终端J19进入汇集站220千伏侧构架。线路全长26公里，地形为平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9" w:hRule="atLeast"/>
        </w:trPr>
        <w:tc>
          <w:tcPr>
            <w:tcW w:w="53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500kV汇集站工程</w:t>
            </w: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名称</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工程概况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8"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规模</w:t>
            </w:r>
          </w:p>
        </w:tc>
        <w:tc>
          <w:tcPr>
            <w:tcW w:w="12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主变压器</w:t>
            </w:r>
          </w:p>
        </w:tc>
        <w:tc>
          <w:tcPr>
            <w:tcW w:w="241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1×500</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MVA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9"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12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500kV出线</w:t>
            </w:r>
          </w:p>
        </w:tc>
        <w:tc>
          <w:tcPr>
            <w:tcW w:w="241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2回</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本期</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1</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回，预留</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1</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回</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8"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12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220kV出线</w:t>
            </w:r>
          </w:p>
        </w:tc>
        <w:tc>
          <w:tcPr>
            <w:tcW w:w="241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5回</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本期</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1</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回，预留</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4</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回</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9"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127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35kV低压电抗器</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MVar</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tc>
        <w:tc>
          <w:tcPr>
            <w:tcW w:w="241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4</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±32</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MVar</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（本期2组，预留2组）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总平面布置</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汇集站：厂区分为5大装置区域，呈横列式布置方案。</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500kV配电装置区、500kV户内GIS室、主变</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压器</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及35kV配电装置区、220kV主变保护小室及站用电室与200kV配电装置区并列设置；SVG室、主控通信室及综合泵房并列设置。</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500kV向东出线，220kV向北出线。站区呈梯形，东西长209m，南北最长跨度为207m。站区围墙内占地面积为3.2亩。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04"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电气布置</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汇集站：</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按照站址位置及出线走廊</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500kV为向</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东</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架空出线</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220kV向北架空出线，变电站</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从西到东依次为</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220kV配电装置</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、主变</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压器</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及35kV配电装置、1台500</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MVA</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主变压器，500kv配电室。</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38"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给排水及废污水处理</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500kV汇集站水源为站内打井供水。采用分流制排水。排水系统包括雨水排水系统及生活污水系统。站区雨水排水采用设雨水下水道的有组织排水系统，雨水排至站外蒸发池。站区内生活污水</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排入化粪池内，定期清掏外运堆肥。</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12"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事故废油处理</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本项目新建事故油池</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1</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座，取油水分离方式，主变事故油池容积为按最大一个主变油箱容量的100%确认</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02"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消防系统</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500kV汇集站站内设水喷雾灭火系统、室外消火栓系统；对站区的各个建筑物，均按《建筑灭火器配置设计规范》及《电力设备典型消防规程》的要求，设置了不同类型的灭火</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器材</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。站内充油设备附近设置消防小间，站内设一处</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35</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0m³的消防水池。</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暖通</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500kV汇集站站内采用分体空调制冷热，同时配套电加热器供暖。通风系统采用自然进风、机械排风的通风方式。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占地</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500</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kv</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汇集站占地面积</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31575m</w:t>
            </w:r>
            <w:r>
              <w:rPr>
                <w:rFonts w:hint="eastAsia" w:ascii="Times New Roman" w:hAnsi="Times New Roman" w:cs="Times New Roman" w:eastAsiaTheme="minorEastAsia"/>
                <w:snapToGrid/>
                <w:color w:val="auto"/>
                <w:kern w:val="2"/>
                <w:sz w:val="24"/>
                <w:szCs w:val="24"/>
                <w:highlight w:val="none"/>
                <w:vertAlign w:val="superscript"/>
                <w:lang w:val="en-US" w:eastAsia="zh-CN" w:bidi="ar-SA"/>
              </w:rPr>
              <w:t>2</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53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国富500kV变电站</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间隔扩建</w:t>
            </w: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yellow"/>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总平面布置</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yellow"/>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国富变扩建间隔：与站内已建区域呈纵列式布置，位于2座500kv继电器小室中间区域。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型式</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户外式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新增设备</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新增2组断路器和1跨500kV构架，扩建为不完整串</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53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输电线路</w:t>
            </w: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电压等级</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5km-</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500kV</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/26km-220kv</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9"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线路长度</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新建1条5km</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单回</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500kv输电线；1条26km</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单回</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220kv输电线</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8"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起止点</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5km-500kv输电线起点为：本次新建500kv汇集站；终点为国富变；</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26km-220kv输电线起点为：本次新建500kv汇集站；终点为220kv升压站（暂时未建设）。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9"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涉及行政区</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大庆市大同区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6"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导线型式</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5km-500kv：4×JL/G1A-400/35钢芯铝绞线</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26km-220kv：2×JL/G1A-400/35钢芯铝绞线</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地线型式</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5km-500kv：JLB40-150铝包钢绞线</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26km-220kv：2根24芯OPGW-120光缆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杆塔数量</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单回路自立式铁塔。</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500kv输电线共建</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铁塔</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23</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基</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其中直线塔</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8</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基，耐张塔</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15</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基。</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220kv输电线共建</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铁塔</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86</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基</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其中直线塔</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61</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基，耐张塔</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25</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基础型式</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灌注桩基础</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635" w:hRule="atLeast"/>
        </w:trPr>
        <w:tc>
          <w:tcPr>
            <w:tcW w:w="53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环保工程</w:t>
            </w: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500kV汇集站</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1</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电磁屏蔽：GIS配电装置采用低电磁设备，合理布局；</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2</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噪声防治：选用低噪声设备，优化总平面布局；</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3</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固废处理：站内新建事故油池1座，事故排油、检修废油</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废蓄电池经收集后</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分类暂存于</w:t>
            </w:r>
            <w:r>
              <w:rPr>
                <w:rFonts w:hint="eastAsia" w:ascii="Times New Roman" w:hAnsi="Times New Roman" w:eastAsia="宋体" w:cs="Times New Roman"/>
                <w:snapToGrid/>
                <w:kern w:val="0"/>
                <w:sz w:val="24"/>
                <w:szCs w:val="24"/>
                <w:highlight w:val="none"/>
                <w:lang w:val="en-US" w:eastAsia="zh-CN" w:bidi="ar"/>
              </w:rPr>
              <w:t>危废暂存间</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内，</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统一交有资质单位处理</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lang w:val="en-US" w:eastAsia="zh-CN"/>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4</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生活污水</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排入化粪池内，定期清掏，拉运至大同污水处理厂处理。设置隔油池，食堂废水经隔油池简单处置后，排入化粪池内，随生活污水一同拉运处置。</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生活垃圾分类分区集中收集后交有环卫部门处置。</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6.设置</w:t>
            </w:r>
            <w:r>
              <w:rPr>
                <w:rFonts w:hint="eastAsia" w:ascii="Times New Roman" w:hAnsi="Times New Roman" w:eastAsia="宋体" w:cs="Times New Roman"/>
                <w:snapToGrid/>
                <w:kern w:val="0"/>
                <w:sz w:val="24"/>
                <w:szCs w:val="24"/>
                <w:highlight w:val="none"/>
                <w:lang w:val="en-US" w:eastAsia="zh-CN" w:bidi="ar"/>
              </w:rPr>
              <w:t>危废暂存间</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1座，位于站区西南角，占地面积108m2，</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为全封闭式构建物，进行重点防渗。</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03" w:hRule="atLeast"/>
        </w:trPr>
        <w:tc>
          <w:tcPr>
            <w:tcW w:w="53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7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输电线路</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电磁和噪声影响：合理选择导线等，远离敏感区，严格按照规范要求留足净空距离。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1" w:hRule="atLeast"/>
        </w:trPr>
        <w:tc>
          <w:tcPr>
            <w:tcW w:w="1314"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工程总投资</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500kV汇集站投资</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21428</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万元；输变电线路工程</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3314</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万元，扩建间隔投资</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2555</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万元，总投资</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27297</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万元。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314"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预计投运日期</w:t>
            </w:r>
          </w:p>
        </w:tc>
        <w:tc>
          <w:tcPr>
            <w:tcW w:w="3685"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202</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3</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年12月</w:t>
            </w:r>
          </w:p>
        </w:tc>
      </w:tr>
    </w:tbl>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3.1.2-500kV汇集站工程</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（1）地理位置</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位于大庆市大同区东侧，小山屯北侧一般农田内。</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（2）建设规模</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500kV汇集站本期及远期规模如下：1×500MVA主变，500kV出线1回：至国富500kV变电站1回；220kV出线1回，大庆光伏220kv升压站。</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本期及远期每台主变35kV侧按照装设2组32Mvar低抗。本工程具体建设内容见表3.1-2。</w:t>
      </w:r>
    </w:p>
    <w:p>
      <w:pPr>
        <w:widowControl/>
        <w:kinsoku/>
        <w:autoSpaceDE/>
        <w:autoSpaceDN/>
        <w:adjustRightInd/>
        <w:snapToGrid/>
        <w:spacing w:line="360" w:lineRule="auto"/>
        <w:ind w:firstLine="482" w:firstLineChars="200"/>
        <w:jc w:val="center"/>
        <w:textAlignment w:val="auto"/>
        <w:rPr>
          <w:rFonts w:hint="default"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表 3.1-2 500kV 汇集站建设规模表</w:t>
      </w:r>
    </w:p>
    <w:p>
      <w:pPr>
        <w:spacing w:line="89" w:lineRule="auto"/>
        <w:rPr>
          <w:rFonts w:ascii="Arial"/>
          <w:sz w:val="2"/>
          <w:highlight w:val="none"/>
        </w:rPr>
      </w:pP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991"/>
        <w:gridCol w:w="3189"/>
        <w:gridCol w:w="312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63" w:hRule="atLeast"/>
        </w:trPr>
        <w:tc>
          <w:tcPr>
            <w:tcW w:w="16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项目</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本期</w:t>
            </w:r>
          </w:p>
        </w:tc>
        <w:tc>
          <w:tcPr>
            <w:tcW w:w="167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远期 (最终)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16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主变压器容量及数量</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500MVA</w:t>
            </w:r>
          </w:p>
        </w:tc>
        <w:tc>
          <w:tcPr>
            <w:tcW w:w="167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2×500MVA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8" w:hRule="atLeast"/>
        </w:trPr>
        <w:tc>
          <w:tcPr>
            <w:tcW w:w="16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500kV 出线</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1</w:t>
            </w:r>
          </w:p>
        </w:tc>
        <w:tc>
          <w:tcPr>
            <w:tcW w:w="167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7" w:hRule="atLeast"/>
        </w:trPr>
        <w:tc>
          <w:tcPr>
            <w:tcW w:w="16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220kV 进线</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w:t>
            </w:r>
          </w:p>
        </w:tc>
        <w:tc>
          <w:tcPr>
            <w:tcW w:w="167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8" w:hRule="atLeast"/>
        </w:trPr>
        <w:tc>
          <w:tcPr>
            <w:tcW w:w="160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35kV 无功补偿装置</w:t>
            </w:r>
          </w:p>
        </w:tc>
        <w:tc>
          <w:tcPr>
            <w:tcW w:w="17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2×±32Mvar SVG</w:t>
            </w:r>
          </w:p>
        </w:tc>
        <w:tc>
          <w:tcPr>
            <w:tcW w:w="167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每台主变2台无功补偿设备</w:t>
            </w:r>
          </w:p>
        </w:tc>
      </w:tr>
    </w:tbl>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（3）总平面布置</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b/>
          <w:bCs/>
          <w:snapToGrid/>
          <w:color w:val="auto"/>
          <w:kern w:val="0"/>
          <w:sz w:val="24"/>
          <w:szCs w:val="24"/>
          <w:highlight w:val="none"/>
          <w:lang w:val="en-US" w:eastAsia="zh-CN" w:bidi="ar"/>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根据工艺布置500kV配电装置母线采用户内GIS布置，220kV配电装置为双母线单分段接线，母线采用悬吊式管母线，主变压器及无功设在两配电装置之间。站前区布置在南侧。排水沟围着站外铺设。</w:t>
      </w:r>
      <w:r>
        <w:rPr>
          <w:rFonts w:hint="eastAsia" w:ascii="Times New Roman" w:hAnsi="Times New Roman" w:eastAsia="宋体" w:cs="Times New Roman"/>
          <w:snapToGrid/>
          <w:kern w:val="0"/>
          <w:sz w:val="24"/>
          <w:szCs w:val="24"/>
          <w:highlight w:val="none"/>
          <w:lang w:val="en-US" w:eastAsia="zh-CN" w:bidi="ar"/>
        </w:rPr>
        <w:t>危废暂存间</w:t>
      </w:r>
      <w:r>
        <w:rPr>
          <w:rFonts w:hint="eastAsia" w:ascii="Times New Roman" w:hAnsi="Times New Roman" w:eastAsia="宋体" w:cs="Times New Roman"/>
          <w:caps w:val="0"/>
          <w:smallCaps w:val="0"/>
          <w:color w:val="auto"/>
          <w:spacing w:val="0"/>
          <w:w w:val="100"/>
          <w:kern w:val="0"/>
          <w:sz w:val="24"/>
          <w:szCs w:val="24"/>
          <w:highlight w:val="none"/>
          <w:lang w:val="en-US" w:eastAsia="zh-CN"/>
        </w:rPr>
        <w:t>布置于西北角，事故油池500kv户内GIS室西侧。化粪池位于</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t>危废暂存间东侧。</w:t>
      </w:r>
    </w:p>
    <w:p>
      <w:pPr>
        <w:keepNext w:val="0"/>
        <w:keepLines w:val="0"/>
        <w:widowControl/>
        <w:suppressLineNumbers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24"/>
          <w:szCs w:val="24"/>
          <w:highlight w:val="none"/>
          <w:lang w:val="en-US" w:eastAsia="zh-CN" w:bidi="ar"/>
        </w:rPr>
      </w:pPr>
      <w:r>
        <w:rPr>
          <w:rFonts w:hint="default" w:ascii="Times New Roman" w:hAnsi="Times New Roman" w:eastAsia="宋体" w:cs="Times New Roman"/>
          <w:b/>
          <w:bCs/>
          <w:snapToGrid/>
          <w:color w:val="auto"/>
          <w:kern w:val="0"/>
          <w:sz w:val="24"/>
          <w:szCs w:val="24"/>
          <w:highlight w:val="none"/>
          <w:lang w:val="en-US" w:eastAsia="zh-CN" w:bidi="ar"/>
        </w:rPr>
        <w:t>表3.1-3</w:t>
      </w:r>
      <w:r>
        <w:rPr>
          <w:rFonts w:hint="eastAsia" w:ascii="Times New Roman" w:hAnsi="Times New Roman" w:eastAsia="宋体" w:cs="Times New Roman"/>
          <w:b/>
          <w:bCs/>
          <w:snapToGrid/>
          <w:color w:val="auto"/>
          <w:kern w:val="0"/>
          <w:sz w:val="24"/>
          <w:szCs w:val="24"/>
          <w:highlight w:val="none"/>
          <w:lang w:val="en-US" w:eastAsia="zh-CN" w:bidi="ar"/>
        </w:rPr>
        <w:t xml:space="preserve">  </w:t>
      </w:r>
      <w:r>
        <w:rPr>
          <w:rFonts w:hint="default" w:ascii="Times New Roman" w:hAnsi="Times New Roman" w:eastAsia="宋体" w:cs="Times New Roman"/>
          <w:b/>
          <w:bCs/>
          <w:snapToGrid/>
          <w:color w:val="auto"/>
          <w:kern w:val="0"/>
          <w:sz w:val="24"/>
          <w:szCs w:val="24"/>
          <w:highlight w:val="none"/>
          <w:lang w:val="en-US" w:eastAsia="zh-CN" w:bidi="ar"/>
        </w:rPr>
        <w:t>500kV汇集站站区总平面布置方案表</w:t>
      </w:r>
    </w:p>
    <w:p>
      <w:pPr>
        <w:spacing w:line="124" w:lineRule="exact"/>
        <w:rPr>
          <w:highlight w:val="none"/>
        </w:rPr>
      </w:pP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902"/>
        <w:gridCol w:w="2936"/>
        <w:gridCol w:w="922"/>
        <w:gridCol w:w="2458"/>
        <w:gridCol w:w="208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序号</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项目</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单位</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数量</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站址总用地面积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31575</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1.1</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站区围墙内用地面积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30500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1.2</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进站道路用地面积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0.2722</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原有乡间道路</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1.3</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站外供水设施用地面积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1.4</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站外排水设施用地面积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1.5</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站外防 (排) 洪用地面积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1.6</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其他用地面积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0.2447</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站外3m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进站道路面积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280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站外道路宽6m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站外排水沟长度</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1075</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站区主电缆沟长度</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1250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站外护坡面积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400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17" w:hRule="atLeast"/>
        </w:trPr>
        <w:tc>
          <w:tcPr>
            <w:tcW w:w="485"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站址土石方工程量：挖方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43122</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填方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63954</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7.1</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站区平整土方量：挖方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25828</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17" w:hRule="atLeast"/>
        </w:trPr>
        <w:tc>
          <w:tcPr>
            <w:tcW w:w="485"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填方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63161</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7.2</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进站道路：挖方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1633</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填方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1759</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485"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7.3</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站址土方平衡后需：弃土</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28608</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填方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43078</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外购土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8</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站内道路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5578</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本期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9</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总建筑面积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6555.15</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本期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8"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10</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站区围墙长度</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803</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bl>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（4）电气布置方案</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500kV配电装置采用户内GIS一字型布置，500kV配电装置室尺寸128m×15.5m，出线构架宽度为26m，出线构高24m。220kV配电装置采用户外AIS，悬吊式管母线中型布置型式，断路器双列布置，间隔宽度为13m，上层导线高15.5m，出线构高14m。主变压器及35kV无功补偿配电装置布置在500kV和220kV配电装置之间，主变构架宽度为25m，出线构高21m。35kV配电装置采用户外AIS，支持式管母线，中型布置。</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b w:val="0"/>
          <w:bCs w:val="0"/>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val="0"/>
          <w:bCs w:val="0"/>
          <w:caps w:val="0"/>
          <w:smallCaps w:val="0"/>
          <w:color w:val="auto"/>
          <w:spacing w:val="0"/>
          <w:w w:val="100"/>
          <w:kern w:val="0"/>
          <w:sz w:val="24"/>
          <w:szCs w:val="24"/>
          <w:highlight w:val="none"/>
          <w:lang w:val="en-US" w:eastAsia="zh-CN"/>
        </w:rPr>
        <w:t>（5）主要设备选择</w:t>
      </w:r>
    </w:p>
    <w:p>
      <w:pPr>
        <w:pageBreakBefore w:val="0"/>
        <w:widowControl w:val="0"/>
        <w:numPr>
          <w:ilvl w:val="0"/>
          <w:numId w:val="0"/>
        </w:numPr>
        <w:bidi w:val="0"/>
        <w:adjustRightInd w:val="0"/>
        <w:snapToGrid w:val="0"/>
        <w:spacing w:line="360" w:lineRule="auto"/>
        <w:ind w:firstLine="482" w:firstLineChars="200"/>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表3.1-4 500kv汇集站主要设备见下表</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68"/>
        <w:gridCol w:w="2129"/>
        <w:gridCol w:w="62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序号</w:t>
            </w:r>
          </w:p>
        </w:tc>
        <w:tc>
          <w:tcPr>
            <w:tcW w:w="1118" w:type="pc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设备名称</w:t>
            </w:r>
          </w:p>
        </w:tc>
        <w:tc>
          <w:tcPr>
            <w:tcW w:w="3268" w:type="pc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主要参数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500kV主变压器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三相、自耦、无励磁调压型 500/500/150MVA，YNa0d11，525/230±2x2.5%/36kV阻抗电压百分比：U1-2%＝14，U1-3%＝47， U2-3%＝30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500kVGIS组合电器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550kV， 5000A， 63kA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500kV电压互感器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电容式， 5000pF</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p>
        </w:tc>
        <w:tc>
          <w:tcPr>
            <w:tcW w:w="111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500kV避雷器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主变：氧化锌避雷器， 20kA， 420/1046kV</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11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出线：氧化锌避雷器， 20kA， 444/1106kV</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220kV断路器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罐式， 252kV， 4000A， 50kA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w:t>
            </w:r>
          </w:p>
        </w:tc>
        <w:tc>
          <w:tcPr>
            <w:tcW w:w="1118"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220kV隔离开关</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单柱双臂垂直伸缩式，252kV， 4000A， 50kA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118"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三柱水平旋转式，252kV， 4000A， 50kA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8</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220kV接地开关</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单柱立开式， 252kV， 50kA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9</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220kV电压互感器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电容式，母线用 10000pF</w:t>
            </w:r>
            <w:r>
              <w:rPr>
                <w:rFonts w:hint="eastAsia" w:ascii="Times New Roman" w:hAnsi="Times New Roman" w:cs="Times New Roman" w:eastAsiaTheme="minorEastAsia"/>
                <w:snapToGrid/>
                <w:color w:val="auto"/>
                <w:kern w:val="2"/>
                <w:sz w:val="21"/>
                <w:szCs w:val="21"/>
                <w:highlight w:val="none"/>
                <w:vertAlign w:val="baseline"/>
                <w:lang w:val="en-US" w:eastAsia="zh-CN" w:bidi="ar-SA"/>
              </w:rPr>
              <w:t>，出线用 10000pF</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10</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220kV避雷器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氧化锌避雷器： 10kA， 204/532kV</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11</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35kV断路器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罐式， 72.5kV， 4000A， 40kA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12</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35kV隔离开关</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双柱水平旋转式，40.5kV， 4000A， 40kA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13</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35kV电压互感器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电容式，母线用 20000pF</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14</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35kV避雷器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氧化锌避雷器： 5kA， 51/134kV</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15</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35kV站用变压器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户外、油浸式，有载调压， 2000kVA，36±3×2.5%∕0.4kV， Dyn11， Uk%=6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16</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10kV箱式变压器</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户外美式箱变，无励磁调压， 2000kVA，10± 2×2.5%∕0.4kV， Dyn11， Uk%=6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1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17</w:t>
            </w:r>
          </w:p>
        </w:tc>
        <w:tc>
          <w:tcPr>
            <w:tcW w:w="111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SVG 型动态无动补偿成套装置</w:t>
            </w:r>
          </w:p>
        </w:tc>
        <w:tc>
          <w:tcPr>
            <w:tcW w:w="326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35kV ± 32Mvar</w:t>
            </w:r>
          </w:p>
        </w:tc>
      </w:tr>
    </w:tbl>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500kV汇集站内导体选择计算表见表3.1-5。</w:t>
      </w:r>
    </w:p>
    <w:p>
      <w:pPr>
        <w:keepNext w:val="0"/>
        <w:keepLines w:val="0"/>
        <w:widowControl/>
        <w:suppressLineNumbers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24"/>
          <w:szCs w:val="24"/>
          <w:highlight w:val="none"/>
          <w:lang w:val="en-US" w:eastAsia="zh-CN" w:bidi="ar"/>
        </w:rPr>
      </w:pPr>
      <w:r>
        <w:rPr>
          <w:rFonts w:hint="default" w:ascii="Times New Roman" w:hAnsi="Times New Roman" w:eastAsia="宋体" w:cs="Times New Roman"/>
          <w:b/>
          <w:bCs/>
          <w:snapToGrid/>
          <w:color w:val="auto"/>
          <w:kern w:val="0"/>
          <w:sz w:val="24"/>
          <w:szCs w:val="24"/>
          <w:highlight w:val="none"/>
          <w:lang w:val="en-US" w:eastAsia="zh-CN" w:bidi="ar"/>
        </w:rPr>
        <w:t>表 3.1-</w:t>
      </w:r>
      <w:r>
        <w:rPr>
          <w:rFonts w:hint="eastAsia" w:ascii="Times New Roman" w:hAnsi="Times New Roman" w:eastAsia="宋体" w:cs="Times New Roman"/>
          <w:b/>
          <w:bCs/>
          <w:snapToGrid/>
          <w:color w:val="auto"/>
          <w:kern w:val="0"/>
          <w:sz w:val="24"/>
          <w:szCs w:val="24"/>
          <w:highlight w:val="none"/>
          <w:lang w:val="en-US" w:eastAsia="zh-CN" w:bidi="ar"/>
        </w:rPr>
        <w:t>5</w:t>
      </w:r>
      <w:r>
        <w:rPr>
          <w:rFonts w:hint="default" w:ascii="Times New Roman" w:hAnsi="Times New Roman" w:eastAsia="宋体" w:cs="Times New Roman"/>
          <w:b/>
          <w:bCs/>
          <w:snapToGrid/>
          <w:color w:val="auto"/>
          <w:kern w:val="0"/>
          <w:sz w:val="24"/>
          <w:szCs w:val="24"/>
          <w:highlight w:val="none"/>
          <w:lang w:val="en-US" w:eastAsia="zh-CN" w:bidi="ar"/>
        </w:rPr>
        <w:t>导体选择计算表</w:t>
      </w:r>
    </w:p>
    <w:p>
      <w:pPr>
        <w:spacing w:line="14" w:lineRule="exact"/>
        <w:rPr>
          <w:highlight w:val="none"/>
        </w:rPr>
      </w:pP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817"/>
        <w:gridCol w:w="1867"/>
        <w:gridCol w:w="2469"/>
        <w:gridCol w:w="2029"/>
        <w:gridCol w:w="212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439"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电压(kV)</w:t>
            </w:r>
          </w:p>
        </w:tc>
        <w:tc>
          <w:tcPr>
            <w:tcW w:w="1003"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回路名称</w:t>
            </w:r>
          </w:p>
        </w:tc>
        <w:tc>
          <w:tcPr>
            <w:tcW w:w="2416" w:type="pct"/>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选用导体</w:t>
            </w:r>
          </w:p>
        </w:tc>
        <w:tc>
          <w:tcPr>
            <w:tcW w:w="114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控制条件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3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003"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导线根数×型号</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载流量 (A)</w:t>
            </w:r>
          </w:p>
        </w:tc>
        <w:tc>
          <w:tcPr>
            <w:tcW w:w="114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439"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500</w:t>
            </w:r>
          </w:p>
        </w:tc>
        <w:tc>
          <w:tcPr>
            <w:tcW w:w="10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母线</w:t>
            </w: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r>
              <w:rPr>
                <w:rFonts w:hint="default" w:ascii="Times New Roman" w:hAnsi="Times New Roman" w:cs="Times New Roman" w:eastAsiaTheme="minorEastAsia"/>
                <w:snapToGrid/>
                <w:color w:val="auto"/>
                <w:kern w:val="2"/>
                <w:sz w:val="21"/>
                <w:szCs w:val="21"/>
                <w:highlight w:val="none"/>
                <w:vertAlign w:val="baseline"/>
                <w:lang w:val="en-US" w:eastAsia="zh-CN" w:bidi="ar-SA"/>
              </w:rPr>
              <w:t>×</w:t>
            </w:r>
            <w:r>
              <w:rPr>
                <w:rFonts w:hint="eastAsia" w:ascii="Times New Roman" w:hAnsi="Times New Roman" w:cs="Times New Roman" w:eastAsiaTheme="minorEastAsia"/>
                <w:snapToGrid/>
                <w:color w:val="auto"/>
                <w:kern w:val="2"/>
                <w:sz w:val="21"/>
                <w:szCs w:val="21"/>
                <w:highlight w:val="none"/>
                <w:vertAlign w:val="baseline"/>
                <w:lang w:val="en-US" w:eastAsia="zh-CN" w:bidi="ar-SA"/>
              </w:rPr>
              <w:t>JL/G1A-400/35</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6300</w:t>
            </w:r>
          </w:p>
        </w:tc>
        <w:tc>
          <w:tcPr>
            <w:tcW w:w="11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由载流</w:t>
            </w:r>
            <w:r>
              <w:rPr>
                <w:rFonts w:hint="eastAsia" w:ascii="Times New Roman" w:hAnsi="Times New Roman" w:cs="Times New Roman" w:eastAsiaTheme="minorEastAsia"/>
                <w:snapToGrid/>
                <w:color w:val="auto"/>
                <w:kern w:val="2"/>
                <w:sz w:val="21"/>
                <w:szCs w:val="21"/>
                <w:highlight w:val="none"/>
                <w:vertAlign w:val="baseline"/>
                <w:lang w:val="en-US" w:eastAsia="zh-CN" w:bidi="ar-SA"/>
              </w:rPr>
              <w:t>流量</w:t>
            </w:r>
            <w:r>
              <w:rPr>
                <w:rFonts w:hint="default" w:ascii="Times New Roman" w:hAnsi="Times New Roman" w:cs="Times New Roman" w:eastAsiaTheme="minorEastAsia"/>
                <w:snapToGrid/>
                <w:color w:val="auto"/>
                <w:kern w:val="2"/>
                <w:sz w:val="21"/>
                <w:szCs w:val="21"/>
                <w:highlight w:val="none"/>
                <w:vertAlign w:val="baseline"/>
                <w:lang w:val="en-US" w:eastAsia="zh-CN" w:bidi="ar-SA"/>
              </w:rPr>
              <w:t>和挠度控制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43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0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主变压器进线</w:t>
            </w: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LGKK-600</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1078</w:t>
            </w:r>
          </w:p>
        </w:tc>
        <w:tc>
          <w:tcPr>
            <w:tcW w:w="11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由电晕控制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43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0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出线</w:t>
            </w: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2×NAHLGJQ-1440</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5360</w:t>
            </w:r>
          </w:p>
        </w:tc>
        <w:tc>
          <w:tcPr>
            <w:tcW w:w="11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由无线电干扰、电</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晕、载流量控制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39"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220</w:t>
            </w:r>
          </w:p>
        </w:tc>
        <w:tc>
          <w:tcPr>
            <w:tcW w:w="10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母线</w:t>
            </w: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6063-Φ250/230</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6000</w:t>
            </w:r>
          </w:p>
        </w:tc>
        <w:tc>
          <w:tcPr>
            <w:tcW w:w="11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由载流量、挠度控制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3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0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母联</w:t>
            </w: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2xNAHLGJQ-1440</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5360</w:t>
            </w:r>
          </w:p>
        </w:tc>
        <w:tc>
          <w:tcPr>
            <w:tcW w:w="11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由载流量控制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3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0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主变压器进线</w:t>
            </w: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2xLGKK-600</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2156</w:t>
            </w:r>
          </w:p>
        </w:tc>
        <w:tc>
          <w:tcPr>
            <w:tcW w:w="11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由载流量控制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3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0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出线</w:t>
            </w: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2xLGKK-600</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2156</w:t>
            </w:r>
          </w:p>
        </w:tc>
        <w:tc>
          <w:tcPr>
            <w:tcW w:w="11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由载流量控制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3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0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母线设备</w:t>
            </w: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JL/G1A-400</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1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由电晕控制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439"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35</w:t>
            </w:r>
          </w:p>
        </w:tc>
        <w:tc>
          <w:tcPr>
            <w:tcW w:w="10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母线</w:t>
            </w: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Φ130/116</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3511</w:t>
            </w:r>
          </w:p>
        </w:tc>
        <w:tc>
          <w:tcPr>
            <w:tcW w:w="11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由载流量、挠度控制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43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0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主回路</w:t>
            </w: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2xNAHLGJQ-1440</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5360</w:t>
            </w:r>
          </w:p>
        </w:tc>
        <w:tc>
          <w:tcPr>
            <w:tcW w:w="11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由载流量控制</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3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00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站用电回路</w:t>
            </w:r>
          </w:p>
        </w:tc>
        <w:tc>
          <w:tcPr>
            <w:tcW w:w="13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JL/G1A-400</w:t>
            </w:r>
          </w:p>
        </w:tc>
        <w:tc>
          <w:tcPr>
            <w:tcW w:w="10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690</w:t>
            </w:r>
          </w:p>
        </w:tc>
        <w:tc>
          <w:tcPr>
            <w:tcW w:w="114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由载流量控制</w:t>
            </w:r>
          </w:p>
        </w:tc>
      </w:tr>
    </w:tbl>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 站内建筑</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500kV汇集站站内建筑面积一览表见表3.1-</w:t>
      </w: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widowControl/>
        <w:suppressLineNumbers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24"/>
          <w:szCs w:val="24"/>
          <w:highlight w:val="none"/>
          <w:lang w:val="en-US" w:eastAsia="zh-CN" w:bidi="ar"/>
        </w:rPr>
      </w:pPr>
      <w:r>
        <w:rPr>
          <w:rFonts w:hint="default" w:ascii="Times New Roman" w:hAnsi="Times New Roman" w:eastAsia="宋体" w:cs="Times New Roman"/>
          <w:b/>
          <w:bCs/>
          <w:snapToGrid/>
          <w:color w:val="auto"/>
          <w:kern w:val="0"/>
          <w:sz w:val="24"/>
          <w:szCs w:val="24"/>
          <w:highlight w:val="none"/>
          <w:lang w:val="en-US" w:eastAsia="zh-CN" w:bidi="ar"/>
        </w:rPr>
        <w:t>表3.1-</w:t>
      </w:r>
      <w:r>
        <w:rPr>
          <w:rFonts w:hint="eastAsia" w:ascii="Times New Roman" w:hAnsi="Times New Roman" w:eastAsia="宋体" w:cs="Times New Roman"/>
          <w:b/>
          <w:bCs/>
          <w:snapToGrid/>
          <w:color w:val="auto"/>
          <w:kern w:val="0"/>
          <w:sz w:val="24"/>
          <w:szCs w:val="24"/>
          <w:highlight w:val="none"/>
          <w:lang w:val="en-US" w:eastAsia="zh-CN" w:bidi="ar"/>
        </w:rPr>
        <w:t>6</w:t>
      </w:r>
      <w:r>
        <w:rPr>
          <w:rFonts w:hint="default" w:ascii="Times New Roman" w:hAnsi="Times New Roman" w:eastAsia="宋体" w:cs="Times New Roman"/>
          <w:b/>
          <w:bCs/>
          <w:snapToGrid/>
          <w:color w:val="auto"/>
          <w:kern w:val="0"/>
          <w:sz w:val="24"/>
          <w:szCs w:val="24"/>
          <w:highlight w:val="none"/>
          <w:lang w:val="en-US" w:eastAsia="zh-CN" w:bidi="ar"/>
        </w:rPr>
        <w:t>站内建筑面积一览表</w:t>
      </w:r>
    </w:p>
    <w:p>
      <w:pPr>
        <w:spacing w:line="14" w:lineRule="exact"/>
        <w:rPr>
          <w:highlight w:val="none"/>
        </w:rPr>
      </w:pP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77"/>
        <w:gridCol w:w="2297"/>
        <w:gridCol w:w="1348"/>
        <w:gridCol w:w="1352"/>
        <w:gridCol w:w="1352"/>
        <w:gridCol w:w="1089"/>
        <w:gridCol w:w="119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36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序号</w:t>
            </w:r>
          </w:p>
        </w:tc>
        <w:tc>
          <w:tcPr>
            <w:tcW w:w="123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建筑物名称</w:t>
            </w:r>
          </w:p>
        </w:tc>
        <w:tc>
          <w:tcPr>
            <w:tcW w:w="3400" w:type="pct"/>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本期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36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23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7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面积 (m2)</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结构形式</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层数</w:t>
            </w:r>
          </w:p>
        </w:tc>
        <w:tc>
          <w:tcPr>
            <w:tcW w:w="5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层高 ( m )</w:t>
            </w:r>
          </w:p>
        </w:tc>
        <w:tc>
          <w:tcPr>
            <w:tcW w:w="6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耐火等级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3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1</w:t>
            </w:r>
          </w:p>
        </w:tc>
        <w:tc>
          <w:tcPr>
            <w:tcW w:w="12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主控通信楼</w:t>
            </w:r>
          </w:p>
        </w:tc>
        <w:tc>
          <w:tcPr>
            <w:tcW w:w="7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2971.42</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框架</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二</w:t>
            </w:r>
            <w:r>
              <w:rPr>
                <w:rFonts w:hint="default" w:ascii="Times New Roman" w:hAnsi="Times New Roman" w:cs="Times New Roman" w:eastAsiaTheme="minorEastAsia"/>
                <w:snapToGrid/>
                <w:color w:val="auto"/>
                <w:kern w:val="2"/>
                <w:sz w:val="21"/>
                <w:szCs w:val="21"/>
                <w:highlight w:val="none"/>
                <w:vertAlign w:val="baseline"/>
                <w:lang w:val="en-US" w:eastAsia="zh-CN" w:bidi="ar-SA"/>
              </w:rPr>
              <w:t>层</w:t>
            </w:r>
          </w:p>
        </w:tc>
        <w:tc>
          <w:tcPr>
            <w:tcW w:w="5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4.5</w:t>
            </w:r>
          </w:p>
        </w:tc>
        <w:tc>
          <w:tcPr>
            <w:tcW w:w="6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二级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3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w:t>
            </w:r>
          </w:p>
        </w:tc>
        <w:tc>
          <w:tcPr>
            <w:tcW w:w="12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500kV保护小室</w:t>
            </w:r>
          </w:p>
        </w:tc>
        <w:tc>
          <w:tcPr>
            <w:tcW w:w="7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164</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框架</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单层</w:t>
            </w:r>
          </w:p>
        </w:tc>
        <w:tc>
          <w:tcPr>
            <w:tcW w:w="5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4.2</w:t>
            </w:r>
          </w:p>
        </w:tc>
        <w:tc>
          <w:tcPr>
            <w:tcW w:w="6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二级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3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w:t>
            </w:r>
          </w:p>
        </w:tc>
        <w:tc>
          <w:tcPr>
            <w:tcW w:w="12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主变及220kV保护小室</w:t>
            </w:r>
          </w:p>
        </w:tc>
        <w:tc>
          <w:tcPr>
            <w:tcW w:w="7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388</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框架</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单层</w:t>
            </w:r>
          </w:p>
        </w:tc>
        <w:tc>
          <w:tcPr>
            <w:tcW w:w="5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4.2</w:t>
            </w:r>
          </w:p>
        </w:tc>
        <w:tc>
          <w:tcPr>
            <w:tcW w:w="6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二级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3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p>
        </w:tc>
        <w:tc>
          <w:tcPr>
            <w:tcW w:w="12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500kV配电装置室</w:t>
            </w:r>
          </w:p>
        </w:tc>
        <w:tc>
          <w:tcPr>
            <w:tcW w:w="7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2206</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框架</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单层</w:t>
            </w:r>
          </w:p>
        </w:tc>
        <w:tc>
          <w:tcPr>
            <w:tcW w:w="5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15</w:t>
            </w:r>
          </w:p>
        </w:tc>
        <w:tc>
          <w:tcPr>
            <w:tcW w:w="6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二级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3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w:t>
            </w:r>
          </w:p>
        </w:tc>
        <w:tc>
          <w:tcPr>
            <w:tcW w:w="12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SVG室</w:t>
            </w:r>
          </w:p>
        </w:tc>
        <w:tc>
          <w:tcPr>
            <w:tcW w:w="7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80</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框架</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单层</w:t>
            </w:r>
          </w:p>
        </w:tc>
        <w:tc>
          <w:tcPr>
            <w:tcW w:w="5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4.7</w:t>
            </w:r>
          </w:p>
        </w:tc>
        <w:tc>
          <w:tcPr>
            <w:tcW w:w="6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二级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3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w:t>
            </w:r>
          </w:p>
        </w:tc>
        <w:tc>
          <w:tcPr>
            <w:tcW w:w="123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危废暂存间</w:t>
            </w:r>
          </w:p>
        </w:tc>
        <w:tc>
          <w:tcPr>
            <w:tcW w:w="7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108</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框架</w:t>
            </w:r>
          </w:p>
        </w:tc>
        <w:tc>
          <w:tcPr>
            <w:tcW w:w="72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单层</w:t>
            </w:r>
          </w:p>
        </w:tc>
        <w:tc>
          <w:tcPr>
            <w:tcW w:w="5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4.7</w:t>
            </w:r>
          </w:p>
        </w:tc>
        <w:tc>
          <w:tcPr>
            <w:tcW w:w="6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二级</w:t>
            </w:r>
          </w:p>
        </w:tc>
      </w:tr>
    </w:tbl>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（7）供排水方案</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500kV汇集站水源为站内打井供水。采用分流制排水。排水系统包括雨水排水系统及生活污水排水系统。站区雨水排水采用雨排管道，引至站外低洼地带排放；站区内生活污水经生活污水管道收集，排至地化粪池，定期清掏，拉运至大同市污水处理厂处理。</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500kV汇集站站内用水主要为运维人员生活用水，站内运维人员按10人计，根据《黑龙江省用水定额》（DB23/T727-2021），用水量为80L/(人·d)，用水量为0.8m³/d，292m3/a，</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生活污水产生量按用水量80%计，则生活污水产生量为234t/a。</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drawing>
          <wp:inline distT="0" distB="0" distL="114300" distR="114300">
            <wp:extent cx="5265420" cy="1165225"/>
            <wp:effectExtent l="0" t="0" r="11430" b="15875"/>
            <wp:docPr id="1" name="图片 1" descr="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平衡"/>
                    <pic:cNvPicPr>
                      <a:picLocks noChangeAspect="1"/>
                    </pic:cNvPicPr>
                  </pic:nvPicPr>
                  <pic:blipFill>
                    <a:blip r:embed="rId55"/>
                    <a:stretch>
                      <a:fillRect/>
                    </a:stretch>
                  </pic:blipFill>
                  <pic:spPr>
                    <a:xfrm>
                      <a:off x="0" y="0"/>
                      <a:ext cx="5265420" cy="1165225"/>
                    </a:xfrm>
                    <a:prstGeom prst="rect">
                      <a:avLst/>
                    </a:prstGeom>
                  </pic:spPr>
                </pic:pic>
              </a:graphicData>
            </a:graphic>
          </wp:inline>
        </w:drawing>
      </w:r>
    </w:p>
    <w:p>
      <w:pPr>
        <w:pStyle w:val="11"/>
        <w:jc w:val="center"/>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图3.1 项目水平衡图</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事故油排放系统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站内事故排油主要指变电站等含油设备发生故障或火灾时紧急排放的油类，该部油通过管道排至站区事故油池，该事故油池容积为90m³，事故油池能够容纳最大一台设备100%的油量，故不会导致废油外排而污染环境。</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本项目设有90m</w:t>
      </w:r>
      <w:r>
        <w:rPr>
          <w:rFonts w:hint="default"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事故油池1个，设计单位根据《变电站和换流站给水排水设计规程》(DL/T5143-2018)中变压器等含油设备的事故排油规定：设置带油水分离措施的事故油池时，其贮油量应按油量最大一台设备100%油量确定；设计单位设计事故油池 容积按不小于最大台设备油量的100%设计，本项目设置1主变(500MVA)，单台最大油量75t，密度0.895g/mL，经计算事故废油最大量为83.8m³，设计拟建设90m³事故油池，可以满足变压器事故排油。事故油池和油坑防渗要求为：防渗层为至少1m厚黏土层(渗透系数≤10</w:t>
      </w:r>
      <w:r>
        <w:rPr>
          <w:rFonts w:hint="default" w:ascii="Times New Roman" w:hAnsi="Times New Roman" w:eastAsia="宋体" w:cs="Times New Roman"/>
          <w:caps w:val="0"/>
          <w:smallCaps w:val="0"/>
          <w:color w:val="auto"/>
          <w:spacing w:val="0"/>
          <w:w w:val="100"/>
          <w:kern w:val="0"/>
          <w:sz w:val="24"/>
          <w:szCs w:val="24"/>
          <w:highlight w:val="none"/>
          <w:vertAlign w:val="superscript"/>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cm/s)或至少2mm厚高密度聚乙烯。事故油池的顶板、底板、池壁采用抗渗等级为P6的混凝土(其防渗系数约4.91×10</w:t>
      </w:r>
      <w:r>
        <w:rPr>
          <w:rFonts w:hint="default" w:ascii="Times New Roman" w:hAnsi="Times New Roman" w:eastAsia="宋体" w:cs="Times New Roman"/>
          <w:caps w:val="0"/>
          <w:smallCaps w:val="0"/>
          <w:color w:val="auto"/>
          <w:spacing w:val="0"/>
          <w:w w:val="100"/>
          <w:kern w:val="0"/>
          <w:sz w:val="24"/>
          <w:szCs w:val="24"/>
          <w:highlight w:val="none"/>
          <w:vertAlign w:val="superscript"/>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cm/s)，池壁涂2cm厚的防水砂浆(防渗系数小于1×10</w:t>
      </w:r>
      <w:r>
        <w:rPr>
          <w:rFonts w:hint="default" w:ascii="Times New Roman" w:hAnsi="Times New Roman" w:eastAsia="宋体" w:cs="Times New Roman"/>
          <w:caps w:val="0"/>
          <w:smallCaps w:val="0"/>
          <w:color w:val="auto"/>
          <w:spacing w:val="0"/>
          <w:w w:val="100"/>
          <w:kern w:val="0"/>
          <w:sz w:val="24"/>
          <w:szCs w:val="24"/>
          <w:highlight w:val="none"/>
          <w:vertAlign w:val="superscript"/>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cm/s)。</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消防及暖通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①消防</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汇集站站内设水喷雾灭火系统、室外消火栓系统；对站区的各个建筑物，均按《建筑灭火器配置设计规范》及《电力设备典型消防规程》的要求，设置了不同类型的灭火器。站内充油设备附近设置消防小间，其内设置消防铲2把、消防斧2把、消防扳手2把、灭火器箱(4具/箱)两个、推车式磷酸铵盐干粉灭火器2个。定置防爆灯、防护型头盔、防火手套、作战腰带、作战靴、战斗服、石棉毯等工具。雨淋阀室、变压器及消防小间旁均设置1m</w:t>
      </w:r>
      <w:r>
        <w:rPr>
          <w:rFonts w:hint="default"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砂箱，露天布置。</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消防给水系统主要由消防水泵、消防水池及消防管网等组成。消防水泵放置在综合水泵房，消防水池内装有液位控制装置，与消防水泵连锁，保证消防用水。</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②暖通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500kV汇集站站内采用分体空调制冷热，同时配套电加热器供暖。通风系统采用自然进风、机械排风的通风方式。</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3.1.2.10职工人数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500kV汇集站运行人员按</w:t>
      </w: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人计，包含运维人员和管理人员。</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3.1.3国富变扩建间隔工程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（1）地理位置</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国富500kV变电站场址位于大庆市大同区肇州县厢房屯</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东南侧约700m处。</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0000FF"/>
          <w:spacing w:val="0"/>
          <w:w w:val="100"/>
          <w:kern w:val="0"/>
          <w:sz w:val="24"/>
          <w:szCs w:val="24"/>
          <w:highlight w:val="none"/>
          <w:lang w:val="en-US" w:eastAsia="zh-CN"/>
        </w:rPr>
      </w:pPr>
      <w:r>
        <w:rPr>
          <w:rFonts w:hint="default" w:ascii="Times New Roman" w:hAnsi="Times New Roman" w:eastAsia="宋体" w:cs="Times New Roman"/>
          <w:caps w:val="0"/>
          <w:smallCaps w:val="0"/>
          <w:color w:val="0000FF"/>
          <w:spacing w:val="0"/>
          <w:w w:val="100"/>
          <w:kern w:val="0"/>
          <w:sz w:val="24"/>
          <w:szCs w:val="24"/>
          <w:highlight w:val="none"/>
          <w:lang w:val="en-US" w:eastAsia="zh-CN"/>
        </w:rPr>
        <w:t>（2）建设规模</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0000FF"/>
          <w:spacing w:val="0"/>
          <w:w w:val="100"/>
          <w:kern w:val="0"/>
          <w:sz w:val="24"/>
          <w:szCs w:val="24"/>
          <w:highlight w:val="none"/>
          <w:lang w:val="en-US" w:eastAsia="zh-CN"/>
        </w:rPr>
      </w:pPr>
      <w:r>
        <w:rPr>
          <w:rFonts w:hint="eastAsia" w:ascii="Times New Roman" w:hAnsi="Times New Roman" w:eastAsia="宋体" w:cs="Times New Roman"/>
          <w:caps w:val="0"/>
          <w:smallCaps w:val="0"/>
          <w:color w:val="0000FF"/>
          <w:spacing w:val="0"/>
          <w:w w:val="100"/>
          <w:kern w:val="0"/>
          <w:sz w:val="24"/>
          <w:szCs w:val="24"/>
          <w:highlight w:val="none"/>
          <w:lang w:val="en-US" w:eastAsia="zh-CN"/>
        </w:rPr>
        <w:t>本次扩建规模：500kV配电装置采用3/2断路器接线，原规划为远期 8 线 4变，组成5个完整串；500kV已建成4线2变，组成2个完整串和2个不完整串。</w:t>
      </w:r>
    </w:p>
    <w:p>
      <w:pPr>
        <w:widowControl/>
        <w:kinsoku/>
        <w:autoSpaceDE/>
        <w:autoSpaceDN/>
        <w:adjustRightInd/>
        <w:snapToGrid/>
        <w:spacing w:line="360" w:lineRule="auto"/>
        <w:ind w:firstLine="482" w:firstLineChars="200"/>
        <w:jc w:val="center"/>
        <w:textAlignment w:val="auto"/>
        <w:rPr>
          <w:rFonts w:hint="default" w:ascii="Times New Roman" w:hAnsi="Times New Roman" w:eastAsia="宋体" w:cs="Times New Roman"/>
          <w:b/>
          <w:bCs/>
          <w:snapToGrid/>
          <w:kern w:val="0"/>
          <w:sz w:val="24"/>
          <w:szCs w:val="24"/>
          <w:highlight w:val="none"/>
          <w:lang w:val="en-US" w:eastAsia="zh-CN" w:bidi="ar"/>
        </w:rPr>
      </w:pPr>
      <w:r>
        <w:rPr>
          <w:rFonts w:hint="default" w:ascii="Times New Roman" w:hAnsi="Times New Roman" w:eastAsia="宋体" w:cs="Times New Roman"/>
          <w:b/>
          <w:bCs/>
          <w:snapToGrid/>
          <w:kern w:val="0"/>
          <w:sz w:val="24"/>
          <w:szCs w:val="24"/>
          <w:highlight w:val="none"/>
          <w:lang w:val="en-US" w:eastAsia="zh-CN" w:bidi="ar"/>
        </w:rPr>
        <w:t>表 3.1-</w:t>
      </w:r>
      <w:r>
        <w:rPr>
          <w:rFonts w:hint="eastAsia" w:ascii="Times New Roman" w:hAnsi="Times New Roman" w:eastAsia="宋体" w:cs="Times New Roman"/>
          <w:b/>
          <w:bCs/>
          <w:snapToGrid/>
          <w:kern w:val="0"/>
          <w:sz w:val="24"/>
          <w:szCs w:val="24"/>
          <w:highlight w:val="none"/>
          <w:lang w:val="en-US" w:eastAsia="zh-CN" w:bidi="ar"/>
        </w:rPr>
        <w:t>7国富变扩建间隔</w:t>
      </w:r>
      <w:r>
        <w:rPr>
          <w:rFonts w:hint="default" w:ascii="Times New Roman" w:hAnsi="Times New Roman" w:eastAsia="宋体" w:cs="Times New Roman"/>
          <w:b/>
          <w:bCs/>
          <w:snapToGrid/>
          <w:kern w:val="0"/>
          <w:sz w:val="24"/>
          <w:szCs w:val="24"/>
          <w:highlight w:val="none"/>
          <w:lang w:val="en-US" w:eastAsia="zh-CN" w:bidi="ar"/>
        </w:rPr>
        <w:t>建设规模表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01"/>
        <w:gridCol w:w="636"/>
        <w:gridCol w:w="1730"/>
        <w:gridCol w:w="2098"/>
        <w:gridCol w:w="1660"/>
        <w:gridCol w:w="16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序号</w:t>
            </w:r>
          </w:p>
        </w:tc>
        <w:tc>
          <w:tcPr>
            <w:tcW w:w="2366"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设备名称</w:t>
            </w:r>
          </w:p>
        </w:tc>
        <w:tc>
          <w:tcPr>
            <w:tcW w:w="209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已建工程</w:t>
            </w:r>
          </w:p>
        </w:tc>
        <w:tc>
          <w:tcPr>
            <w:tcW w:w="1660"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本次扩建</w:t>
            </w:r>
          </w:p>
        </w:tc>
        <w:tc>
          <w:tcPr>
            <w:tcW w:w="169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远期规划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w:t>
            </w:r>
          </w:p>
        </w:tc>
        <w:tc>
          <w:tcPr>
            <w:tcW w:w="2366"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主变压器容量</w:t>
            </w:r>
          </w:p>
        </w:tc>
        <w:tc>
          <w:tcPr>
            <w:tcW w:w="209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2×1000MVA</w:t>
            </w:r>
          </w:p>
        </w:tc>
        <w:tc>
          <w:tcPr>
            <w:tcW w:w="1660"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69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r>
              <w:rPr>
                <w:rFonts w:hint="default" w:ascii="Times New Roman" w:hAnsi="Times New Roman" w:cs="Times New Roman" w:eastAsiaTheme="minorEastAsia"/>
                <w:snapToGrid/>
                <w:color w:val="auto"/>
                <w:kern w:val="2"/>
                <w:sz w:val="21"/>
                <w:szCs w:val="21"/>
                <w:highlight w:val="none"/>
                <w:vertAlign w:val="baseline"/>
                <w:lang w:val="en-US" w:eastAsia="zh-CN" w:bidi="ar-SA"/>
              </w:rPr>
              <w:t>×1000MVA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vMerge w:val="restar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w:t>
            </w:r>
          </w:p>
        </w:tc>
        <w:tc>
          <w:tcPr>
            <w:tcW w:w="2366"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500kV 出线回路数</w:t>
            </w:r>
          </w:p>
        </w:tc>
        <w:tc>
          <w:tcPr>
            <w:tcW w:w="209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4回</w:t>
            </w:r>
          </w:p>
        </w:tc>
        <w:tc>
          <w:tcPr>
            <w:tcW w:w="1660"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1回</w:t>
            </w:r>
          </w:p>
        </w:tc>
        <w:tc>
          <w:tcPr>
            <w:tcW w:w="169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8回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63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其中：</w:t>
            </w:r>
          </w:p>
        </w:tc>
        <w:tc>
          <w:tcPr>
            <w:tcW w:w="17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至五家变</w:t>
            </w:r>
          </w:p>
        </w:tc>
        <w:tc>
          <w:tcPr>
            <w:tcW w:w="20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2回（其中1 回带120Mvar 高抗）</w:t>
            </w:r>
          </w:p>
        </w:tc>
        <w:tc>
          <w:tcPr>
            <w:tcW w:w="16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2回（其中1 回带120Mvar 高抗）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63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7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至齐南变</w:t>
            </w:r>
          </w:p>
        </w:tc>
        <w:tc>
          <w:tcPr>
            <w:tcW w:w="20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 回（其中1 回带150Mvar 高抗）</w:t>
            </w:r>
          </w:p>
        </w:tc>
        <w:tc>
          <w:tcPr>
            <w:tcW w:w="16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 回（其中1 回带150Mvar 高抗）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63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7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至安达变</w:t>
            </w:r>
          </w:p>
        </w:tc>
        <w:tc>
          <w:tcPr>
            <w:tcW w:w="20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6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 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63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7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至500kv汇集站</w:t>
            </w:r>
          </w:p>
        </w:tc>
        <w:tc>
          <w:tcPr>
            <w:tcW w:w="20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6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1回</w:t>
            </w: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 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63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7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至南侧出线</w:t>
            </w:r>
          </w:p>
        </w:tc>
        <w:tc>
          <w:tcPr>
            <w:tcW w:w="20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6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 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w:t>
            </w:r>
          </w:p>
        </w:tc>
        <w:tc>
          <w:tcPr>
            <w:tcW w:w="236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220kV 出线回路数</w:t>
            </w:r>
          </w:p>
        </w:tc>
        <w:tc>
          <w:tcPr>
            <w:tcW w:w="20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12回</w:t>
            </w:r>
          </w:p>
        </w:tc>
        <w:tc>
          <w:tcPr>
            <w:tcW w:w="16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18回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p>
        </w:tc>
        <w:tc>
          <w:tcPr>
            <w:tcW w:w="236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66kV低压无功补偿装置</w:t>
            </w:r>
          </w:p>
        </w:tc>
        <w:tc>
          <w:tcPr>
            <w:tcW w:w="5449"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63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其中：</w:t>
            </w:r>
          </w:p>
        </w:tc>
        <w:tc>
          <w:tcPr>
            <w:tcW w:w="17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并联电抗器</w:t>
            </w:r>
          </w:p>
        </w:tc>
        <w:tc>
          <w:tcPr>
            <w:tcW w:w="20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 （1×60Mvar）</w:t>
            </w:r>
          </w:p>
        </w:tc>
        <w:tc>
          <w:tcPr>
            <w:tcW w:w="16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r>
              <w:rPr>
                <w:rFonts w:hint="default" w:ascii="Times New Roman" w:hAnsi="Times New Roman" w:cs="Times New Roman" w:eastAsiaTheme="minorEastAsia"/>
                <w:snapToGrid/>
                <w:color w:val="auto"/>
                <w:kern w:val="2"/>
                <w:sz w:val="21"/>
                <w:szCs w:val="21"/>
                <w:highlight w:val="none"/>
                <w:vertAlign w:val="baseline"/>
                <w:lang w:val="en-US" w:eastAsia="zh-CN" w:bidi="ar-SA"/>
              </w:rPr>
              <w:t>×（1×60Mvar）</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1"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63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7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并联电容器</w:t>
            </w:r>
          </w:p>
        </w:tc>
        <w:tc>
          <w:tcPr>
            <w:tcW w:w="209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6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6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r>
              <w:rPr>
                <w:rFonts w:hint="default" w:ascii="Times New Roman" w:hAnsi="Times New Roman" w:cs="Times New Roman" w:eastAsiaTheme="minorEastAsia"/>
                <w:snapToGrid/>
                <w:color w:val="auto"/>
                <w:kern w:val="2"/>
                <w:sz w:val="21"/>
                <w:szCs w:val="21"/>
                <w:highlight w:val="none"/>
                <w:vertAlign w:val="baseline"/>
                <w:lang w:val="en-US" w:eastAsia="zh-CN" w:bidi="ar-SA"/>
              </w:rPr>
              <w:t>×（1×60Mvar）</w:t>
            </w:r>
          </w:p>
        </w:tc>
      </w:tr>
    </w:tbl>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（3）总平面布置</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500kV国富站500kV交流配电装置为3/2断路器接线形式，采用罐式断路器三列式布置，500kV现有5串，出线4回。500kV 侧母线采用屋外悬吊式管型母线配单柱双臂垂直伸缩式母线隔离开关，串中采用组合式三接地隔离开关。配电装置进出线间隔布置呈东西方向排列，由南北方向出线，主变进线从配电装置东侧接入串中。500kV交流进出线朝南、北两个方向出线。主变及66kV配电装置布置在站区中间，变电站进站道路由北方向接入，主控通信楼连同站前区位于进站道路入口处以西</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widowControl/>
        <w:suppressLineNumbers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24"/>
          <w:szCs w:val="24"/>
          <w:highlight w:val="none"/>
          <w:lang w:val="en-US" w:eastAsia="zh-CN" w:bidi="ar"/>
        </w:rPr>
      </w:pPr>
      <w:r>
        <w:rPr>
          <w:rFonts w:hint="default" w:ascii="Times New Roman" w:hAnsi="Times New Roman" w:eastAsia="宋体" w:cs="Times New Roman"/>
          <w:b/>
          <w:bCs/>
          <w:snapToGrid/>
          <w:color w:val="auto"/>
          <w:kern w:val="0"/>
          <w:sz w:val="24"/>
          <w:szCs w:val="24"/>
          <w:highlight w:val="none"/>
          <w:lang w:val="en-US" w:eastAsia="zh-CN" w:bidi="ar"/>
        </w:rPr>
        <w:t>表3.1-</w:t>
      </w:r>
      <w:r>
        <w:rPr>
          <w:rFonts w:hint="eastAsia" w:ascii="Times New Roman" w:hAnsi="Times New Roman" w:eastAsia="宋体" w:cs="Times New Roman"/>
          <w:b/>
          <w:bCs/>
          <w:snapToGrid/>
          <w:color w:val="auto"/>
          <w:kern w:val="0"/>
          <w:sz w:val="24"/>
          <w:szCs w:val="24"/>
          <w:highlight w:val="none"/>
          <w:lang w:val="en-US" w:eastAsia="zh-CN" w:bidi="ar"/>
        </w:rPr>
        <w:t>8</w:t>
      </w:r>
      <w:r>
        <w:rPr>
          <w:rFonts w:hint="eastAsia" w:ascii="Times New Roman" w:hAnsi="Times New Roman" w:eastAsia="宋体" w:cs="Times New Roman"/>
          <w:b/>
          <w:bCs/>
          <w:snapToGrid/>
          <w:kern w:val="0"/>
          <w:sz w:val="24"/>
          <w:szCs w:val="24"/>
          <w:highlight w:val="none"/>
          <w:lang w:val="en-US" w:eastAsia="zh-CN" w:bidi="ar"/>
        </w:rPr>
        <w:t>国富变扩建间隔</w:t>
      </w:r>
      <w:r>
        <w:rPr>
          <w:rFonts w:hint="default" w:ascii="Times New Roman" w:hAnsi="Times New Roman" w:eastAsia="宋体" w:cs="Times New Roman"/>
          <w:b/>
          <w:bCs/>
          <w:snapToGrid/>
          <w:color w:val="auto"/>
          <w:kern w:val="0"/>
          <w:sz w:val="24"/>
          <w:szCs w:val="24"/>
          <w:highlight w:val="none"/>
          <w:lang w:val="en-US" w:eastAsia="zh-CN" w:bidi="ar"/>
        </w:rPr>
        <w:t>总平面布置方案表</w:t>
      </w:r>
    </w:p>
    <w:p>
      <w:pPr>
        <w:spacing w:line="124" w:lineRule="exact"/>
        <w:rPr>
          <w:highlight w:val="none"/>
        </w:rPr>
      </w:pPr>
    </w:p>
    <w:tbl>
      <w:tblPr>
        <w:tblStyle w:val="20"/>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902"/>
        <w:gridCol w:w="2936"/>
        <w:gridCol w:w="922"/>
        <w:gridCol w:w="2458"/>
        <w:gridCol w:w="208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序号</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项目</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单位</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数量</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站址总用地面积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6221</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1.1</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站区围墙内用地面积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5502</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1.2</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其他用地面积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0.0719</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站外3m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站外排水沟长度</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240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0.8×0.8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站区主电缆沟长度</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240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站外挡土墙体积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1285</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站外护坡面积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400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站址土石方工程量：挖方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4710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填方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12240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7.1</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站区平整土方量：挖方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3720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填方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12240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7.2</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进站道路：挖方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990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填方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基槽余土</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2825</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485"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7.3</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站址土方平衡后需：弃土</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3720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填方</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m3</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3420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外购土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8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8</w:t>
            </w:r>
          </w:p>
        </w:tc>
        <w:tc>
          <w:tcPr>
            <w:tcW w:w="157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站内道路面积</w:t>
            </w:r>
          </w:p>
        </w:tc>
        <w:tc>
          <w:tcPr>
            <w:tcW w:w="49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m2</w:t>
            </w:r>
          </w:p>
        </w:tc>
        <w:tc>
          <w:tcPr>
            <w:tcW w:w="13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1520</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本期</w:t>
            </w:r>
          </w:p>
        </w:tc>
      </w:tr>
    </w:tbl>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0000FF"/>
          <w:spacing w:val="0"/>
          <w:w w:val="100"/>
          <w:kern w:val="0"/>
          <w:sz w:val="24"/>
          <w:szCs w:val="24"/>
          <w:highlight w:val="none"/>
          <w:lang w:val="en-US" w:eastAsia="zh-CN"/>
        </w:rPr>
      </w:pPr>
      <w:r>
        <w:rPr>
          <w:rFonts w:hint="eastAsia" w:ascii="Times New Roman" w:hAnsi="Times New Roman" w:eastAsia="宋体" w:cs="Times New Roman"/>
          <w:caps w:val="0"/>
          <w:smallCaps w:val="0"/>
          <w:color w:val="0000FF"/>
          <w:spacing w:val="0"/>
          <w:w w:val="100"/>
          <w:kern w:val="0"/>
          <w:sz w:val="24"/>
          <w:szCs w:val="24"/>
          <w:highlight w:val="none"/>
          <w:lang w:val="en-US" w:eastAsia="zh-CN"/>
        </w:rPr>
        <w:t>（4）</w:t>
      </w:r>
      <w:r>
        <w:rPr>
          <w:rFonts w:hint="default" w:ascii="Times New Roman" w:hAnsi="Times New Roman" w:eastAsia="宋体" w:cs="Times New Roman"/>
          <w:caps w:val="0"/>
          <w:smallCaps w:val="0"/>
          <w:color w:val="0000FF"/>
          <w:spacing w:val="0"/>
          <w:w w:val="100"/>
          <w:kern w:val="0"/>
          <w:sz w:val="24"/>
          <w:szCs w:val="24"/>
          <w:highlight w:val="none"/>
          <w:lang w:val="en-US" w:eastAsia="zh-CN"/>
        </w:rPr>
        <w:t>电气布置方案</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0000FF"/>
          <w:spacing w:val="0"/>
          <w:w w:val="100"/>
          <w:kern w:val="0"/>
          <w:sz w:val="24"/>
          <w:szCs w:val="24"/>
          <w:highlight w:val="none"/>
          <w:lang w:val="en-US" w:eastAsia="zh-CN"/>
        </w:rPr>
      </w:pPr>
      <w:r>
        <w:rPr>
          <w:rFonts w:hint="default" w:ascii="Times New Roman" w:hAnsi="Times New Roman" w:eastAsia="宋体" w:cs="Times New Roman"/>
          <w:caps w:val="0"/>
          <w:smallCaps w:val="0"/>
          <w:color w:val="0000FF"/>
          <w:spacing w:val="0"/>
          <w:w w:val="100"/>
          <w:kern w:val="0"/>
          <w:sz w:val="24"/>
          <w:szCs w:val="24"/>
          <w:highlight w:val="none"/>
          <w:lang w:val="en-US" w:eastAsia="zh-CN"/>
        </w:rPr>
        <w:t>向500kV配电装置北侧扩建第</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6</w:t>
      </w:r>
      <w:r>
        <w:rPr>
          <w:rFonts w:hint="default" w:ascii="Times New Roman" w:hAnsi="Times New Roman" w:eastAsia="宋体" w:cs="Times New Roman"/>
          <w:caps w:val="0"/>
          <w:smallCaps w:val="0"/>
          <w:color w:val="0000FF"/>
          <w:spacing w:val="0"/>
          <w:w w:val="100"/>
          <w:kern w:val="0"/>
          <w:sz w:val="24"/>
          <w:szCs w:val="24"/>
          <w:highlight w:val="none"/>
          <w:lang w:val="en-US" w:eastAsia="zh-CN"/>
        </w:rPr>
        <w:t>串，新增一回出线接入第</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6</w:t>
      </w:r>
      <w:r>
        <w:rPr>
          <w:rFonts w:hint="default" w:ascii="Times New Roman" w:hAnsi="Times New Roman" w:eastAsia="宋体" w:cs="Times New Roman"/>
          <w:caps w:val="0"/>
          <w:smallCaps w:val="0"/>
          <w:color w:val="0000FF"/>
          <w:spacing w:val="0"/>
          <w:w w:val="100"/>
          <w:kern w:val="0"/>
          <w:sz w:val="24"/>
          <w:szCs w:val="24"/>
          <w:highlight w:val="none"/>
          <w:lang w:val="en-US" w:eastAsia="zh-CN"/>
        </w:rPr>
        <w:t>串，向南侧出线，围墙向西外扩36m。第</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6</w:t>
      </w:r>
      <w:r>
        <w:rPr>
          <w:rFonts w:hint="default" w:ascii="Times New Roman" w:hAnsi="Times New Roman" w:eastAsia="宋体" w:cs="Times New Roman"/>
          <w:caps w:val="0"/>
          <w:smallCaps w:val="0"/>
          <w:color w:val="0000FF"/>
          <w:spacing w:val="0"/>
          <w:w w:val="100"/>
          <w:kern w:val="0"/>
          <w:sz w:val="24"/>
          <w:szCs w:val="24"/>
          <w:highlight w:val="none"/>
          <w:lang w:val="en-US" w:eastAsia="zh-CN"/>
        </w:rPr>
        <w:t>串间隔宽度为28.0m、第5串间隔宽度为28.0m、第四串间隔宽度为29.0m（设4.0m消防环路），进、出线构架高28.0m，悬吊管母构架高20.5m。本期新建500kV第</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6</w:t>
      </w:r>
      <w:r>
        <w:rPr>
          <w:rFonts w:hint="default" w:ascii="Times New Roman" w:hAnsi="Times New Roman" w:eastAsia="宋体" w:cs="Times New Roman"/>
          <w:caps w:val="0"/>
          <w:smallCaps w:val="0"/>
          <w:color w:val="0000FF"/>
          <w:spacing w:val="0"/>
          <w:w w:val="100"/>
          <w:kern w:val="0"/>
          <w:sz w:val="24"/>
          <w:szCs w:val="24"/>
          <w:highlight w:val="none"/>
          <w:lang w:val="en-US" w:eastAsia="zh-CN"/>
        </w:rPr>
        <w:t>串，串内500kV电装置母线及上层导线本期上齐，新增500kVII母侧边断路器</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1</w:t>
      </w:r>
      <w:r>
        <w:rPr>
          <w:rFonts w:hint="default" w:ascii="Times New Roman" w:hAnsi="Times New Roman" w:eastAsia="宋体" w:cs="Times New Roman"/>
          <w:caps w:val="0"/>
          <w:smallCaps w:val="0"/>
          <w:color w:val="0000FF"/>
          <w:spacing w:val="0"/>
          <w:w w:val="100"/>
          <w:kern w:val="0"/>
          <w:sz w:val="24"/>
          <w:szCs w:val="24"/>
          <w:highlight w:val="none"/>
          <w:lang w:val="en-US" w:eastAsia="zh-CN"/>
        </w:rPr>
        <w:t>台，串中断路器</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1</w:t>
      </w:r>
      <w:r>
        <w:rPr>
          <w:rFonts w:hint="default" w:ascii="Times New Roman" w:hAnsi="Times New Roman" w:eastAsia="宋体" w:cs="Times New Roman"/>
          <w:caps w:val="0"/>
          <w:smallCaps w:val="0"/>
          <w:color w:val="0000FF"/>
          <w:spacing w:val="0"/>
          <w:w w:val="100"/>
          <w:kern w:val="0"/>
          <w:sz w:val="24"/>
          <w:szCs w:val="24"/>
          <w:highlight w:val="none"/>
          <w:lang w:val="en-US" w:eastAsia="zh-CN"/>
        </w:rPr>
        <w:t>台，三柱水平伸缩式组合隔离开关</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2</w:t>
      </w:r>
      <w:r>
        <w:rPr>
          <w:rFonts w:hint="default" w:ascii="Times New Roman" w:hAnsi="Times New Roman" w:eastAsia="宋体" w:cs="Times New Roman"/>
          <w:caps w:val="0"/>
          <w:smallCaps w:val="0"/>
          <w:color w:val="0000FF"/>
          <w:spacing w:val="0"/>
          <w:w w:val="100"/>
          <w:kern w:val="0"/>
          <w:sz w:val="24"/>
          <w:szCs w:val="24"/>
          <w:highlight w:val="none"/>
          <w:lang w:val="en-US" w:eastAsia="zh-CN"/>
        </w:rPr>
        <w:t>组；新增动力箱</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1</w:t>
      </w:r>
      <w:r>
        <w:rPr>
          <w:rFonts w:hint="default" w:ascii="Times New Roman" w:hAnsi="Times New Roman" w:eastAsia="宋体" w:cs="Times New Roman"/>
          <w:caps w:val="0"/>
          <w:smallCaps w:val="0"/>
          <w:color w:val="0000FF"/>
          <w:spacing w:val="0"/>
          <w:w w:val="100"/>
          <w:kern w:val="0"/>
          <w:sz w:val="24"/>
          <w:szCs w:val="24"/>
          <w:highlight w:val="none"/>
          <w:lang w:val="en-US" w:eastAsia="zh-CN"/>
        </w:rPr>
        <w:t>只，出线氧化锌避雷器</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3</w:t>
      </w:r>
      <w:r>
        <w:rPr>
          <w:rFonts w:hint="default" w:ascii="Times New Roman" w:hAnsi="Times New Roman" w:eastAsia="宋体" w:cs="Times New Roman"/>
          <w:caps w:val="0"/>
          <w:smallCaps w:val="0"/>
          <w:color w:val="0000FF"/>
          <w:spacing w:val="0"/>
          <w:w w:val="100"/>
          <w:kern w:val="0"/>
          <w:sz w:val="24"/>
          <w:szCs w:val="24"/>
          <w:highlight w:val="none"/>
          <w:lang w:val="en-US" w:eastAsia="zh-CN"/>
        </w:rPr>
        <w:t>只，电压互感器</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3</w:t>
      </w:r>
      <w:r>
        <w:rPr>
          <w:rFonts w:hint="default" w:ascii="Times New Roman" w:hAnsi="Times New Roman" w:eastAsia="宋体" w:cs="Times New Roman"/>
          <w:caps w:val="0"/>
          <w:smallCaps w:val="0"/>
          <w:color w:val="0000FF"/>
          <w:spacing w:val="0"/>
          <w:w w:val="100"/>
          <w:kern w:val="0"/>
          <w:sz w:val="24"/>
          <w:szCs w:val="24"/>
          <w:highlight w:val="none"/>
          <w:lang w:val="en-US" w:eastAsia="zh-CN"/>
        </w:rPr>
        <w:t>只。本期扩建配电装置布置型式同前期，新增电气设备布置原则上与前期按设备轴线对齐考虑。</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b/>
          <w:bCs/>
          <w:caps w:val="0"/>
          <w:smallCaps w:val="0"/>
          <w:color w:val="0000FF"/>
          <w:spacing w:val="0"/>
          <w:w w:val="100"/>
          <w:kern w:val="0"/>
          <w:sz w:val="24"/>
          <w:szCs w:val="24"/>
          <w:highlight w:val="none"/>
          <w:lang w:val="en-US" w:eastAsia="zh-CN"/>
        </w:rPr>
      </w:pPr>
      <w:r>
        <w:rPr>
          <w:rFonts w:hint="eastAsia" w:ascii="Times New Roman" w:hAnsi="Times New Roman" w:eastAsia="宋体" w:cs="Times New Roman"/>
          <w:caps w:val="0"/>
          <w:smallCaps w:val="0"/>
          <w:color w:val="0000FF"/>
          <w:spacing w:val="0"/>
          <w:w w:val="100"/>
          <w:kern w:val="0"/>
          <w:sz w:val="24"/>
          <w:szCs w:val="24"/>
          <w:highlight w:val="none"/>
          <w:lang w:val="en-US" w:eastAsia="zh-CN"/>
        </w:rPr>
        <w:t>（5）</w:t>
      </w:r>
      <w:r>
        <w:rPr>
          <w:rFonts w:hint="default" w:ascii="Times New Roman" w:hAnsi="Times New Roman" w:eastAsia="宋体" w:cs="Times New Roman"/>
          <w:caps w:val="0"/>
          <w:smallCaps w:val="0"/>
          <w:color w:val="0000FF"/>
          <w:spacing w:val="0"/>
          <w:w w:val="100"/>
          <w:kern w:val="0"/>
          <w:sz w:val="24"/>
          <w:szCs w:val="24"/>
          <w:highlight w:val="none"/>
          <w:lang w:val="en-US" w:eastAsia="zh-CN"/>
        </w:rPr>
        <w:t>主要设备选择</w:t>
      </w:r>
    </w:p>
    <w:p>
      <w:pPr>
        <w:pageBreakBefore w:val="0"/>
        <w:widowControl w:val="0"/>
        <w:numPr>
          <w:ilvl w:val="0"/>
          <w:numId w:val="0"/>
        </w:numPr>
        <w:bidi w:val="0"/>
        <w:adjustRightInd w:val="0"/>
        <w:snapToGrid w:val="0"/>
        <w:spacing w:line="360" w:lineRule="auto"/>
        <w:jc w:val="center"/>
        <w:rPr>
          <w:rFonts w:hint="default" w:ascii="Times New Roman" w:hAnsi="Times New Roman" w:eastAsia="宋体" w:cs="Times New Roman"/>
          <w:b/>
          <w:bCs/>
          <w:caps w:val="0"/>
          <w:smallCaps w:val="0"/>
          <w:color w:val="0000FF"/>
          <w:spacing w:val="0"/>
          <w:w w:val="100"/>
          <w:kern w:val="0"/>
          <w:sz w:val="24"/>
          <w:szCs w:val="24"/>
          <w:highlight w:val="none"/>
          <w:lang w:val="en-US" w:eastAsia="zh-CN"/>
        </w:rPr>
      </w:pPr>
      <w:r>
        <w:rPr>
          <w:rFonts w:hint="eastAsia" w:ascii="Times New Roman" w:hAnsi="Times New Roman" w:eastAsia="宋体" w:cs="Times New Roman"/>
          <w:b/>
          <w:bCs/>
          <w:caps w:val="0"/>
          <w:smallCaps w:val="0"/>
          <w:color w:val="0000FF"/>
          <w:spacing w:val="0"/>
          <w:w w:val="100"/>
          <w:kern w:val="0"/>
          <w:sz w:val="24"/>
          <w:szCs w:val="24"/>
          <w:highlight w:val="none"/>
          <w:lang w:val="en-US" w:eastAsia="zh-CN"/>
        </w:rPr>
        <w:t>表3.1-9 国富变扩建设备一览表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1"/>
        <w:gridCol w:w="1464"/>
        <w:gridCol w:w="3445"/>
        <w:gridCol w:w="1342"/>
        <w:gridCol w:w="13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序号</w:t>
            </w:r>
          </w:p>
        </w:tc>
        <w:tc>
          <w:tcPr>
            <w:tcW w:w="14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设备名称</w:t>
            </w:r>
          </w:p>
        </w:tc>
        <w:tc>
          <w:tcPr>
            <w:tcW w:w="34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型式及主要参数</w:t>
            </w:r>
          </w:p>
        </w:tc>
        <w:tc>
          <w:tcPr>
            <w:tcW w:w="13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数量</w:t>
            </w:r>
          </w:p>
        </w:tc>
        <w:tc>
          <w:tcPr>
            <w:tcW w:w="13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2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w:t>
            </w:r>
          </w:p>
        </w:tc>
        <w:tc>
          <w:tcPr>
            <w:tcW w:w="146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SF6 罐式断路器</w:t>
            </w:r>
          </w:p>
        </w:tc>
        <w:tc>
          <w:tcPr>
            <w:tcW w:w="34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550kV， 4000A</w:t>
            </w:r>
            <w:r>
              <w:rPr>
                <w:rFonts w:hint="eastAsia" w:ascii="Times New Roman" w:hAnsi="Times New Roman" w:cs="Times New Roman" w:eastAsiaTheme="minorEastAsia"/>
                <w:snapToGrid/>
                <w:color w:val="auto"/>
                <w:kern w:val="2"/>
                <w:sz w:val="21"/>
                <w:szCs w:val="21"/>
                <w:highlight w:val="none"/>
                <w:vertAlign w:val="baseline"/>
                <w:lang w:val="en-US" w:eastAsia="zh-CN" w:bidi="ar-SA"/>
              </w:rPr>
              <w:t xml:space="preserve"> </w:t>
            </w:r>
            <w:r>
              <w:rPr>
                <w:rFonts w:hint="default" w:ascii="Times New Roman" w:hAnsi="Times New Roman" w:cs="Times New Roman" w:eastAsiaTheme="minorEastAsia"/>
                <w:snapToGrid/>
                <w:color w:val="auto"/>
                <w:kern w:val="2"/>
                <w:sz w:val="21"/>
                <w:szCs w:val="21"/>
                <w:highlight w:val="none"/>
                <w:vertAlign w:val="baseline"/>
                <w:lang w:val="en-US" w:eastAsia="zh-CN" w:bidi="ar-SA"/>
              </w:rPr>
              <w:t>Ik=63kA</w:t>
            </w:r>
            <w:r>
              <w:rPr>
                <w:rFonts w:hint="eastAsia" w:ascii="Times New Roman" w:hAnsi="Times New Roman" w:cs="Times New Roman" w:eastAsiaTheme="minorEastAsia"/>
                <w:snapToGrid/>
                <w:color w:val="auto"/>
                <w:kern w:val="2"/>
                <w:sz w:val="21"/>
                <w:szCs w:val="21"/>
                <w:highlight w:val="none"/>
                <w:vertAlign w:val="baseline"/>
                <w:lang w:val="en-US" w:eastAsia="zh-CN" w:bidi="ar-SA"/>
              </w:rPr>
              <w:t xml:space="preserve"> </w:t>
            </w:r>
            <w:r>
              <w:rPr>
                <w:rFonts w:hint="default" w:ascii="Times New Roman" w:hAnsi="Times New Roman" w:cs="Times New Roman" w:eastAsiaTheme="minorEastAsia"/>
                <w:snapToGrid/>
                <w:color w:val="auto"/>
                <w:kern w:val="2"/>
                <w:sz w:val="21"/>
                <w:szCs w:val="21"/>
                <w:highlight w:val="none"/>
                <w:vertAlign w:val="baseline"/>
                <w:lang w:val="en-US" w:eastAsia="zh-CN" w:bidi="ar-SA"/>
              </w:rPr>
              <w:t>Iy=160kA</w:t>
            </w:r>
          </w:p>
        </w:tc>
        <w:tc>
          <w:tcPr>
            <w:tcW w:w="134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2台</w:t>
            </w:r>
          </w:p>
        </w:tc>
        <w:tc>
          <w:tcPr>
            <w:tcW w:w="134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无合闸电阻，附套管式电流互感器，附液压弹簧机构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2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46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34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2000－4000/1A，TPY/TPY/5P30/0.2s0.2s/5P30/TPY/TPY</w:t>
            </w:r>
          </w:p>
        </w:tc>
        <w:tc>
          <w:tcPr>
            <w:tcW w:w="134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34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w:t>
            </w:r>
          </w:p>
        </w:tc>
        <w:tc>
          <w:tcPr>
            <w:tcW w:w="14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三柱水平伸缩式组合隔离开关（三接地）</w:t>
            </w:r>
          </w:p>
        </w:tc>
        <w:tc>
          <w:tcPr>
            <w:tcW w:w="34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550kV， 4000A， Ik=63kA，iy=160kA，静侧配 A 类接地刀</w:t>
            </w:r>
          </w:p>
        </w:tc>
        <w:tc>
          <w:tcPr>
            <w:tcW w:w="13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2组</w:t>
            </w:r>
          </w:p>
        </w:tc>
        <w:tc>
          <w:tcPr>
            <w:tcW w:w="13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附电动操作机构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w:t>
            </w:r>
          </w:p>
        </w:tc>
        <w:tc>
          <w:tcPr>
            <w:tcW w:w="14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电容式电压互感器</w:t>
            </w:r>
          </w:p>
        </w:tc>
        <w:tc>
          <w:tcPr>
            <w:tcW w:w="34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(500/√3)/(0.1/√3)/(0.1/√3)/(0.1/√3)/0.1kV， 0.2/0.5（3P） /0.5（3P） /3P 5000pF</w:t>
            </w:r>
          </w:p>
        </w:tc>
        <w:tc>
          <w:tcPr>
            <w:tcW w:w="13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3只</w:t>
            </w:r>
          </w:p>
        </w:tc>
        <w:tc>
          <w:tcPr>
            <w:tcW w:w="13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p>
        </w:tc>
        <w:tc>
          <w:tcPr>
            <w:tcW w:w="14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氧化锌避雷器</w:t>
            </w:r>
          </w:p>
        </w:tc>
        <w:tc>
          <w:tcPr>
            <w:tcW w:w="34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Y20W1-444/1106W ， 20kA，444/1106kV</w:t>
            </w:r>
          </w:p>
        </w:tc>
        <w:tc>
          <w:tcPr>
            <w:tcW w:w="13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3只</w:t>
            </w:r>
          </w:p>
        </w:tc>
        <w:tc>
          <w:tcPr>
            <w:tcW w:w="13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附动作泄漏电流监测器</w:t>
            </w:r>
          </w:p>
        </w:tc>
      </w:tr>
    </w:tbl>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0000FF"/>
          <w:spacing w:val="0"/>
          <w:w w:val="100"/>
          <w:kern w:val="0"/>
          <w:sz w:val="24"/>
          <w:szCs w:val="24"/>
          <w:highlight w:val="none"/>
          <w:lang w:val="en-US" w:eastAsia="zh-CN"/>
        </w:rPr>
      </w:pPr>
      <w:r>
        <w:rPr>
          <w:rFonts w:hint="eastAsia" w:ascii="Times New Roman" w:hAnsi="Times New Roman" w:eastAsia="宋体" w:cs="Times New Roman"/>
          <w:caps w:val="0"/>
          <w:smallCaps w:val="0"/>
          <w:color w:val="0000FF"/>
          <w:spacing w:val="0"/>
          <w:w w:val="100"/>
          <w:kern w:val="0"/>
          <w:sz w:val="24"/>
          <w:szCs w:val="24"/>
          <w:highlight w:val="none"/>
          <w:lang w:val="en-US" w:eastAsia="zh-CN"/>
        </w:rPr>
        <w:t>本次500kv国富变扩建项目选用</w:t>
      </w:r>
      <w:r>
        <w:rPr>
          <w:rFonts w:hint="default" w:ascii="Times New Roman" w:hAnsi="Times New Roman" w:eastAsia="宋体" w:cs="Times New Roman"/>
          <w:caps w:val="0"/>
          <w:smallCaps w:val="0"/>
          <w:color w:val="0000FF"/>
          <w:spacing w:val="0"/>
          <w:w w:val="100"/>
          <w:kern w:val="0"/>
          <w:sz w:val="24"/>
          <w:szCs w:val="24"/>
          <w:highlight w:val="none"/>
          <w:lang w:val="en-US" w:eastAsia="zh-CN"/>
        </w:rPr>
        <w:t>380V/220V动力电缆同前期采用阻燃聚乙烯绝缘钢带铠装聚氯乙烯护套电力电缆（ZC-YJV22型）。</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0000FF"/>
          <w:spacing w:val="0"/>
          <w:w w:val="100"/>
          <w:kern w:val="0"/>
          <w:sz w:val="24"/>
          <w:szCs w:val="24"/>
          <w:highlight w:val="none"/>
          <w:lang w:val="en-US" w:eastAsia="zh-CN"/>
        </w:rPr>
      </w:pPr>
      <w:r>
        <w:rPr>
          <w:rFonts w:hint="eastAsia" w:ascii="Times New Roman" w:hAnsi="Times New Roman" w:eastAsia="宋体" w:cs="Times New Roman"/>
          <w:caps w:val="0"/>
          <w:smallCaps w:val="0"/>
          <w:color w:val="0000FF"/>
          <w:spacing w:val="0"/>
          <w:w w:val="100"/>
          <w:kern w:val="0"/>
          <w:sz w:val="24"/>
          <w:szCs w:val="24"/>
          <w:highlight w:val="none"/>
          <w:lang w:val="en-US" w:eastAsia="zh-CN"/>
        </w:rPr>
        <w:t>本次扩建</w:t>
      </w:r>
      <w:r>
        <w:rPr>
          <w:rFonts w:hint="default" w:ascii="Times New Roman" w:hAnsi="Times New Roman" w:eastAsia="宋体" w:cs="Times New Roman"/>
          <w:caps w:val="0"/>
          <w:smallCaps w:val="0"/>
          <w:color w:val="0000FF"/>
          <w:spacing w:val="0"/>
          <w:w w:val="100"/>
          <w:kern w:val="0"/>
          <w:sz w:val="24"/>
          <w:szCs w:val="24"/>
          <w:highlight w:val="none"/>
          <w:lang w:val="en-US" w:eastAsia="zh-CN"/>
        </w:rPr>
        <w:t>500kV第6串内电缆沟1m×1m接入前期电缆沟，扩建串中0.6m×0.6m电缆沟用于断路器电缆敷设。电缆沟内支架采用∟63×6与∟40×4镀锌角钢制作，与</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国富变已建工程前期一致。</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3.1.</w:t>
      </w:r>
      <w:r>
        <w:rPr>
          <w:rFonts w:hint="eastAsia" w:ascii="Times New Roman" w:hAnsi="Times New Roman" w:eastAsia="宋体" w:cs="Times New Roman"/>
          <w:caps w:val="0"/>
          <w:smallCaps w:val="0"/>
          <w:color w:val="auto"/>
          <w:spacing w:val="0"/>
          <w:w w:val="100"/>
          <w:kern w:val="0"/>
          <w:sz w:val="24"/>
          <w:szCs w:val="24"/>
          <w:highlight w:val="none"/>
          <w:lang w:val="en-US" w:eastAsia="zh-CN"/>
        </w:rPr>
        <w:t>4 5km-</w:t>
      </w:r>
      <w:r>
        <w:rPr>
          <w:rFonts w:hint="default" w:ascii="Times New Roman" w:hAnsi="Times New Roman" w:eastAsia="宋体" w:cs="Times New Roman"/>
          <w:caps w:val="0"/>
          <w:smallCaps w:val="0"/>
          <w:color w:val="auto"/>
          <w:spacing w:val="0"/>
          <w:w w:val="100"/>
          <w:kern w:val="0"/>
          <w:sz w:val="24"/>
          <w:szCs w:val="24"/>
          <w:highlight w:val="none"/>
          <w:lang w:val="en-US" w:eastAsia="zh-CN"/>
        </w:rPr>
        <w:t>500kV交流输电线路工程</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线路概况</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线路走径：新建5km输电线均位于大同市境内，线路从大庆南部500kV汇集站500千伏J1（终端塔）出发，向东南偏南方向跨越林带后至J2，于树带南侧油田机井密集区西侧设立J3，利用J3和J4线路向东偏南方向穿越油田机井密集区，该密集区除大量油井外尚有油田汇集枢纽站、10kV油田电力线各1次，随后J4左转向东北偏东方向接至终端塔J5，最终向北接入国富变本次扩建间隔</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路径选择和优化原则</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本工程按下述原则拟定路径方案：</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①尽可能减少路径长度并靠近现有公路，方便施工运行；</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②避开规划区、自然保护区；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③尽量缩短重污秽区段，提高线路可靠性、降低建设投资；</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④充分考虑沿线地质、水文条件及地形对线路可靠性及经济性的影响，避开不良地质带；</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⑤尽量避免从矿区、采空区通过，减少压矿，为线路安全运行创造条件；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⑥在路径选择中，充分体现以人为本、保护环境的意识，尽量避免大面积拆迁民房；</w:t>
      </w:r>
    </w:p>
    <w:p>
      <w:pPr>
        <w:pageBreakBefore w:val="0"/>
        <w:widowControl w:val="0"/>
        <w:numPr>
          <w:ilvl w:val="0"/>
          <w:numId w:val="0"/>
        </w:numPr>
        <w:bidi w:val="0"/>
        <w:adjustRightInd w:val="0"/>
        <w:snapToGrid w:val="0"/>
        <w:spacing w:line="360" w:lineRule="auto"/>
        <w:ind w:left="479" w:leftChars="228" w:firstLine="0" w:firstLineChars="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⑦综合协调本线路与沿线已建、在建、拟建线路、公路、铁路及其它设施之间矛盾：</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⑧充分征求沿线政府的意见，符合城市规划和电力系统规划总体要求；</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⑨尽量避让微气象区。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路径方案</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①路径方案影响因素</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本工程路径选择的主要影响因素有国道、省道、村屯。</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汇集站-国富500kV变电输电线路径方案最终确定为：线路从大庆南部500kV汇集站500千伏J1（终端塔）出发，向东南偏南方向跨越林带后至J2，于树带南侧油田机井密集区西侧设立J3，利用J3和J4线路向东偏南方向穿越油田机井密集区，该密集区除大量油井外尚有油田汇集枢纽站、10kV油田电力线各1次，随后J4左转向东北偏东方向接至终端塔J5，最终向北接入国富变本次扩建间隔</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导线采用JL/G1A-400/35钢芯铝绞线，地线采用JLB40-150铝包钢绞线。</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②路经比选方案</w:t>
      </w:r>
    </w:p>
    <w:p>
      <w:pPr>
        <w:keepNext w:val="0"/>
        <w:keepLines w:val="0"/>
        <w:widowControl/>
        <w:suppressLineNumbers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24"/>
          <w:szCs w:val="24"/>
          <w:highlight w:val="none"/>
          <w:lang w:val="en-US" w:eastAsia="zh-CN" w:bidi="ar"/>
        </w:rPr>
      </w:pPr>
      <w:r>
        <w:rPr>
          <w:rFonts w:hint="default" w:ascii="Times New Roman" w:hAnsi="Times New Roman" w:eastAsia="宋体" w:cs="Times New Roman"/>
          <w:b/>
          <w:bCs/>
          <w:snapToGrid/>
          <w:color w:val="auto"/>
          <w:kern w:val="0"/>
          <w:sz w:val="24"/>
          <w:szCs w:val="24"/>
          <w:highlight w:val="none"/>
          <w:lang w:val="en-US" w:eastAsia="zh-CN" w:bidi="ar"/>
        </w:rPr>
        <w:t>表 3.1-</w:t>
      </w:r>
      <w:r>
        <w:rPr>
          <w:rFonts w:hint="eastAsia" w:ascii="Times New Roman" w:hAnsi="Times New Roman" w:eastAsia="宋体" w:cs="Times New Roman"/>
          <w:b/>
          <w:bCs/>
          <w:snapToGrid/>
          <w:color w:val="auto"/>
          <w:kern w:val="0"/>
          <w:sz w:val="24"/>
          <w:szCs w:val="24"/>
          <w:highlight w:val="none"/>
          <w:lang w:val="en-US" w:eastAsia="zh-CN" w:bidi="ar"/>
        </w:rPr>
        <w:t>10</w:t>
      </w:r>
      <w:r>
        <w:rPr>
          <w:rFonts w:hint="default" w:ascii="Times New Roman" w:hAnsi="Times New Roman" w:eastAsia="宋体" w:cs="Times New Roman"/>
          <w:b/>
          <w:bCs/>
          <w:snapToGrid/>
          <w:color w:val="auto"/>
          <w:kern w:val="0"/>
          <w:sz w:val="24"/>
          <w:szCs w:val="24"/>
          <w:highlight w:val="none"/>
          <w:lang w:val="en-US" w:eastAsia="zh-CN" w:bidi="ar"/>
        </w:rPr>
        <w:t>比选方案比较表</w:t>
      </w:r>
    </w:p>
    <w:tbl>
      <w:tblPr>
        <w:tblStyle w:val="20"/>
        <w:tblW w:w="5006"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975"/>
        <w:gridCol w:w="4559"/>
        <w:gridCol w:w="378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62" w:hRule="atLeast"/>
        </w:trPr>
        <w:tc>
          <w:tcPr>
            <w:tcW w:w="5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方案</w:t>
            </w:r>
          </w:p>
        </w:tc>
        <w:tc>
          <w:tcPr>
            <w:tcW w:w="2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方案一(比选方案)</w:t>
            </w:r>
          </w:p>
        </w:tc>
        <w:tc>
          <w:tcPr>
            <w:tcW w:w="203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方案二(推荐方案)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105" w:hRule="atLeast"/>
        </w:trPr>
        <w:tc>
          <w:tcPr>
            <w:tcW w:w="5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线路走线</w:t>
            </w:r>
          </w:p>
        </w:tc>
        <w:tc>
          <w:tcPr>
            <w:tcW w:w="2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线路位于大庆市大同区境内，线路起点为500kV大庆南部汇集站，线路终点为500kV 国富变。北方案线路全长8km，单回路建设。线路从500kV大庆南部汇集站500千伏J1（终端塔） 出发， 向东南偏南方向跨越林带后至 J2，随后向东北方向跨越地埋管线至前往家屯东南侧避让油田机井设备至 J3，为避让南北贯通的 140县道道旁已有建筑物，线路继续向东北跨越行道树带至140县道西侧J4，右转向东跨越 10kV电力线、140 县道及行道树带、地埋管线进发约 2.2 公里至 J5，避让南侧油田机井后线路向东南接至终端塔 J6，最终向南接入国富变西侧北向扩建间隔。</w:t>
            </w:r>
          </w:p>
        </w:tc>
        <w:tc>
          <w:tcPr>
            <w:tcW w:w="203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南方案线路全长 5km，单回路建设。 线路从 500kV 大庆南部汇集站 500 千伏 J1（终端塔） 出发， 向东南偏南方向跨越林带后至 J2，于树带南侧油田机井密集区西侧设立 J3，利用 J3 和 J4 线路向东偏南方向穿越油田机井密集区，该密集区除大量油井外尚有油田汇集枢纽站、10kV 油田电力线各 1 次，随后 J4 左转向东北偏东方向接至终端塔J5，最终向北接入国富变南侧已有间隔。</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9" w:hRule="atLeast"/>
        </w:trPr>
        <w:tc>
          <w:tcPr>
            <w:tcW w:w="5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矿区内线路长度(km)</w:t>
            </w:r>
          </w:p>
        </w:tc>
        <w:tc>
          <w:tcPr>
            <w:tcW w:w="2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8</w:t>
            </w:r>
          </w:p>
        </w:tc>
        <w:tc>
          <w:tcPr>
            <w:tcW w:w="203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5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占地类型</w:t>
            </w:r>
          </w:p>
        </w:tc>
        <w:tc>
          <w:tcPr>
            <w:tcW w:w="2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耕地、草地</w:t>
            </w:r>
          </w:p>
        </w:tc>
        <w:tc>
          <w:tcPr>
            <w:tcW w:w="203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耕地、草地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5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破坏植被</w:t>
            </w:r>
          </w:p>
        </w:tc>
        <w:tc>
          <w:tcPr>
            <w:tcW w:w="2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杆塔布置多，破坏植 被面积大</w:t>
            </w:r>
          </w:p>
        </w:tc>
        <w:tc>
          <w:tcPr>
            <w:tcW w:w="203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杆塔布置多，破坏植被面积大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13" w:hRule="atLeast"/>
        </w:trPr>
        <w:tc>
          <w:tcPr>
            <w:tcW w:w="5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曲折系数</w:t>
            </w:r>
          </w:p>
        </w:tc>
        <w:tc>
          <w:tcPr>
            <w:tcW w:w="2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1.4</w:t>
            </w:r>
          </w:p>
        </w:tc>
        <w:tc>
          <w:tcPr>
            <w:tcW w:w="203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1.45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5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走线形式</w:t>
            </w:r>
          </w:p>
        </w:tc>
        <w:tc>
          <w:tcPr>
            <w:tcW w:w="244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新开辟走线走廊</w:t>
            </w:r>
          </w:p>
        </w:tc>
        <w:tc>
          <w:tcPr>
            <w:tcW w:w="203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新开辟走线走廊</w:t>
            </w:r>
          </w:p>
        </w:tc>
      </w:tr>
    </w:tbl>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0000FF"/>
          <w:spacing w:val="0"/>
          <w:w w:val="100"/>
          <w:kern w:val="0"/>
          <w:sz w:val="24"/>
          <w:szCs w:val="24"/>
          <w:highlight w:val="none"/>
          <w:lang w:val="en-US" w:eastAsia="zh-CN"/>
        </w:rPr>
      </w:pPr>
      <w:r>
        <w:rPr>
          <w:rFonts w:hint="eastAsia" w:ascii="Times New Roman" w:hAnsi="Times New Roman" w:eastAsia="宋体" w:cs="Times New Roman"/>
          <w:caps w:val="0"/>
          <w:smallCaps w:val="0"/>
          <w:color w:val="0000FF"/>
          <w:spacing w:val="0"/>
          <w:w w:val="100"/>
          <w:kern w:val="0"/>
          <w:sz w:val="24"/>
          <w:szCs w:val="24"/>
          <w:highlight w:val="none"/>
          <w:lang w:val="en-US" w:eastAsia="zh-CN"/>
        </w:rPr>
        <w:t>两条线路均占用耕地，</w:t>
      </w:r>
      <w:r>
        <w:rPr>
          <w:rFonts w:hint="default" w:ascii="Times New Roman" w:hAnsi="Times New Roman" w:eastAsia="宋体" w:cs="Times New Roman"/>
          <w:caps w:val="0"/>
          <w:smallCaps w:val="0"/>
          <w:color w:val="0000FF"/>
          <w:spacing w:val="0"/>
          <w:w w:val="100"/>
          <w:kern w:val="0"/>
          <w:sz w:val="24"/>
          <w:szCs w:val="24"/>
          <w:highlight w:val="none"/>
          <w:lang w:val="en-US" w:eastAsia="zh-CN"/>
        </w:rPr>
        <w:t>方案一线路长度</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大于</w:t>
      </w:r>
      <w:r>
        <w:rPr>
          <w:rFonts w:hint="default" w:ascii="Times New Roman" w:hAnsi="Times New Roman" w:eastAsia="宋体" w:cs="Times New Roman"/>
          <w:caps w:val="0"/>
          <w:smallCaps w:val="0"/>
          <w:color w:val="0000FF"/>
          <w:spacing w:val="0"/>
          <w:w w:val="100"/>
          <w:kern w:val="0"/>
          <w:sz w:val="24"/>
          <w:szCs w:val="24"/>
          <w:highlight w:val="none"/>
          <w:lang w:val="en-US" w:eastAsia="zh-CN"/>
        </w:rPr>
        <w:t>方案二</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，设置塔基数量大于</w:t>
      </w:r>
      <w:r>
        <w:rPr>
          <w:rFonts w:hint="default" w:ascii="Times New Roman" w:hAnsi="Times New Roman" w:eastAsia="宋体" w:cs="Times New Roman"/>
          <w:caps w:val="0"/>
          <w:smallCaps w:val="0"/>
          <w:color w:val="0000FF"/>
          <w:spacing w:val="0"/>
          <w:w w:val="100"/>
          <w:kern w:val="0"/>
          <w:sz w:val="24"/>
          <w:szCs w:val="24"/>
          <w:highlight w:val="none"/>
          <w:lang w:val="en-US" w:eastAsia="zh-CN"/>
        </w:rPr>
        <w:t>方案二</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，占用农田面积较</w:t>
      </w:r>
      <w:r>
        <w:rPr>
          <w:rFonts w:hint="default" w:ascii="Times New Roman" w:hAnsi="Times New Roman" w:eastAsia="宋体" w:cs="Times New Roman"/>
          <w:caps w:val="0"/>
          <w:smallCaps w:val="0"/>
          <w:color w:val="0000FF"/>
          <w:spacing w:val="0"/>
          <w:w w:val="100"/>
          <w:kern w:val="0"/>
          <w:sz w:val="24"/>
          <w:szCs w:val="24"/>
          <w:highlight w:val="none"/>
          <w:lang w:val="en-US" w:eastAsia="zh-CN"/>
        </w:rPr>
        <w:t>方案二</w:t>
      </w:r>
      <w:r>
        <w:rPr>
          <w:rFonts w:hint="eastAsia" w:ascii="Times New Roman" w:hAnsi="Times New Roman" w:eastAsia="宋体" w:cs="Times New Roman"/>
          <w:caps w:val="0"/>
          <w:smallCaps w:val="0"/>
          <w:color w:val="0000FF"/>
          <w:spacing w:val="0"/>
          <w:w w:val="100"/>
          <w:kern w:val="0"/>
          <w:sz w:val="24"/>
          <w:szCs w:val="24"/>
          <w:highlight w:val="none"/>
          <w:lang w:val="en-US" w:eastAsia="zh-CN"/>
        </w:rPr>
        <w:t>大，为减少对耕地的占用，减低工程投资，本次选择方案为最终路线铺设方案。</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3.1.</w:t>
      </w:r>
      <w:r>
        <w:rPr>
          <w:rFonts w:hint="eastAsia" w:ascii="Times New Roman" w:hAnsi="Times New Roman" w:eastAsia="宋体" w:cs="Times New Roman"/>
          <w:caps w:val="0"/>
          <w:smallCaps w:val="0"/>
          <w:color w:val="auto"/>
          <w:spacing w:val="0"/>
          <w:w w:val="100"/>
          <w:kern w:val="0"/>
          <w:sz w:val="24"/>
          <w:szCs w:val="24"/>
          <w:highlight w:val="none"/>
          <w:lang w:val="en-US" w:eastAsia="zh-CN"/>
        </w:rPr>
        <w:t>5 26km-22</w:t>
      </w:r>
      <w:r>
        <w:rPr>
          <w:rFonts w:hint="default" w:ascii="Times New Roman" w:hAnsi="Times New Roman" w:eastAsia="宋体" w:cs="Times New Roman"/>
          <w:caps w:val="0"/>
          <w:smallCaps w:val="0"/>
          <w:color w:val="auto"/>
          <w:spacing w:val="0"/>
          <w:w w:val="100"/>
          <w:kern w:val="0"/>
          <w:sz w:val="24"/>
          <w:szCs w:val="24"/>
          <w:highlight w:val="none"/>
          <w:lang w:val="en-US" w:eastAsia="zh-CN"/>
        </w:rPr>
        <w:t>0kV交流输电线路工程</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线路概况</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线路走径：线路从</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永跃220kv升压站</w:t>
      </w:r>
      <w:r>
        <w:rPr>
          <w:rFonts w:hint="default" w:ascii="Times New Roman" w:hAnsi="Times New Roman" w:eastAsia="宋体" w:cs="Times New Roman"/>
          <w:caps w:val="0"/>
          <w:smallCaps w:val="0"/>
          <w:color w:val="auto"/>
          <w:spacing w:val="0"/>
          <w:w w:val="100"/>
          <w:kern w:val="0"/>
          <w:sz w:val="24"/>
          <w:szCs w:val="24"/>
          <w:highlight w:val="none"/>
          <w:lang w:val="en-US" w:eastAsia="zh-CN"/>
        </w:rPr>
        <w:t>220千伏构架起经终端塔J1左转，跨越220千伏升压站-国富变线路，110千伏同宋甲、乙线至J2，左转沿同宋甲、乙线西侧经东太平村东侧至J3，右转至崇文烟花爆竹有限公司厂房北侧J4，左转跨越110千伏同宋甲、乙线，220千伏升压站-国富变线路至J5，左转经J6、J7连续右转绕过鱼池，跨越同宋甲、乙线至J8，左转躲过油田密集区至民发村东侧J9，右转向西南经J10右转至太安村东侧J11，左转跨越220千伏升压站-国富变线路至J12，左转向东北方向经电缆敷设钻越500千伏国华线、220kV富榆线至J13，右转向西南方向至大同镇东侧J14，左转向南至国富村东侧J15，右转至国富侧南侧J16，继续右转向西经J17、J18、终端J19进入汇集站220千伏侧构架。线路全长26公里，地形为平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本次设计220kv输电线路沿永跃220kv升压站-500kv汇集站连线东侧前行，连线西侧村屯、厂房较多没法前行，故本次只规划一条线路方案，无对比方案。占地类型为草地及耕地。</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3.1.</w:t>
      </w: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导线和地线</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（1）导线</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1）导线选型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w:t>
      </w:r>
      <w:r>
        <w:rPr>
          <w:rFonts w:hint="eastAsia" w:ascii="Times New Roman" w:hAnsi="Times New Roman" w:eastAsia="宋体" w:cs="Times New Roman"/>
          <w:caps w:val="0"/>
          <w:smallCaps w:val="0"/>
          <w:color w:val="auto"/>
          <w:spacing w:val="0"/>
          <w:w w:val="100"/>
          <w:kern w:val="0"/>
          <w:sz w:val="24"/>
          <w:szCs w:val="24"/>
          <w:highlight w:val="none"/>
          <w:lang w:val="en-US" w:eastAsia="zh-CN"/>
        </w:rPr>
        <w:t>次500kv及220kv输电线均选用JL/G1A-400/35钢芯铝绞线，</w:t>
      </w:r>
      <w:r>
        <w:rPr>
          <w:rFonts w:hint="default" w:ascii="Times New Roman" w:hAnsi="Times New Roman" w:eastAsia="宋体" w:cs="Times New Roman"/>
          <w:caps w:val="0"/>
          <w:smallCaps w:val="0"/>
          <w:color w:val="auto"/>
          <w:spacing w:val="0"/>
          <w:w w:val="100"/>
          <w:kern w:val="0"/>
          <w:sz w:val="24"/>
          <w:szCs w:val="24"/>
          <w:highlight w:val="none"/>
          <w:lang w:val="en-US" w:eastAsia="zh-CN"/>
        </w:rPr>
        <w:t>4分裂，子导线分裂间距为450mm。</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2）导线对地距离</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根据《110-750kV架空输电线路设计规范》(GB50545-2010)中的规定，输电线路在满足最小距离的基础上，尽可能远离居民点，</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在经过树木时</w:t>
      </w:r>
      <w:r>
        <w:rPr>
          <w:rFonts w:hint="default" w:ascii="Times New Roman" w:hAnsi="Times New Roman" w:eastAsia="宋体" w:cs="Times New Roman"/>
          <w:caps w:val="0"/>
          <w:smallCaps w:val="0"/>
          <w:color w:val="auto"/>
          <w:spacing w:val="0"/>
          <w:w w:val="100"/>
          <w:kern w:val="0"/>
          <w:sz w:val="24"/>
          <w:szCs w:val="24"/>
          <w:highlight w:val="none"/>
          <w:lang w:val="en-US" w:eastAsia="zh-CN"/>
        </w:rPr>
        <w:t>尽可能抬高线高。</w:t>
      </w:r>
    </w:p>
    <w:p>
      <w:pPr>
        <w:pageBreakBefore w:val="0"/>
        <w:widowControl w:val="0"/>
        <w:numPr>
          <w:ilvl w:val="0"/>
          <w:numId w:val="0"/>
        </w:numPr>
        <w:bidi w:val="0"/>
        <w:adjustRightInd w:val="0"/>
        <w:snapToGrid w:val="0"/>
        <w:spacing w:line="360" w:lineRule="auto"/>
        <w:ind w:firstLine="482" w:firstLineChars="200"/>
        <w:jc w:val="center"/>
        <w:rPr>
          <w:rFonts w:hint="default" w:ascii="Times New Roman" w:hAnsi="Times New Roman" w:eastAsia="宋体" w:cs="Times New Roman"/>
          <w:b/>
          <w:bCs/>
          <w:caps w:val="0"/>
          <w:smallCaps w:val="0"/>
          <w:color w:val="0000FF"/>
          <w:spacing w:val="0"/>
          <w:w w:val="100"/>
          <w:kern w:val="0"/>
          <w:sz w:val="24"/>
          <w:szCs w:val="24"/>
          <w:highlight w:val="none"/>
          <w:lang w:val="en-US" w:eastAsia="zh-CN"/>
        </w:rPr>
      </w:pPr>
      <w:r>
        <w:rPr>
          <w:rFonts w:hint="eastAsia" w:ascii="Times New Roman" w:hAnsi="Times New Roman" w:eastAsia="宋体" w:cs="Times New Roman"/>
          <w:b/>
          <w:bCs/>
          <w:caps w:val="0"/>
          <w:smallCaps w:val="0"/>
          <w:color w:val="0000FF"/>
          <w:spacing w:val="0"/>
          <w:w w:val="100"/>
          <w:kern w:val="0"/>
          <w:sz w:val="24"/>
          <w:szCs w:val="24"/>
          <w:highlight w:val="none"/>
          <w:lang w:val="en-US" w:eastAsia="zh-CN"/>
        </w:rPr>
        <w:t xml:space="preserve">表3.1-11 </w:t>
      </w:r>
      <w:r>
        <w:rPr>
          <w:rFonts w:hint="default" w:ascii="Times New Roman" w:hAnsi="Times New Roman" w:eastAsia="宋体" w:cs="Times New Roman"/>
          <w:b/>
          <w:bCs/>
          <w:caps w:val="0"/>
          <w:smallCaps w:val="0"/>
          <w:color w:val="0000FF"/>
          <w:spacing w:val="0"/>
          <w:w w:val="100"/>
          <w:kern w:val="0"/>
          <w:sz w:val="24"/>
          <w:szCs w:val="24"/>
          <w:highlight w:val="none"/>
          <w:lang w:val="en-US" w:eastAsia="zh-CN"/>
        </w:rPr>
        <w:t>导线对地及交叉跨越物的距离</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1868"/>
        <w:gridCol w:w="2624"/>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被跨越物名称</w:t>
            </w:r>
          </w:p>
        </w:tc>
        <w:tc>
          <w:tcPr>
            <w:tcW w:w="2624"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线路最小垂直（或净空）距离（m）</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非居民区</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11.0</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居民区</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14.0</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交通困难地区</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8.5</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步行可到达的山坡</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8.5</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风偏净距</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步行不能到达的山坡、峭壁和岩石</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6.5</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风偏净距</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公路</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14.0</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标准轨铁路至轨顶</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14.0</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电气化铁路至轨顶</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16.0</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电气化铁路至承力索或接触线</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6.0</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不通航河流</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6.5</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至百年一遇洪水位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电力线路、弱电线路</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6.0</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53"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特殊管道</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7.5</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5" w:type="dxa"/>
            <w:vMerge w:val="restar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建筑物</w:t>
            </w:r>
          </w:p>
        </w:tc>
        <w:tc>
          <w:tcPr>
            <w:tcW w:w="186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垂直距离</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9.0</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5"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86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风偏净距</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8.5</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在导线最大计算风偏情况</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下的净空距离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5" w:type="dxa"/>
            <w:vMerge w:val="restar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树木自然</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生长高度</w:t>
            </w:r>
          </w:p>
        </w:tc>
        <w:tc>
          <w:tcPr>
            <w:tcW w:w="186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风偏净距</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7.0</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5"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86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垂直距离</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7.0</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85"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86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果树、经济作物</w:t>
            </w:r>
          </w:p>
        </w:tc>
        <w:tc>
          <w:tcPr>
            <w:tcW w:w="26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7.0</w:t>
            </w:r>
          </w:p>
        </w:tc>
        <w:tc>
          <w:tcPr>
            <w:tcW w:w="2839"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bl>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（2）地线</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500kv输电线选用JLB40-150铝包钢绞线，220kv输电线选用OPGW-120光缆。</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3.1.7</w:t>
      </w:r>
      <w:r>
        <w:rPr>
          <w:rFonts w:hint="default" w:ascii="Times New Roman" w:hAnsi="Times New Roman" w:eastAsia="宋体" w:cs="Times New Roman"/>
          <w:caps w:val="0"/>
          <w:smallCaps w:val="0"/>
          <w:color w:val="auto"/>
          <w:spacing w:val="0"/>
          <w:w w:val="100"/>
          <w:kern w:val="0"/>
          <w:sz w:val="24"/>
          <w:szCs w:val="24"/>
          <w:highlight w:val="none"/>
          <w:lang w:val="en-US" w:eastAsia="zh-CN"/>
        </w:rPr>
        <w:t>杆塔和基础</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杆塔</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综合考虑本工程沿线气象条件、地形、海拔等因素后，确定交流输电线路采用的杆塔为自立式角钢塔。直线塔采用酒杯型铁塔，耐张塔采用干字型铁塔。代表性杆塔塔型图见图3.1-8，500kV线路铁塔塔型及主要参数见表3. 1- 1</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numPr>
          <w:ilvl w:val="0"/>
          <w:numId w:val="0"/>
        </w:numPr>
        <w:bidi w:val="0"/>
        <w:adjustRightInd w:val="0"/>
        <w:snapToGrid w:val="0"/>
        <w:spacing w:line="360" w:lineRule="auto"/>
        <w:ind w:firstLine="482" w:firstLineChars="200"/>
        <w:jc w:val="center"/>
        <w:rPr>
          <w:b/>
          <w:bCs/>
        </w:rPr>
      </w:pP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表 3.1-1</w:t>
      </w: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 xml:space="preserve"> 500kV 线路铁塔型式及主要参数表</w:t>
      </w:r>
    </w:p>
    <w:tbl>
      <w:tblPr>
        <w:tblStyle w:val="12"/>
        <w:tblW w:w="494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45"/>
        <w:gridCol w:w="653"/>
        <w:gridCol w:w="984"/>
        <w:gridCol w:w="795"/>
        <w:gridCol w:w="995"/>
        <w:gridCol w:w="1200"/>
        <w:gridCol w:w="1175"/>
        <w:gridCol w:w="1178"/>
        <w:gridCol w:w="850"/>
        <w:gridCol w:w="8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序号</w:t>
            </w:r>
          </w:p>
        </w:tc>
        <w:tc>
          <w:tcPr>
            <w:tcW w:w="1290" w:type="pct"/>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铁塔</w:t>
            </w:r>
          </w:p>
        </w:tc>
        <w:tc>
          <w:tcPr>
            <w:tcW w:w="52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铁塔</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呼称高（m)</w:t>
            </w:r>
          </w:p>
        </w:tc>
        <w:tc>
          <w:tcPr>
            <w:tcW w:w="1884" w:type="pct"/>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使用条件</w:t>
            </w:r>
          </w:p>
        </w:tc>
        <w:tc>
          <w:tcPr>
            <w:tcW w:w="450"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基数</w:t>
            </w:r>
          </w:p>
        </w:tc>
        <w:tc>
          <w:tcPr>
            <w:tcW w:w="45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胡高范围（m）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34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模块</w:t>
            </w:r>
          </w:p>
        </w:tc>
        <w:tc>
          <w:tcPr>
            <w:tcW w:w="52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类别</w:t>
            </w:r>
          </w:p>
        </w:tc>
        <w:tc>
          <w:tcPr>
            <w:tcW w:w="42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名称</w:t>
            </w:r>
          </w:p>
        </w:tc>
        <w:tc>
          <w:tcPr>
            <w:tcW w:w="52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水平档距（m）</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垂直档距（m）</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转角度数（°）</w:t>
            </w:r>
          </w:p>
        </w:tc>
        <w:tc>
          <w:tcPr>
            <w:tcW w:w="450"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45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w:t>
            </w:r>
          </w:p>
        </w:tc>
        <w:tc>
          <w:tcPr>
            <w:tcW w:w="346"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2B5</w:t>
            </w:r>
          </w:p>
        </w:tc>
        <w:tc>
          <w:tcPr>
            <w:tcW w:w="52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耐张塔</w:t>
            </w:r>
          </w:p>
        </w:tc>
        <w:tc>
          <w:tcPr>
            <w:tcW w:w="42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J2</w:t>
            </w: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27</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450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650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20-40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21-33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w:t>
            </w:r>
          </w:p>
        </w:tc>
        <w:tc>
          <w:tcPr>
            <w:tcW w:w="34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4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30</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450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650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20-40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21-33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w:t>
            </w:r>
          </w:p>
        </w:tc>
        <w:tc>
          <w:tcPr>
            <w:tcW w:w="34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42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J4</w:t>
            </w: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27</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450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650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60-90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9</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21-33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p>
        </w:tc>
        <w:tc>
          <w:tcPr>
            <w:tcW w:w="34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4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30</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450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650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60-90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21-33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w:t>
            </w:r>
          </w:p>
        </w:tc>
        <w:tc>
          <w:tcPr>
            <w:tcW w:w="34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42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DJ2</w:t>
            </w: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21</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450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650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0-90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21-33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PrEx>
        <w:trPr>
          <w:trHeight w:val="2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w:t>
            </w:r>
          </w:p>
        </w:tc>
        <w:tc>
          <w:tcPr>
            <w:tcW w:w="34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4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24</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450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650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0-90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21-33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w:t>
            </w:r>
          </w:p>
        </w:tc>
        <w:tc>
          <w:tcPr>
            <w:tcW w:w="34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直线塔</w:t>
            </w:r>
          </w:p>
        </w:tc>
        <w:tc>
          <w:tcPr>
            <w:tcW w:w="42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ZB2</w:t>
            </w: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24</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410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550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24-57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8</w:t>
            </w:r>
          </w:p>
        </w:tc>
        <w:tc>
          <w:tcPr>
            <w:tcW w:w="34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4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30</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410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550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12</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24-57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9</w:t>
            </w:r>
          </w:p>
        </w:tc>
        <w:tc>
          <w:tcPr>
            <w:tcW w:w="34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4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36</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410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550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24-57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10</w:t>
            </w:r>
          </w:p>
        </w:tc>
        <w:tc>
          <w:tcPr>
            <w:tcW w:w="34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42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ZB3</w:t>
            </w: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45</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460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700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24-57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11</w:t>
            </w:r>
          </w:p>
        </w:tc>
        <w:tc>
          <w:tcPr>
            <w:tcW w:w="34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42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ZBK</w:t>
            </w: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48</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410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550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6</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24-57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39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12</w:t>
            </w:r>
          </w:p>
        </w:tc>
        <w:tc>
          <w:tcPr>
            <w:tcW w:w="346"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42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52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51</w:t>
            </w:r>
          </w:p>
        </w:tc>
        <w:tc>
          <w:tcPr>
            <w:tcW w:w="63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410</w:t>
            </w:r>
          </w:p>
        </w:tc>
        <w:tc>
          <w:tcPr>
            <w:tcW w:w="6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550</w:t>
            </w:r>
          </w:p>
        </w:tc>
        <w:tc>
          <w:tcPr>
            <w:tcW w:w="6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0</w:t>
            </w:r>
          </w:p>
        </w:tc>
        <w:tc>
          <w:tcPr>
            <w:tcW w:w="45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29</w:t>
            </w:r>
          </w:p>
        </w:tc>
        <w:tc>
          <w:tcPr>
            <w:tcW w:w="45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1"/>
                <w:szCs w:val="21"/>
                <w:highlight w:val="none"/>
                <w:vertAlign w:val="baseline"/>
                <w:lang w:val="en-US" w:eastAsia="zh-CN" w:bidi="ar-SA"/>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24-57</w:t>
            </w:r>
          </w:p>
        </w:tc>
      </w:tr>
    </w:tbl>
    <w:p>
      <w:pPr>
        <w:pageBreakBefore w:val="0"/>
        <w:widowControl w:val="0"/>
        <w:numPr>
          <w:ilvl w:val="0"/>
          <w:numId w:val="0"/>
        </w:numPr>
        <w:bidi w:val="0"/>
        <w:adjustRightInd w:val="0"/>
        <w:snapToGrid w:val="0"/>
        <w:spacing w:line="360" w:lineRule="auto"/>
        <w:ind w:firstLine="482" w:firstLineChars="200"/>
        <w:jc w:val="center"/>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表 3.1-1</w:t>
      </w: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3 220</w:t>
      </w: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kV 线路铁塔型式及主要参数表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6"/>
        <w:gridCol w:w="946"/>
        <w:gridCol w:w="946"/>
        <w:gridCol w:w="946"/>
        <w:gridCol w:w="946"/>
        <w:gridCol w:w="12"/>
        <w:gridCol w:w="934"/>
        <w:gridCol w:w="5"/>
        <w:gridCol w:w="941"/>
        <w:gridCol w:w="947"/>
        <w:gridCol w:w="94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vMerge w:val="restart"/>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序号</w:t>
            </w:r>
          </w:p>
        </w:tc>
        <w:tc>
          <w:tcPr>
            <w:tcW w:w="1892"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铁塔</w:t>
            </w:r>
          </w:p>
        </w:tc>
        <w:tc>
          <w:tcPr>
            <w:tcW w:w="94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铁塔呼称高（m)</w:t>
            </w:r>
          </w:p>
        </w:tc>
        <w:tc>
          <w:tcPr>
            <w:tcW w:w="2838" w:type="dxa"/>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使用条件</w:t>
            </w:r>
          </w:p>
        </w:tc>
        <w:tc>
          <w:tcPr>
            <w:tcW w:w="94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基数</w:t>
            </w:r>
          </w:p>
        </w:tc>
        <w:tc>
          <w:tcPr>
            <w:tcW w:w="94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胡高范围（m）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模块</w:t>
            </w:r>
          </w:p>
        </w:tc>
        <w:tc>
          <w:tcPr>
            <w:tcW w:w="9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类别</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58"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水平档距（m）</w:t>
            </w:r>
          </w:p>
        </w:tc>
        <w:tc>
          <w:tcPr>
            <w:tcW w:w="939"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垂直档距（m）</w:t>
            </w:r>
          </w:p>
        </w:tc>
        <w:tc>
          <w:tcPr>
            <w:tcW w:w="9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转角度数（°）</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6" w:type="dxa"/>
            <w:vMerge w:val="restart"/>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5A2</w:t>
            </w:r>
          </w:p>
        </w:tc>
        <w:tc>
          <w:tcPr>
            <w:tcW w:w="946" w:type="dxa"/>
            <w:vMerge w:val="restart"/>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耐张</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restart"/>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21-33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33</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20-40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20-40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31</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40-60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24</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60-90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0-90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33</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0-90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w:t>
            </w:r>
          </w:p>
        </w:tc>
        <w:tc>
          <w:tcPr>
            <w:tcW w:w="946" w:type="dxa"/>
            <w:vMerge w:val="restart"/>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ZB2</w:t>
            </w:r>
          </w:p>
        </w:tc>
        <w:tc>
          <w:tcPr>
            <w:tcW w:w="946" w:type="dxa"/>
            <w:vMerge w:val="restart"/>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直线</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420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restart"/>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eastAsiaTheme="minorEastAsia"/>
                <w:snapToGrid/>
                <w:color w:val="auto"/>
                <w:kern w:val="2"/>
                <w:sz w:val="21"/>
                <w:szCs w:val="21"/>
                <w:highlight w:val="none"/>
                <w:vertAlign w:val="baseline"/>
                <w:lang w:val="en-US" w:eastAsia="zh-CN" w:bidi="ar-SA"/>
              </w:rPr>
              <w:t>24-57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33</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36</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12</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39</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13</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45</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14</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48</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15</w:t>
            </w:r>
          </w:p>
        </w:tc>
        <w:tc>
          <w:tcPr>
            <w:tcW w:w="946" w:type="dxa"/>
            <w:vMerge w:val="restart"/>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ZB3</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36</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39</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17</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42</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18</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45</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900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19</w:t>
            </w:r>
          </w:p>
        </w:tc>
        <w:tc>
          <w:tcPr>
            <w:tcW w:w="946" w:type="dxa"/>
            <w:vMerge w:val="restart"/>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ZBCK</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48</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490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39</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490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w:t>
            </w:r>
          </w:p>
        </w:tc>
        <w:tc>
          <w:tcPr>
            <w:tcW w:w="946" w:type="dxa"/>
            <w:vMerge w:val="restart"/>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ZBK</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51</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490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22</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54</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490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71" w:hRule="atLeast"/>
        </w:trPr>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23</w:t>
            </w: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57</w:t>
            </w:r>
          </w:p>
        </w:tc>
        <w:tc>
          <w:tcPr>
            <w:tcW w:w="946"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490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750</w:t>
            </w:r>
          </w:p>
        </w:tc>
        <w:tc>
          <w:tcPr>
            <w:tcW w:w="946" w:type="dxa"/>
            <w:gridSpan w:val="2"/>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w:t>
            </w:r>
          </w:p>
        </w:tc>
        <w:tc>
          <w:tcPr>
            <w:tcW w:w="947" w:type="dxa"/>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947" w:type="dxa"/>
            <w:vMerge w:val="continue"/>
            <w:tcBorders>
              <w:tl2br w:val="nil"/>
              <w:tr2bl w:val="nil"/>
            </w:tcBorders>
            <w:vAlign w:val="center"/>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r>
    </w:tbl>
    <w:p>
      <w:pPr>
        <w:pStyle w:val="11"/>
        <w:ind w:left="0" w:leftChars="0" w:firstLine="0" w:firstLineChars="0"/>
        <w:rPr>
          <w:rFonts w:hint="default" w:ascii="Times New Roman" w:hAnsi="Times New Roman" w:eastAsia="宋体" w:cs="Times New Roman"/>
          <w:caps w:val="0"/>
          <w:smallCaps w:val="0"/>
          <w:color w:val="auto"/>
          <w:spacing w:val="0"/>
          <w:w w:val="100"/>
          <w:kern w:val="0"/>
          <w:sz w:val="24"/>
          <w:szCs w:val="24"/>
          <w:highlight w:val="none"/>
          <w:lang w:val="en-US" w:eastAsia="zh-CN"/>
        </w:rPr>
      </w:pPr>
    </w:p>
    <w:p>
      <w:pPr>
        <w:pStyle w:val="11"/>
        <w:ind w:left="0" w:leftChars="0" w:firstLine="0" w:firstLineChars="0"/>
        <w:rPr>
          <w:rFonts w:hint="default"/>
          <w:lang w:val="en-US" w:eastAsia="zh-CN"/>
        </w:rPr>
      </w:pPr>
      <w:r>
        <w:rPr>
          <w:rFonts w:hint="default"/>
          <w:lang w:val="en-US" w:eastAsia="zh-CN"/>
        </w:rPr>
        <w:drawing>
          <wp:inline distT="0" distB="0" distL="114300" distR="114300">
            <wp:extent cx="2867025" cy="6353175"/>
            <wp:effectExtent l="0" t="0" r="9525" b="9525"/>
            <wp:docPr id="3" name="图片 3" descr="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塔1"/>
                    <pic:cNvPicPr>
                      <a:picLocks noChangeAspect="1"/>
                    </pic:cNvPicPr>
                  </pic:nvPicPr>
                  <pic:blipFill>
                    <a:blip r:embed="rId56"/>
                    <a:stretch>
                      <a:fillRect/>
                    </a:stretch>
                  </pic:blipFill>
                  <pic:spPr>
                    <a:xfrm>
                      <a:off x="0" y="0"/>
                      <a:ext cx="2867025" cy="6353175"/>
                    </a:xfrm>
                    <a:prstGeom prst="rect">
                      <a:avLst/>
                    </a:prstGeom>
                  </pic:spPr>
                </pic:pic>
              </a:graphicData>
            </a:graphic>
          </wp:inline>
        </w:drawing>
      </w:r>
    </w:p>
    <w:p>
      <w:pPr>
        <w:pStyle w:val="11"/>
        <w:ind w:left="0" w:leftChars="0" w:firstLine="0" w:firstLineChars="0"/>
        <w:rPr>
          <w:rFonts w:hint="default"/>
          <w:lang w:val="en-US" w:eastAsia="zh-CN"/>
        </w:rPr>
      </w:pPr>
      <w:r>
        <w:rPr>
          <w:rFonts w:hint="default"/>
          <w:lang w:val="en-US" w:eastAsia="zh-CN"/>
        </w:rPr>
        <w:drawing>
          <wp:inline distT="0" distB="0" distL="114300" distR="114300">
            <wp:extent cx="5267325" cy="2865755"/>
            <wp:effectExtent l="0" t="0" r="9525" b="10795"/>
            <wp:docPr id="2" name="图片 2" descr="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塔2"/>
                    <pic:cNvPicPr>
                      <a:picLocks noChangeAspect="1"/>
                    </pic:cNvPicPr>
                  </pic:nvPicPr>
                  <pic:blipFill>
                    <a:blip r:embed="rId57"/>
                    <a:stretch>
                      <a:fillRect/>
                    </a:stretch>
                  </pic:blipFill>
                  <pic:spPr>
                    <a:xfrm>
                      <a:off x="0" y="0"/>
                      <a:ext cx="5267325" cy="2865755"/>
                    </a:xfrm>
                    <a:prstGeom prst="rect">
                      <a:avLst/>
                    </a:prstGeom>
                  </pic:spPr>
                </pic:pic>
              </a:graphicData>
            </a:graphic>
          </wp:inline>
        </w:drawing>
      </w:r>
    </w:p>
    <w:p>
      <w:pPr>
        <w:pageBreakBefore w:val="0"/>
        <w:widowControl w:val="0"/>
        <w:numPr>
          <w:ilvl w:val="0"/>
          <w:numId w:val="0"/>
        </w:numPr>
        <w:bidi w:val="0"/>
        <w:adjustRightInd w:val="0"/>
        <w:snapToGrid w:val="0"/>
        <w:spacing w:line="360" w:lineRule="auto"/>
        <w:jc w:val="center"/>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图3.1-2 塔基示意图</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（2）基础</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根据本工程沿线不同地形、地质条件，交流输电线路基础因地制宜分别采用斜柱开挖基础、直柱开挖基础、钻孔灌注桩基础等型式。</w:t>
      </w:r>
      <w:r>
        <w:rPr>
          <w:rFonts w:hint="eastAsia" w:ascii="Times New Roman" w:hAnsi="Times New Roman" w:eastAsia="宋体" w:cs="Times New Roman"/>
          <w:caps w:val="0"/>
          <w:smallCaps w:val="0"/>
          <w:color w:val="auto"/>
          <w:spacing w:val="0"/>
          <w:w w:val="100"/>
          <w:kern w:val="0"/>
          <w:sz w:val="24"/>
          <w:szCs w:val="24"/>
          <w:highlight w:val="none"/>
          <w:lang w:val="en-US" w:eastAsia="zh-CN"/>
        </w:rPr>
        <w:t>因本项目地质条件较差，本次选用灌注桩基础</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Style w:val="11"/>
        <w:ind w:left="0" w:leftChars="0" w:firstLine="0" w:firstLineChars="0"/>
        <w:rPr>
          <w:rFonts w:hint="default"/>
          <w:lang w:val="en-US" w:eastAsia="zh-CN"/>
        </w:rPr>
      </w:pPr>
      <w:r>
        <w:rPr>
          <w:rFonts w:hint="default"/>
          <w:lang w:val="en-US" w:eastAsia="zh-CN"/>
        </w:rPr>
        <w:drawing>
          <wp:inline distT="0" distB="0" distL="114300" distR="114300">
            <wp:extent cx="3952875" cy="1990725"/>
            <wp:effectExtent l="0" t="0" r="9525" b="9525"/>
            <wp:docPr id="4" name="图片 4" descr="灌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灌装"/>
                    <pic:cNvPicPr>
                      <a:picLocks noChangeAspect="1"/>
                    </pic:cNvPicPr>
                  </pic:nvPicPr>
                  <pic:blipFill>
                    <a:blip r:embed="rId58"/>
                    <a:stretch>
                      <a:fillRect/>
                    </a:stretch>
                  </pic:blipFill>
                  <pic:spPr>
                    <a:xfrm>
                      <a:off x="0" y="0"/>
                      <a:ext cx="3952875" cy="1990725"/>
                    </a:xfrm>
                    <a:prstGeom prst="rect">
                      <a:avLst/>
                    </a:prstGeom>
                  </pic:spPr>
                </pic:pic>
              </a:graphicData>
            </a:graphic>
          </wp:inline>
        </w:drawing>
      </w:r>
    </w:p>
    <w:p>
      <w:pPr>
        <w:pageBreakBefore w:val="0"/>
        <w:widowControl w:val="0"/>
        <w:numPr>
          <w:ilvl w:val="0"/>
          <w:numId w:val="0"/>
        </w:numPr>
        <w:bidi w:val="0"/>
        <w:adjustRightInd w:val="0"/>
        <w:snapToGrid w:val="0"/>
        <w:spacing w:line="360" w:lineRule="auto"/>
        <w:jc w:val="center"/>
        <w:rPr>
          <w:rFonts w:hint="default"/>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图3.1-3基础示意图</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3.1.8</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  重要交叉跨越</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本工程交流输电线路的主要交叉跨越情况见表 3. 1- 1</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widowControl/>
        <w:suppressLineNumbers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24"/>
          <w:szCs w:val="24"/>
          <w:highlight w:val="none"/>
          <w:lang w:val="en-US" w:eastAsia="zh-CN" w:bidi="ar"/>
        </w:rPr>
      </w:pPr>
      <w:r>
        <w:rPr>
          <w:rFonts w:hint="default" w:ascii="Times New Roman" w:hAnsi="Times New Roman" w:eastAsia="宋体" w:cs="Times New Roman"/>
          <w:b/>
          <w:bCs/>
          <w:snapToGrid/>
          <w:color w:val="auto"/>
          <w:kern w:val="0"/>
          <w:sz w:val="24"/>
          <w:szCs w:val="24"/>
          <w:highlight w:val="none"/>
          <w:lang w:val="en-US" w:eastAsia="zh-CN" w:bidi="ar"/>
        </w:rPr>
        <w:t>表 3.1- 1</w:t>
      </w:r>
      <w:r>
        <w:rPr>
          <w:rFonts w:hint="eastAsia" w:ascii="Times New Roman" w:hAnsi="Times New Roman" w:eastAsia="宋体" w:cs="Times New Roman"/>
          <w:b/>
          <w:bCs/>
          <w:snapToGrid/>
          <w:color w:val="auto"/>
          <w:kern w:val="0"/>
          <w:sz w:val="24"/>
          <w:szCs w:val="24"/>
          <w:highlight w:val="none"/>
          <w:lang w:val="en-US" w:eastAsia="zh-CN" w:bidi="ar"/>
        </w:rPr>
        <w:t>4</w:t>
      </w:r>
      <w:r>
        <w:rPr>
          <w:rFonts w:hint="default" w:ascii="Times New Roman" w:hAnsi="Times New Roman" w:eastAsia="宋体" w:cs="Times New Roman"/>
          <w:b/>
          <w:bCs/>
          <w:snapToGrid/>
          <w:color w:val="auto"/>
          <w:kern w:val="0"/>
          <w:sz w:val="24"/>
          <w:szCs w:val="24"/>
          <w:highlight w:val="none"/>
          <w:lang w:val="en-US" w:eastAsia="zh-CN" w:bidi="ar"/>
        </w:rPr>
        <w:t>本工程交流输电线路重要交叉跨越情况</w:t>
      </w:r>
    </w:p>
    <w:p>
      <w:pPr>
        <w:spacing w:line="145" w:lineRule="auto"/>
        <w:rPr>
          <w:rFonts w:ascii="Arial"/>
          <w:sz w:val="2"/>
          <w:highlight w:val="none"/>
        </w:rPr>
      </w:pPr>
    </w:p>
    <w:tbl>
      <w:tblPr>
        <w:tblStyle w:val="20"/>
        <w:tblW w:w="9287" w:type="dxa"/>
        <w:tblInd w:w="12"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100"/>
        <w:gridCol w:w="3086"/>
        <w:gridCol w:w="310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31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序号</w:t>
            </w:r>
          </w:p>
        </w:tc>
        <w:tc>
          <w:tcPr>
            <w:tcW w:w="3086"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跨 (钻) 越物名称</w:t>
            </w:r>
          </w:p>
        </w:tc>
        <w:tc>
          <w:tcPr>
            <w:tcW w:w="3101"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次数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17" w:hRule="atLeast"/>
        </w:trPr>
        <w:tc>
          <w:tcPr>
            <w:tcW w:w="31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3086"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500</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kV 电力线</w:t>
            </w:r>
          </w:p>
        </w:tc>
        <w:tc>
          <w:tcPr>
            <w:tcW w:w="3101"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17" w:hRule="atLeast"/>
        </w:trPr>
        <w:tc>
          <w:tcPr>
            <w:tcW w:w="31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3086"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220</w:t>
            </w:r>
            <w:r>
              <w:rPr>
                <w:rFonts w:hint="default" w:ascii="Times New Roman" w:hAnsi="Times New Roman" w:cs="Times New Roman" w:eastAsiaTheme="minorEastAsia"/>
                <w:snapToGrid/>
                <w:color w:val="auto"/>
                <w:kern w:val="2"/>
                <w:sz w:val="24"/>
                <w:szCs w:val="24"/>
                <w:highlight w:val="none"/>
                <w:vertAlign w:val="baseline"/>
                <w:lang w:val="en-US" w:eastAsia="zh-CN" w:bidi="ar-SA"/>
              </w:rPr>
              <w:t>kV 电力线</w:t>
            </w:r>
          </w:p>
        </w:tc>
        <w:tc>
          <w:tcPr>
            <w:tcW w:w="3101"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17" w:hRule="atLeast"/>
        </w:trPr>
        <w:tc>
          <w:tcPr>
            <w:tcW w:w="31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1</w:t>
            </w:r>
          </w:p>
        </w:tc>
        <w:tc>
          <w:tcPr>
            <w:tcW w:w="3086"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110kV 电力线</w:t>
            </w:r>
          </w:p>
        </w:tc>
        <w:tc>
          <w:tcPr>
            <w:tcW w:w="3101"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31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2</w:t>
            </w:r>
          </w:p>
        </w:tc>
        <w:tc>
          <w:tcPr>
            <w:tcW w:w="3086"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35kV 电力线</w:t>
            </w:r>
          </w:p>
        </w:tc>
        <w:tc>
          <w:tcPr>
            <w:tcW w:w="3101"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31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3</w:t>
            </w:r>
          </w:p>
        </w:tc>
        <w:tc>
          <w:tcPr>
            <w:tcW w:w="3086"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10kV 电力线</w:t>
            </w:r>
          </w:p>
        </w:tc>
        <w:tc>
          <w:tcPr>
            <w:tcW w:w="3101"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31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4</w:t>
            </w:r>
          </w:p>
        </w:tc>
        <w:tc>
          <w:tcPr>
            <w:tcW w:w="3086"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通信线</w:t>
            </w:r>
          </w:p>
        </w:tc>
        <w:tc>
          <w:tcPr>
            <w:tcW w:w="3101"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31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5</w:t>
            </w:r>
          </w:p>
        </w:tc>
        <w:tc>
          <w:tcPr>
            <w:tcW w:w="3086"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乡道</w:t>
            </w:r>
          </w:p>
        </w:tc>
        <w:tc>
          <w:tcPr>
            <w:tcW w:w="3101"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45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17" w:hRule="atLeast"/>
        </w:trPr>
        <w:tc>
          <w:tcPr>
            <w:tcW w:w="31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6</w:t>
            </w:r>
          </w:p>
        </w:tc>
        <w:tc>
          <w:tcPr>
            <w:tcW w:w="3086"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大棚</w:t>
            </w:r>
          </w:p>
        </w:tc>
        <w:tc>
          <w:tcPr>
            <w:tcW w:w="3101"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31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7</w:t>
            </w:r>
          </w:p>
        </w:tc>
        <w:tc>
          <w:tcPr>
            <w:tcW w:w="3086"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公路</w:t>
            </w:r>
          </w:p>
        </w:tc>
        <w:tc>
          <w:tcPr>
            <w:tcW w:w="3101"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4</w:t>
            </w:r>
          </w:p>
        </w:tc>
      </w:tr>
    </w:tbl>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3.1.9</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 拆迁情况</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根据《110-750kV 架空输电线路设计规范》(GB50545-2010)中的规定，500kV边导线与建筑物水平距离(无风情况下)最小应为5.0m，因此工程拆迁范围为边导线垂直投影外5.0m范围内。本工程交流输电线路工程路径选择时已对成片房屋进行了避让，5m范围内无环境保护目标，本工程交流输电线路可通过抬高线高等措施确保环境保护目标电磁和声环境满足相关标准要求，因此本工程不涉及环保拆迁</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3.1.</w:t>
      </w: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项目占地及土石方</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 工程占地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本工程占地包括永久占地和临时占地，永久占地包括汇集站站区，输电线路塔基区， </w:t>
      </w:r>
      <w:r>
        <w:rPr>
          <w:rFonts w:hint="eastAsia" w:ascii="Times New Roman" w:hAnsi="Times New Roman" w:eastAsia="宋体" w:cs="Times New Roman"/>
          <w:caps w:val="0"/>
          <w:smallCaps w:val="0"/>
          <w:color w:val="auto"/>
          <w:spacing w:val="0"/>
          <w:w w:val="100"/>
          <w:kern w:val="0"/>
          <w:sz w:val="24"/>
          <w:szCs w:val="24"/>
          <w:highlight w:val="none"/>
          <w:lang w:val="en-US" w:eastAsia="zh-CN"/>
        </w:rPr>
        <w:t>国富变</w:t>
      </w:r>
      <w:r>
        <w:rPr>
          <w:rFonts w:hint="default" w:ascii="Times New Roman" w:hAnsi="Times New Roman" w:eastAsia="宋体" w:cs="Times New Roman"/>
          <w:caps w:val="0"/>
          <w:smallCaps w:val="0"/>
          <w:color w:val="auto"/>
          <w:spacing w:val="0"/>
          <w:w w:val="100"/>
          <w:kern w:val="0"/>
          <w:sz w:val="24"/>
          <w:szCs w:val="24"/>
          <w:highlight w:val="none"/>
          <w:lang w:val="en-US" w:eastAsia="zh-CN"/>
        </w:rPr>
        <w:t>出线间隔扩建不新增占地；临时占地包括输电线路塔基区、牵张场区、跨越施工场地区和施工道路区等。</w:t>
      </w:r>
    </w:p>
    <w:p>
      <w:pPr>
        <w:kinsoku/>
        <w:autoSpaceDE/>
        <w:autoSpaceDN/>
        <w:adjustRightInd/>
        <w:snapToGrid/>
        <w:spacing w:line="360" w:lineRule="auto"/>
        <w:jc w:val="center"/>
        <w:textAlignment w:val="auto"/>
        <w:rPr>
          <w:rFonts w:ascii="Times New Roman" w:hAnsi="Times New Roman" w:eastAsia="宋体" w:cs="Times New Roman"/>
          <w:b/>
          <w:bCs/>
          <w:snapToGrid/>
          <w:color w:val="FF0000"/>
          <w:sz w:val="24"/>
          <w:szCs w:val="24"/>
          <w:lang w:bidi="ar"/>
        </w:rPr>
      </w:pPr>
      <w:r>
        <w:rPr>
          <w:rFonts w:ascii="Times New Roman" w:hAnsi="Times New Roman" w:eastAsia="宋体" w:cs="Times New Roman"/>
          <w:b/>
          <w:bCs/>
          <w:snapToGrid/>
          <w:color w:val="FF0000"/>
          <w:sz w:val="24"/>
          <w:szCs w:val="24"/>
          <w:lang w:bidi="ar"/>
        </w:rPr>
        <w:t>表3.1-</w:t>
      </w:r>
      <w:r>
        <w:rPr>
          <w:rFonts w:hint="eastAsia" w:ascii="Times New Roman" w:hAnsi="Times New Roman" w:eastAsia="宋体" w:cs="Times New Roman"/>
          <w:b/>
          <w:bCs/>
          <w:snapToGrid/>
          <w:color w:val="FF0000"/>
          <w:sz w:val="24"/>
          <w:szCs w:val="24"/>
          <w:lang w:val="en-US" w:eastAsia="zh-CN" w:bidi="ar"/>
        </w:rPr>
        <w:t>15</w:t>
      </w:r>
      <w:r>
        <w:rPr>
          <w:rFonts w:hint="eastAsia" w:ascii="Times New Roman" w:hAnsi="Times New Roman" w:eastAsia="宋体" w:cs="Times New Roman"/>
          <w:b/>
          <w:bCs/>
          <w:snapToGrid/>
          <w:color w:val="FF0000"/>
          <w:sz w:val="24"/>
          <w:szCs w:val="24"/>
          <w:lang w:bidi="ar"/>
        </w:rPr>
        <w:t>项目占地统计</w:t>
      </w:r>
      <w:r>
        <w:rPr>
          <w:rFonts w:ascii="Times New Roman" w:hAnsi="Times New Roman" w:eastAsia="宋体" w:cs="Times New Roman"/>
          <w:b/>
          <w:bCs/>
          <w:snapToGrid/>
          <w:color w:val="FF0000"/>
          <w:sz w:val="24"/>
          <w:szCs w:val="24"/>
          <w:lang w:bidi="ar"/>
        </w:rPr>
        <w:t>表</w:t>
      </w:r>
      <w:r>
        <w:rPr>
          <w:rFonts w:hint="eastAsia" w:ascii="Times New Roman" w:hAnsi="Times New Roman" w:eastAsia="宋体" w:cs="Times New Roman"/>
          <w:b/>
          <w:bCs/>
          <w:snapToGrid/>
          <w:color w:val="FF0000"/>
          <w:sz w:val="24"/>
          <w:szCs w:val="24"/>
          <w:lang w:bidi="ar"/>
        </w:rPr>
        <w:t>（</w:t>
      </w:r>
      <w:r>
        <w:rPr>
          <w:rFonts w:hint="eastAsia" w:ascii="Times New Roman" w:hAnsi="Times New Roman" w:cs="Times New Roman" w:eastAsiaTheme="minorEastAsia"/>
          <w:snapToGrid/>
          <w:color w:val="FF0000"/>
          <w:kern w:val="2"/>
        </w:rPr>
        <w:t>m2）</w:t>
      </w:r>
    </w:p>
    <w:p>
      <w:pPr>
        <w:spacing w:line="124" w:lineRule="exact"/>
        <w:rPr>
          <w:color w:val="FF0000"/>
        </w:rPr>
      </w:pPr>
    </w:p>
    <w:tbl>
      <w:tblPr>
        <w:tblStyle w:val="20"/>
        <w:tblW w:w="4997"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916"/>
        <w:gridCol w:w="2437"/>
        <w:gridCol w:w="1718"/>
        <w:gridCol w:w="1776"/>
        <w:gridCol w:w="245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序号</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工程类别</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永久占地</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临时占地</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16"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 xml:space="preserve"> 500kV汇集站</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31575</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1.1</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站区围墙内用地面积</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30500</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耕地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1.2</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站外其他用地面积</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365</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耕地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1.3</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进站道路面积</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280</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站外道路宽6m（原有）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1.4</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站外排水沟长度</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430</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耕地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500kV输电线路</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2823.6</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fldChar w:fldCharType="begin"/>
            </w:r>
            <w:r>
              <w:rPr>
                <w:rFonts w:hint="eastAsia" w:ascii="Times New Roman" w:hAnsi="Times New Roman" w:cs="Times New Roman" w:eastAsiaTheme="minorEastAsia"/>
                <w:snapToGrid/>
                <w:color w:val="auto"/>
                <w:kern w:val="2"/>
                <w:sz w:val="24"/>
                <w:szCs w:val="24"/>
                <w:highlight w:val="none"/>
                <w:vertAlign w:val="baseline"/>
                <w:lang w:val="en-US" w:eastAsia="zh-CN" w:bidi="ar-SA"/>
              </w:rPr>
              <w:instrText xml:space="preserve"> = sum(D9:D10) \* MERGEFORMAT </w:instrText>
            </w:r>
            <w:r>
              <w:rPr>
                <w:rFonts w:hint="eastAsia" w:ascii="Times New Roman" w:hAnsi="Times New Roman" w:cs="Times New Roman" w:eastAsiaTheme="minorEastAsia"/>
                <w:snapToGrid/>
                <w:color w:val="auto"/>
                <w:kern w:val="2"/>
                <w:sz w:val="24"/>
                <w:szCs w:val="24"/>
                <w:highlight w:val="none"/>
                <w:vertAlign w:val="baseline"/>
                <w:lang w:val="en-US" w:eastAsia="zh-CN" w:bidi="ar-SA"/>
              </w:rPr>
              <w:fldChar w:fldCharType="separate"/>
            </w:r>
            <w:r>
              <w:rPr>
                <w:rFonts w:hint="eastAsia" w:ascii="Times New Roman" w:hAnsi="Times New Roman" w:cs="Times New Roman" w:eastAsiaTheme="minorEastAsia"/>
                <w:snapToGrid/>
                <w:color w:val="auto"/>
                <w:kern w:val="2"/>
                <w:sz w:val="24"/>
                <w:szCs w:val="24"/>
                <w:highlight w:val="none"/>
                <w:vertAlign w:val="baseline"/>
                <w:lang w:val="en-US" w:eastAsia="zh-CN" w:bidi="ar-SA"/>
              </w:rPr>
              <w:t>43200</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fldChar w:fldCharType="end"/>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耕地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2.1</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铁塔塔基（23基）</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2823.6</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36800</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耕地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2.2</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施工平台（1处）</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6400</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耕地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220kV输电线路</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6939.3</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fldChar w:fldCharType="begin"/>
            </w:r>
            <w:r>
              <w:rPr>
                <w:rFonts w:hint="eastAsia" w:ascii="Times New Roman" w:hAnsi="Times New Roman" w:cs="Times New Roman" w:eastAsiaTheme="minorEastAsia"/>
                <w:snapToGrid/>
                <w:color w:val="auto"/>
                <w:kern w:val="2"/>
                <w:sz w:val="24"/>
                <w:szCs w:val="24"/>
                <w:highlight w:val="none"/>
                <w:vertAlign w:val="baseline"/>
                <w:lang w:val="en-US" w:eastAsia="zh-CN" w:bidi="ar-SA"/>
              </w:rPr>
              <w:instrText xml:space="preserve"> = sum(D12:D13) \* MERGEFORMAT </w:instrText>
            </w:r>
            <w:r>
              <w:rPr>
                <w:rFonts w:hint="eastAsia" w:ascii="Times New Roman" w:hAnsi="Times New Roman" w:cs="Times New Roman" w:eastAsiaTheme="minorEastAsia"/>
                <w:snapToGrid/>
                <w:color w:val="auto"/>
                <w:kern w:val="2"/>
                <w:sz w:val="24"/>
                <w:szCs w:val="24"/>
                <w:highlight w:val="none"/>
                <w:vertAlign w:val="baseline"/>
                <w:lang w:val="en-US" w:eastAsia="zh-CN" w:bidi="ar-SA"/>
              </w:rPr>
              <w:fldChar w:fldCharType="separate"/>
            </w:r>
            <w:r>
              <w:rPr>
                <w:rFonts w:hint="eastAsia" w:ascii="Times New Roman" w:hAnsi="Times New Roman" w:cs="Times New Roman" w:eastAsiaTheme="minorEastAsia"/>
                <w:snapToGrid/>
                <w:color w:val="auto"/>
                <w:kern w:val="2"/>
                <w:sz w:val="24"/>
                <w:szCs w:val="24"/>
                <w:highlight w:val="none"/>
                <w:vertAlign w:val="baseline"/>
                <w:lang w:val="en-US" w:eastAsia="zh-CN" w:bidi="ar-SA"/>
              </w:rPr>
              <w:t>176150</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fldChar w:fldCharType="end"/>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3.1</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铁塔塔基（86基）</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6939.3</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137600</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耕地，草地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3.2</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电缆0.3km</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150</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草地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3.3</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施工平台（6处）</w:t>
            </w: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w:t>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38400</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耕地，草地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49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总计</w:t>
            </w:r>
          </w:p>
        </w:tc>
        <w:tc>
          <w:tcPr>
            <w:tcW w:w="130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c>
          <w:tcPr>
            <w:tcW w:w="92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fldChar w:fldCharType="begin"/>
            </w:r>
            <w:r>
              <w:rPr>
                <w:rFonts w:hint="default" w:ascii="Times New Roman" w:hAnsi="Times New Roman" w:cs="Times New Roman" w:eastAsiaTheme="minorEastAsia"/>
                <w:snapToGrid/>
                <w:color w:val="auto"/>
                <w:kern w:val="2"/>
                <w:sz w:val="24"/>
                <w:szCs w:val="24"/>
                <w:highlight w:val="none"/>
                <w:vertAlign w:val="baseline"/>
                <w:lang w:val="en-US" w:eastAsia="zh-CN" w:bidi="ar-SA"/>
              </w:rPr>
              <w:instrText xml:space="preserve"> = sum(C14:C16) \* MERGEFORMAT </w:instrText>
            </w:r>
            <w:r>
              <w:rPr>
                <w:rFonts w:hint="default" w:ascii="Times New Roman" w:hAnsi="Times New Roman" w:cs="Times New Roman" w:eastAsiaTheme="minorEastAsia"/>
                <w:snapToGrid/>
                <w:color w:val="auto"/>
                <w:kern w:val="2"/>
                <w:sz w:val="24"/>
                <w:szCs w:val="24"/>
                <w:highlight w:val="none"/>
                <w:vertAlign w:val="baseline"/>
                <w:lang w:val="en-US" w:eastAsia="zh-CN" w:bidi="ar-SA"/>
              </w:rPr>
              <w:fldChar w:fldCharType="separate"/>
            </w:r>
            <w:r>
              <w:rPr>
                <w:rFonts w:hint="default" w:ascii="Times New Roman" w:hAnsi="Times New Roman" w:cs="Times New Roman" w:eastAsiaTheme="minorEastAsia"/>
                <w:snapToGrid/>
                <w:color w:val="auto"/>
                <w:kern w:val="2"/>
                <w:sz w:val="24"/>
                <w:szCs w:val="24"/>
                <w:highlight w:val="none"/>
                <w:vertAlign w:val="baseline"/>
                <w:lang w:val="en-US" w:eastAsia="zh-CN" w:bidi="ar-SA"/>
              </w:rPr>
              <w:t>41337.9</w:t>
            </w:r>
            <w:r>
              <w:rPr>
                <w:rFonts w:hint="default" w:ascii="Times New Roman" w:hAnsi="Times New Roman" w:cs="Times New Roman" w:eastAsiaTheme="minorEastAsia"/>
                <w:snapToGrid/>
                <w:color w:val="auto"/>
                <w:kern w:val="2"/>
                <w:sz w:val="24"/>
                <w:szCs w:val="24"/>
                <w:highlight w:val="none"/>
                <w:vertAlign w:val="baseline"/>
                <w:lang w:val="en-US" w:eastAsia="zh-CN" w:bidi="ar-SA"/>
              </w:rPr>
              <w:fldChar w:fldCharType="end"/>
            </w:r>
          </w:p>
        </w:tc>
        <w:tc>
          <w:tcPr>
            <w:tcW w:w="9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fldChar w:fldCharType="begin"/>
            </w:r>
            <w:r>
              <w:rPr>
                <w:rFonts w:hint="eastAsia" w:ascii="Times New Roman" w:hAnsi="Times New Roman" w:cs="Times New Roman" w:eastAsiaTheme="minorEastAsia"/>
                <w:snapToGrid/>
                <w:color w:val="auto"/>
                <w:kern w:val="2"/>
                <w:sz w:val="24"/>
                <w:szCs w:val="24"/>
                <w:highlight w:val="none"/>
                <w:vertAlign w:val="baseline"/>
                <w:lang w:val="en-US" w:eastAsia="zh-CN" w:bidi="ar-SA"/>
              </w:rPr>
              <w:instrText xml:space="preserve"> = sum(D14:D15) \* MERGEFORMAT </w:instrText>
            </w:r>
            <w:r>
              <w:rPr>
                <w:rFonts w:hint="eastAsia" w:ascii="Times New Roman" w:hAnsi="Times New Roman" w:cs="Times New Roman" w:eastAsiaTheme="minorEastAsia"/>
                <w:snapToGrid/>
                <w:color w:val="auto"/>
                <w:kern w:val="2"/>
                <w:sz w:val="24"/>
                <w:szCs w:val="24"/>
                <w:highlight w:val="none"/>
                <w:vertAlign w:val="baseline"/>
                <w:lang w:val="en-US" w:eastAsia="zh-CN" w:bidi="ar-SA"/>
              </w:rPr>
              <w:fldChar w:fldCharType="separate"/>
            </w:r>
            <w:r>
              <w:rPr>
                <w:rFonts w:hint="eastAsia" w:ascii="Times New Roman" w:hAnsi="Times New Roman" w:cs="Times New Roman" w:eastAsiaTheme="minorEastAsia"/>
                <w:snapToGrid/>
                <w:color w:val="auto"/>
                <w:kern w:val="2"/>
                <w:sz w:val="24"/>
                <w:szCs w:val="24"/>
                <w:highlight w:val="none"/>
                <w:vertAlign w:val="baseline"/>
                <w:lang w:val="en-US" w:eastAsia="zh-CN" w:bidi="ar-SA"/>
              </w:rPr>
              <w:t>2193</w:t>
            </w:r>
            <w:r>
              <w:rPr>
                <w:rFonts w:hint="eastAsia" w:ascii="Times New Roman" w:hAnsi="Times New Roman" w:cs="Times New Roman" w:eastAsiaTheme="minorEastAsia"/>
                <w:snapToGrid/>
                <w:color w:val="auto"/>
                <w:kern w:val="2"/>
                <w:sz w:val="24"/>
                <w:szCs w:val="24"/>
                <w:highlight w:val="none"/>
                <w:vertAlign w:val="baseline"/>
                <w:lang w:val="en-US" w:eastAsia="zh-CN" w:bidi="ar-SA"/>
              </w:rPr>
              <w:fldChar w:fldCharType="end"/>
            </w:r>
            <w:r>
              <w:rPr>
                <w:rFonts w:hint="eastAsia" w:ascii="Times New Roman" w:hAnsi="Times New Roman" w:cs="Times New Roman" w:eastAsiaTheme="minorEastAsia"/>
                <w:snapToGrid/>
                <w:color w:val="auto"/>
                <w:kern w:val="2"/>
                <w:sz w:val="24"/>
                <w:szCs w:val="24"/>
                <w:highlight w:val="none"/>
                <w:vertAlign w:val="baseline"/>
                <w:lang w:val="en-US" w:eastAsia="zh-CN" w:bidi="ar-SA"/>
              </w:rPr>
              <w:t>50</w:t>
            </w:r>
          </w:p>
        </w:tc>
        <w:tc>
          <w:tcPr>
            <w:tcW w:w="131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p>
        </w:tc>
      </w:tr>
    </w:tbl>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（2）土方</w:t>
      </w:r>
    </w:p>
    <w:p>
      <w:pPr>
        <w:kinsoku/>
        <w:autoSpaceDE/>
        <w:autoSpaceDN/>
        <w:adjustRightInd/>
        <w:snapToGrid/>
        <w:spacing w:line="360" w:lineRule="auto"/>
        <w:jc w:val="center"/>
        <w:textAlignment w:val="auto"/>
        <w:rPr>
          <w:rFonts w:ascii="Times New Roman" w:hAnsi="Times New Roman" w:eastAsia="宋体" w:cs="Times New Roman"/>
          <w:b/>
          <w:bCs/>
          <w:snapToGrid/>
          <w:color w:val="FF0000"/>
          <w:sz w:val="24"/>
          <w:szCs w:val="24"/>
          <w:lang w:bidi="ar"/>
        </w:rPr>
      </w:pPr>
      <w:r>
        <w:rPr>
          <w:rFonts w:ascii="Times New Roman" w:hAnsi="Times New Roman" w:eastAsia="宋体" w:cs="Times New Roman"/>
          <w:b/>
          <w:bCs/>
          <w:snapToGrid/>
          <w:color w:val="FF0000"/>
          <w:sz w:val="24"/>
          <w:szCs w:val="24"/>
          <w:lang w:bidi="ar"/>
        </w:rPr>
        <w:t>表3.1-</w:t>
      </w:r>
      <w:r>
        <w:rPr>
          <w:rFonts w:hint="eastAsia" w:ascii="Times New Roman" w:hAnsi="Times New Roman" w:eastAsia="宋体" w:cs="Times New Roman"/>
          <w:b/>
          <w:bCs/>
          <w:snapToGrid/>
          <w:color w:val="FF0000"/>
          <w:sz w:val="24"/>
          <w:szCs w:val="24"/>
          <w:lang w:val="en-US" w:eastAsia="zh-CN" w:bidi="ar"/>
        </w:rPr>
        <w:t>16</w:t>
      </w:r>
      <w:r>
        <w:rPr>
          <w:rFonts w:hint="eastAsia" w:ascii="Times New Roman" w:hAnsi="Times New Roman" w:eastAsia="宋体" w:cs="Times New Roman"/>
          <w:b/>
          <w:bCs/>
          <w:snapToGrid/>
          <w:color w:val="FF0000"/>
          <w:sz w:val="24"/>
          <w:szCs w:val="24"/>
          <w:lang w:bidi="ar"/>
        </w:rPr>
        <w:t>项目土石方平衡</w:t>
      </w:r>
      <w:r>
        <w:rPr>
          <w:rFonts w:ascii="Times New Roman" w:hAnsi="Times New Roman" w:eastAsia="宋体" w:cs="Times New Roman"/>
          <w:b/>
          <w:bCs/>
          <w:snapToGrid/>
          <w:color w:val="FF0000"/>
          <w:sz w:val="24"/>
          <w:szCs w:val="24"/>
          <w:lang w:bidi="ar"/>
        </w:rPr>
        <w:t>表</w:t>
      </w:r>
      <w:r>
        <w:rPr>
          <w:rFonts w:hint="eastAsia" w:ascii="Times New Roman" w:hAnsi="Times New Roman" w:eastAsia="宋体" w:cs="Times New Roman"/>
          <w:b/>
          <w:bCs/>
          <w:snapToGrid/>
          <w:color w:val="FF0000"/>
          <w:sz w:val="24"/>
          <w:szCs w:val="24"/>
          <w:lang w:bidi="ar"/>
        </w:rPr>
        <w:t>（</w:t>
      </w:r>
      <w:r>
        <w:rPr>
          <w:rFonts w:hint="eastAsia" w:ascii="Times New Roman" w:hAnsi="Times New Roman" w:cs="Times New Roman" w:eastAsiaTheme="minorEastAsia"/>
          <w:snapToGrid/>
          <w:color w:val="auto"/>
          <w:kern w:val="2"/>
        </w:rPr>
        <w:t>m3）</w:t>
      </w:r>
    </w:p>
    <w:tbl>
      <w:tblPr>
        <w:tblStyle w:val="20"/>
        <w:tblW w:w="5487"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35"/>
        <w:gridCol w:w="2060"/>
        <w:gridCol w:w="973"/>
        <w:gridCol w:w="1520"/>
        <w:gridCol w:w="2127"/>
        <w:gridCol w:w="290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1" w:hRule="atLeast"/>
        </w:trPr>
        <w:tc>
          <w:tcPr>
            <w:tcW w:w="3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序号</w:t>
            </w:r>
          </w:p>
        </w:tc>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工程内容</w:t>
            </w: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挖方</w:t>
            </w:r>
          </w:p>
        </w:tc>
        <w:tc>
          <w:tcPr>
            <w:tcW w:w="7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填方</w:t>
            </w:r>
          </w:p>
        </w:tc>
        <w:tc>
          <w:tcPr>
            <w:tcW w:w="10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弃土及去向</w:t>
            </w:r>
          </w:p>
        </w:tc>
        <w:tc>
          <w:tcPr>
            <w:tcW w:w="14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回填土及来源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3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w:t>
            </w:r>
          </w:p>
        </w:tc>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 xml:space="preserve"> 500kV汇集站内</w:t>
            </w: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43122</w:t>
            </w:r>
          </w:p>
        </w:tc>
        <w:tc>
          <w:tcPr>
            <w:tcW w:w="7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63954</w:t>
            </w:r>
          </w:p>
        </w:tc>
        <w:tc>
          <w:tcPr>
            <w:tcW w:w="10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0</w:t>
            </w:r>
          </w:p>
        </w:tc>
        <w:tc>
          <w:tcPr>
            <w:tcW w:w="14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20832，其中利用本项目挖方3860.1，外购土16971.9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3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w:t>
            </w:r>
          </w:p>
        </w:tc>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站外排水沟长度</w:t>
            </w: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172</w:t>
            </w:r>
          </w:p>
        </w:tc>
        <w:tc>
          <w:tcPr>
            <w:tcW w:w="7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0</w:t>
            </w:r>
          </w:p>
        </w:tc>
        <w:tc>
          <w:tcPr>
            <w:tcW w:w="10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全部用于站内回填</w:t>
            </w:r>
          </w:p>
        </w:tc>
        <w:tc>
          <w:tcPr>
            <w:tcW w:w="14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3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3</w:t>
            </w:r>
          </w:p>
        </w:tc>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500kV输电线路铁塔塔基（23基）</w:t>
            </w: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1554.7</w:t>
            </w:r>
          </w:p>
        </w:tc>
        <w:tc>
          <w:tcPr>
            <w:tcW w:w="7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0</w:t>
            </w:r>
          </w:p>
        </w:tc>
        <w:tc>
          <w:tcPr>
            <w:tcW w:w="10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全部用于站内回填</w:t>
            </w:r>
          </w:p>
        </w:tc>
        <w:tc>
          <w:tcPr>
            <w:tcW w:w="14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3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4</w:t>
            </w:r>
          </w:p>
        </w:tc>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220kV输电线路铁塔塔基（86基）</w:t>
            </w: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2133.4</w:t>
            </w:r>
          </w:p>
        </w:tc>
        <w:tc>
          <w:tcPr>
            <w:tcW w:w="7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0</w:t>
            </w:r>
          </w:p>
        </w:tc>
        <w:tc>
          <w:tcPr>
            <w:tcW w:w="10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全部用于站内回填</w:t>
            </w:r>
          </w:p>
        </w:tc>
        <w:tc>
          <w:tcPr>
            <w:tcW w:w="14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3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5</w:t>
            </w:r>
          </w:p>
        </w:tc>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电缆0.3km</w:t>
            </w: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150</w:t>
            </w:r>
          </w:p>
        </w:tc>
        <w:tc>
          <w:tcPr>
            <w:tcW w:w="7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150</w:t>
            </w:r>
          </w:p>
        </w:tc>
        <w:tc>
          <w:tcPr>
            <w:tcW w:w="10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0</w:t>
            </w:r>
          </w:p>
        </w:tc>
        <w:tc>
          <w:tcPr>
            <w:tcW w:w="14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3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合计</w:t>
            </w:r>
          </w:p>
        </w:tc>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47132.1</w:t>
            </w:r>
          </w:p>
        </w:tc>
        <w:tc>
          <w:tcPr>
            <w:tcW w:w="7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64104</w:t>
            </w:r>
          </w:p>
        </w:tc>
        <w:tc>
          <w:tcPr>
            <w:tcW w:w="104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0</w:t>
            </w:r>
          </w:p>
        </w:tc>
        <w:tc>
          <w:tcPr>
            <w:tcW w:w="142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napToGrid/>
                <w:color w:val="auto"/>
                <w:kern w:val="2"/>
                <w:sz w:val="24"/>
                <w:szCs w:val="24"/>
                <w:highlight w:val="none"/>
                <w:vertAlign w:val="baseline"/>
                <w:lang w:val="en-US" w:eastAsia="zh-CN" w:bidi="ar-SA"/>
              </w:rPr>
            </w:pPr>
            <w:r>
              <w:rPr>
                <w:rFonts w:hint="eastAsia" w:ascii="Times New Roman" w:hAnsi="Times New Roman" w:cs="Times New Roman" w:eastAsiaTheme="minorEastAsia"/>
                <w:snapToGrid/>
                <w:color w:val="auto"/>
                <w:kern w:val="2"/>
                <w:sz w:val="24"/>
                <w:szCs w:val="24"/>
                <w:highlight w:val="none"/>
                <w:vertAlign w:val="baseline"/>
                <w:lang w:val="en-US" w:eastAsia="zh-CN" w:bidi="ar-SA"/>
              </w:rPr>
              <w:t>16971.9</w:t>
            </w:r>
          </w:p>
        </w:tc>
      </w:tr>
    </w:tbl>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施工工艺和方法</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施工组织</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（1）500kV汇集站</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1）交通运输</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500kV汇集站所在区域交通较为方便，所需大宗货物及设备可经过</w:t>
      </w:r>
      <w:r>
        <w:rPr>
          <w:rFonts w:hint="eastAsia" w:ascii="Times New Roman" w:hAnsi="Times New Roman" w:eastAsia="宋体" w:cs="Times New Roman"/>
          <w:caps w:val="0"/>
          <w:smallCaps w:val="0"/>
          <w:color w:val="auto"/>
          <w:spacing w:val="0"/>
          <w:w w:val="100"/>
          <w:kern w:val="0"/>
          <w:sz w:val="24"/>
          <w:szCs w:val="24"/>
          <w:highlight w:val="none"/>
          <w:lang w:val="en-US" w:eastAsia="zh-CN"/>
        </w:rPr>
        <w:t>现有运输道路网络送至本项目拟建厂址。</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2）建筑材料</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汇集站建设所需建筑材料由当地外购。</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（2）输电线路</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1）交通运输</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本工程交流输电线路沿线有道以及县道、乡村道路可供利用，交通运输条件较好。部分施工路段需修建施工便道，以满足施工要求。</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2）施工场地布置</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①塔基区、塔基施工场地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塔基基础施工临时场地以单个塔基为单位零星布置，塔基区仅限于塔基基础施工以及杆塔架设的临时堆放场地和施工场地占地范围内。</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②牵张场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为满足施工放线需要，交流输电线路沿线需设置牵张场地，一般牵张场可利用当地道路，当塔位离道路较远或不能满足要求时需设置牵张场。牵张场各单项工程施工队一般4-5km设置一处，共约设置牵张场</w:t>
      </w: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处。</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③临时跨越场地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交流输电线路跨越道路、弱电线路(即通信线) 、电力线路等设施需要搭设跨越架。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④施工营地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交流输电线路施工时由于线路塔基及牵张场较分散，施工周期短，在人烟稀少地区施工营地主要采取在塔基施工场地、牵张场临时租地范围内搭设临时工棚；村镇集中区域，施工营地主要租用当地村民现有房屋。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3）建筑材料</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线路工程塔基施工建材均由供货方运至现场。</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施工工艺和方法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（1）500kV汇集站</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及扩建间隔</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施工工艺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500kV汇集站在施工期主要包括施工准备、基础开挖、土建施工、设备安装调试等环节，主要环境影响为基础开挖产生的噪声、扬尘及调试安装产生的安装噪声等。主要施工工艺和产污环境示意图见图 3. 1- 11。</w:t>
      </w:r>
    </w:p>
    <w:p>
      <w:pPr>
        <w:pStyle w:val="11"/>
        <w:ind w:left="0" w:leftChars="0" w:firstLine="0" w:firstLineChars="0"/>
        <w:rPr>
          <w:rFonts w:hint="default"/>
          <w:lang w:val="en-US" w:eastAsia="zh-CN"/>
        </w:rPr>
      </w:pPr>
      <w:r>
        <w:rPr>
          <w:rFonts w:hint="default"/>
          <w:lang w:val="en-US" w:eastAsia="zh-CN"/>
        </w:rPr>
        <w:drawing>
          <wp:inline distT="0" distB="0" distL="114300" distR="114300">
            <wp:extent cx="4857750" cy="1476375"/>
            <wp:effectExtent l="0" t="0" r="0" b="9525"/>
            <wp:docPr id="5" name="图片 5" descr="施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施工流程"/>
                    <pic:cNvPicPr>
                      <a:picLocks noChangeAspect="1"/>
                    </pic:cNvPicPr>
                  </pic:nvPicPr>
                  <pic:blipFill>
                    <a:blip r:embed="rId59"/>
                    <a:stretch>
                      <a:fillRect/>
                    </a:stretch>
                  </pic:blipFill>
                  <pic:spPr>
                    <a:xfrm>
                      <a:off x="0" y="0"/>
                      <a:ext cx="4857750" cy="1476375"/>
                    </a:xfrm>
                    <a:prstGeom prst="rect">
                      <a:avLst/>
                    </a:prstGeom>
                  </pic:spPr>
                </pic:pic>
              </a:graphicData>
            </a:graphic>
          </wp:inline>
        </w:drawing>
      </w:r>
    </w:p>
    <w:p>
      <w:pPr>
        <w:pageBreakBefore w:val="0"/>
        <w:widowControl w:val="0"/>
        <w:numPr>
          <w:ilvl w:val="0"/>
          <w:numId w:val="0"/>
        </w:numPr>
        <w:bidi w:val="0"/>
        <w:adjustRightInd w:val="0"/>
        <w:snapToGrid w:val="0"/>
        <w:spacing w:line="360" w:lineRule="auto"/>
        <w:jc w:val="center"/>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 xml:space="preserve">图 </w:t>
      </w: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 xml:space="preserve">3.1-4 </w:t>
      </w: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 xml:space="preserve"> 500kV 汇集站主要施工工艺和产污环节示意图</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①施工准备</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施工准备阶段主要进行施工营地的搭建、备料。施工营地搭建可设置于变电站拟建场地内；施工材料均就近采购或者存放在站址拟建地内；材料运输可充分利用现有道路；同时对临时堆土做好挡护和苫盖。</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②土地平整</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主要为使用大型机械设备对站址拟建地进行土地平整，便于后期施工的展开。</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③基础开挖</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基坑开挖：一般基坑基础开挖采用明挖方式，主要有人工开挖、机械开挖。在挖掘前首先清理基面及基面附近的植被等杂物，开挖自上而下进行，基坑四壁保持稳定放坡或用挡土板支护。在机械开挖准备工作及安全措施全部到位后，开始基坑土方开挖，机 械开挖至桩顶标高时预留 20cm 土由人工修挖，保证基底土层不受扰动、不超挖；控制 基底土层保持平整，及时引测基底标高，挖土过程随时进行标高测量，防止因超挖扰动 降低地基承载力。基坑开挖的土方可临时堆放在施工场地内，将土体边坡拍实后苫盖防尘网，防尘网周边用石块等重物压实，待基坑施工完毕后回填土方并夯实。</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w:t>
      </w:r>
      <w:r>
        <w:rPr>
          <w:rFonts w:hint="default" w:ascii="Times New Roman" w:hAnsi="Times New Roman" w:eastAsia="宋体" w:cs="Times New Roman"/>
          <w:caps w:val="0"/>
          <w:smallCaps w:val="0"/>
          <w:color w:val="auto"/>
          <w:spacing w:val="0"/>
          <w:w w:val="100"/>
          <w:kern w:val="0"/>
          <w:sz w:val="24"/>
          <w:szCs w:val="24"/>
          <w:highlight w:val="none"/>
          <w:lang w:val="en-US" w:eastAsia="zh-CN"/>
        </w:rPr>
        <w:t>堆放：开挖基面和基坑时，对开挖出来的土，应选择比较稳定的地方集中堆放，以便基础的回填；</w:t>
      </w:r>
      <w:r>
        <w:rPr>
          <w:rFonts w:hint="eastAsia" w:ascii="Times New Roman" w:hAnsi="Times New Roman" w:eastAsia="宋体" w:cs="Times New Roman"/>
          <w:caps w:val="0"/>
          <w:smallCaps w:val="0"/>
          <w:color w:val="auto"/>
          <w:spacing w:val="0"/>
          <w:w w:val="100"/>
          <w:kern w:val="0"/>
          <w:sz w:val="24"/>
          <w:szCs w:val="24"/>
          <w:highlight w:val="none"/>
          <w:lang w:val="en-US" w:eastAsia="zh-CN"/>
        </w:rPr>
        <w:t>同时设置苫布，防止扬尘产生。</w:t>
      </w:r>
      <w:r>
        <w:rPr>
          <w:rFonts w:hint="default" w:ascii="Times New Roman" w:hAnsi="Times New Roman" w:eastAsia="宋体" w:cs="Times New Roman"/>
          <w:caps w:val="0"/>
          <w:smallCaps w:val="0"/>
          <w:color w:val="auto"/>
          <w:spacing w:val="0"/>
          <w:w w:val="100"/>
          <w:kern w:val="0"/>
          <w:sz w:val="24"/>
          <w:szCs w:val="24"/>
          <w:highlight w:val="none"/>
          <w:lang w:val="en-US" w:eastAsia="zh-CN"/>
        </w:rPr>
        <w:t>必要时应采取保湿措施。</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混凝土浇筑：浇筑混凝土基础时在挖好的基坑放置钢筋笼、支好钢模板，进行混凝土浇筑。基础拆除模板，测试砼强度达到设计强度后进行土方回填。灌注桩基础成孔设备就位后，必须平正、稳固，确保在施工操作时不发生倾斜、移动。成孔完毕后应清除孔底虚土，孔底沉渣厚度&lt;100mm，随后尽快灌注混凝土，应连续灌注。</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④土建施工</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土建施工主要包括变电站主体施工及站区其他附属设施的施工，施工过程中使用商业混凝土进行浇注，施工过程中的物料堆放在站区范围内灵活布置，并进行围挡，必要时设置简易工棚。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⑤设备安装调试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设备安装调试主要包括站内电气设备及其他设备的安装和调试。设备包装拆除后应及时收集并分类存放。</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yellow"/>
          <w:lang w:val="en-US" w:eastAsia="zh-CN"/>
        </w:rPr>
      </w:pPr>
      <w:r>
        <w:rPr>
          <w:rFonts w:hint="default" w:ascii="Times New Roman" w:hAnsi="Times New Roman" w:eastAsia="宋体" w:cs="Times New Roman"/>
          <w:caps w:val="0"/>
          <w:smallCaps w:val="0"/>
          <w:color w:val="auto"/>
          <w:spacing w:val="0"/>
          <w:w w:val="100"/>
          <w:kern w:val="0"/>
          <w:sz w:val="24"/>
          <w:szCs w:val="24"/>
          <w:highlight w:val="yellow"/>
          <w:lang w:val="en-US" w:eastAsia="zh-CN"/>
        </w:rPr>
        <w:t>（2）交流输电线路施工工艺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yellow"/>
          <w:lang w:val="en-US" w:eastAsia="zh-CN"/>
        </w:rPr>
      </w:pPr>
      <w:r>
        <w:rPr>
          <w:rFonts w:hint="default" w:ascii="Times New Roman" w:hAnsi="Times New Roman" w:eastAsia="宋体" w:cs="Times New Roman"/>
          <w:caps w:val="0"/>
          <w:smallCaps w:val="0"/>
          <w:color w:val="auto"/>
          <w:spacing w:val="0"/>
          <w:w w:val="100"/>
          <w:kern w:val="0"/>
          <w:sz w:val="24"/>
          <w:szCs w:val="24"/>
          <w:highlight w:val="yellow"/>
          <w:lang w:val="en-US" w:eastAsia="zh-CN"/>
        </w:rPr>
        <w:t xml:space="preserve">交流输电线路施工主要包括施工准备、基础施工、铁塔组立及架线等环节。交流输电线路施工工艺及产污环节见图 3. 1- </w:t>
      </w:r>
      <w:r>
        <w:rPr>
          <w:rFonts w:hint="eastAsia" w:ascii="Times New Roman" w:hAnsi="Times New Roman" w:eastAsia="宋体" w:cs="Times New Roman"/>
          <w:caps w:val="0"/>
          <w:smallCaps w:val="0"/>
          <w:color w:val="auto"/>
          <w:spacing w:val="0"/>
          <w:w w:val="100"/>
          <w:kern w:val="0"/>
          <w:sz w:val="24"/>
          <w:szCs w:val="24"/>
          <w:highlight w:val="yellow"/>
          <w:lang w:val="en-US" w:eastAsia="zh-CN"/>
        </w:rPr>
        <w:t>5</w:t>
      </w:r>
      <w:r>
        <w:rPr>
          <w:rFonts w:hint="default" w:ascii="Times New Roman" w:hAnsi="Times New Roman" w:eastAsia="宋体" w:cs="Times New Roman"/>
          <w:caps w:val="0"/>
          <w:smallCaps w:val="0"/>
          <w:color w:val="auto"/>
          <w:spacing w:val="0"/>
          <w:w w:val="100"/>
          <w:kern w:val="0"/>
          <w:sz w:val="24"/>
          <w:szCs w:val="24"/>
          <w:highlight w:val="yellow"/>
          <w:lang w:val="en-US" w:eastAsia="zh-CN"/>
        </w:rPr>
        <w:t>。</w:t>
      </w:r>
    </w:p>
    <w:p>
      <w:pPr>
        <w:pStyle w:val="11"/>
        <w:ind w:left="0" w:leftChars="0" w:firstLine="0" w:firstLineChars="0"/>
        <w:rPr>
          <w:rFonts w:hint="default"/>
          <w:lang w:val="en-US" w:eastAsia="zh-CN"/>
        </w:rPr>
      </w:pPr>
      <w:r>
        <w:rPr>
          <w:rFonts w:hint="default"/>
          <w:lang w:val="en-US" w:eastAsia="zh-CN"/>
        </w:rPr>
        <w:drawing>
          <wp:inline distT="0" distB="0" distL="114300" distR="114300">
            <wp:extent cx="5267960" cy="1271905"/>
            <wp:effectExtent l="0" t="0" r="8890" b="4445"/>
            <wp:docPr id="6" name="图片 6" descr="交流输电线路施工工艺及产污环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交流输电线路施工工艺及产污环节"/>
                    <pic:cNvPicPr>
                      <a:picLocks noChangeAspect="1"/>
                    </pic:cNvPicPr>
                  </pic:nvPicPr>
                  <pic:blipFill>
                    <a:blip r:embed="rId60"/>
                    <a:stretch>
                      <a:fillRect/>
                    </a:stretch>
                  </pic:blipFill>
                  <pic:spPr>
                    <a:xfrm>
                      <a:off x="0" y="0"/>
                      <a:ext cx="5267960" cy="1271905"/>
                    </a:xfrm>
                    <a:prstGeom prst="rect">
                      <a:avLst/>
                    </a:prstGeom>
                  </pic:spPr>
                </pic:pic>
              </a:graphicData>
            </a:graphic>
          </wp:inline>
        </w:drawing>
      </w:r>
    </w:p>
    <w:p>
      <w:pPr>
        <w:pStyle w:val="19"/>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图3.1-5 交流输电线路施工工艺及产污环节</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1)施工准备</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准备阶段主要进行施工备料及施工道路的建设。材料运输将充分利用现有道路，如无道路可以利用时将新修施工便道。便道施工将对地表产生扰动、破坏植被。新修施工便道依据地形采用机械与人工相结合的施工方法，对临时堆土做好挡护和苫盖。</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基础施工主要有人工开挖、机械开挖两种，农业耕作区剥离的表土单独堆放，并采取相应防护措施。开挖的土石方就近堆放，并采取临时防护措施。塔基基础开挖完毕后，采用汽车、人力把塔基基础浇注所需的钢材、混凝土等运到塔基施工区进行基础浇注、养护。线路施工要尽量减小开挖范围，减少破坏原地貌面积。地质比较稳定的塔位，基础 底板尽量采用以土代模的施工方法，减少土石方的开挖量。</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基坑开挖尽量保持坑壁成型完好。根据铁塔配置情况，结合现场实际地形进行挖方 作业。基础基坑开挖以人工开挖为主，避免大开挖，减小对基底土层的扰动。</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基础施工中应尽量缩短基坑暴露时间，及时浇注基础，同时做好基面及基坑的排水工作。基础拆模后，回填土按要求进行分层夯实，并清除掺杂的草、树根等杂物。</w:t>
      </w:r>
    </w:p>
    <w:p>
      <w:pPr>
        <w:pStyle w:val="11"/>
        <w:ind w:left="0" w:leftChars="0" w:firstLine="0" w:firstLineChars="0"/>
        <w:rPr>
          <w:rFonts w:hint="default"/>
          <w:lang w:val="en-US" w:eastAsia="zh-CN"/>
        </w:rPr>
      </w:pPr>
      <w:r>
        <w:rPr>
          <w:rFonts w:hint="default"/>
          <w:lang w:val="en-US" w:eastAsia="zh-CN"/>
        </w:rPr>
        <w:drawing>
          <wp:inline distT="0" distB="0" distL="114300" distR="114300">
            <wp:extent cx="5266690" cy="2786380"/>
            <wp:effectExtent l="0" t="0" r="10160" b="13970"/>
            <wp:docPr id="7" name="图片 7" descr="基坑开挖施工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基坑开挖施工工艺流程图"/>
                    <pic:cNvPicPr>
                      <a:picLocks noChangeAspect="1"/>
                    </pic:cNvPicPr>
                  </pic:nvPicPr>
                  <pic:blipFill>
                    <a:blip r:embed="rId61"/>
                    <a:stretch>
                      <a:fillRect/>
                    </a:stretch>
                  </pic:blipFill>
                  <pic:spPr>
                    <a:xfrm>
                      <a:off x="0" y="0"/>
                      <a:ext cx="5266690" cy="2786380"/>
                    </a:xfrm>
                    <a:prstGeom prst="rect">
                      <a:avLst/>
                    </a:prstGeom>
                  </pic:spPr>
                </pic:pic>
              </a:graphicData>
            </a:graphic>
          </wp:inline>
        </w:drawing>
      </w:r>
    </w:p>
    <w:p>
      <w:pPr>
        <w:pStyle w:val="19"/>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图3.1-6 基坑开挖施工工艺流程图</w:t>
      </w:r>
    </w:p>
    <w:p>
      <w:pPr>
        <w:pStyle w:val="9"/>
        <w:spacing w:line="240" w:lineRule="auto"/>
        <w:jc w:val="both"/>
        <w:rPr>
          <w:rFonts w:hint="default"/>
          <w:lang w:val="en-US" w:eastAsia="zh-CN"/>
        </w:rPr>
      </w:pPr>
      <w:r>
        <w:rPr>
          <w:rFonts w:hint="default"/>
          <w:lang w:val="en-US" w:eastAsia="zh-CN"/>
        </w:rPr>
        <w:drawing>
          <wp:inline distT="0" distB="0" distL="114300" distR="114300">
            <wp:extent cx="5267960" cy="3041015"/>
            <wp:effectExtent l="0" t="0" r="8890" b="6985"/>
            <wp:docPr id="8" name="图片 8" descr="基础施工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基础施工工艺流程图"/>
                    <pic:cNvPicPr>
                      <a:picLocks noChangeAspect="1"/>
                    </pic:cNvPicPr>
                  </pic:nvPicPr>
                  <pic:blipFill>
                    <a:blip r:embed="rId62"/>
                    <a:stretch>
                      <a:fillRect/>
                    </a:stretch>
                  </pic:blipFill>
                  <pic:spPr>
                    <a:xfrm>
                      <a:off x="0" y="0"/>
                      <a:ext cx="5267960" cy="3041015"/>
                    </a:xfrm>
                    <a:prstGeom prst="rect">
                      <a:avLst/>
                    </a:prstGeom>
                  </pic:spPr>
                </pic:pic>
              </a:graphicData>
            </a:graphic>
          </wp:inline>
        </w:drawing>
      </w:r>
    </w:p>
    <w:p>
      <w:pPr>
        <w:pageBreakBefore w:val="0"/>
        <w:widowControl w:val="0"/>
        <w:numPr>
          <w:ilvl w:val="0"/>
          <w:numId w:val="0"/>
        </w:numPr>
        <w:bidi w:val="0"/>
        <w:adjustRightInd w:val="0"/>
        <w:snapToGrid w:val="0"/>
        <w:spacing w:line="360" w:lineRule="auto"/>
        <w:ind w:firstLine="420" w:firstLineChars="200"/>
        <w:jc w:val="center"/>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default" w:ascii="Times New Roman" w:hAnsi="Times New Roman" w:cs="Times New Roman"/>
          <w:b/>
          <w:bCs/>
          <w:lang w:val="en-US" w:eastAsia="zh-CN"/>
        </w:rPr>
        <w:t>图3.1-7</w:t>
      </w: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基础施工工艺流程图</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铁塔组立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根据铁塔结构特点，采用悬浮摇臂抱杆分解组立，见图</w:t>
      </w:r>
      <w:r>
        <w:rPr>
          <w:rFonts w:hint="eastAsia" w:ascii="Times New Roman" w:hAnsi="Times New Roman" w:eastAsia="宋体" w:cs="Times New Roman"/>
          <w:caps w:val="0"/>
          <w:smallCaps w:val="0"/>
          <w:color w:val="auto"/>
          <w:spacing w:val="0"/>
          <w:w w:val="100"/>
          <w:kern w:val="0"/>
          <w:sz w:val="24"/>
          <w:szCs w:val="24"/>
          <w:highlight w:val="none"/>
          <w:lang w:val="en-US" w:eastAsia="zh-CN"/>
        </w:rPr>
        <w:t>3.1-8</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Style w:val="11"/>
        <w:ind w:left="0" w:leftChars="0" w:firstLine="0" w:firstLineChars="0"/>
        <w:rPr>
          <w:rFonts w:hint="default"/>
          <w:lang w:val="en-US" w:eastAsia="zh-CN"/>
        </w:rPr>
      </w:pPr>
      <w:r>
        <w:rPr>
          <w:rFonts w:hint="default"/>
          <w:lang w:val="en-US" w:eastAsia="zh-CN"/>
        </w:rPr>
        <w:drawing>
          <wp:inline distT="0" distB="0" distL="114300" distR="114300">
            <wp:extent cx="5266055" cy="2414270"/>
            <wp:effectExtent l="0" t="0" r="10795" b="5080"/>
            <wp:docPr id="9" name="图片 9" descr="铁塔组立接地施工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铁塔组立接地施工工艺流程图"/>
                    <pic:cNvPicPr>
                      <a:picLocks noChangeAspect="1"/>
                    </pic:cNvPicPr>
                  </pic:nvPicPr>
                  <pic:blipFill>
                    <a:blip r:embed="rId63"/>
                    <a:stretch>
                      <a:fillRect/>
                    </a:stretch>
                  </pic:blipFill>
                  <pic:spPr>
                    <a:xfrm>
                      <a:off x="0" y="0"/>
                      <a:ext cx="5266055" cy="2414270"/>
                    </a:xfrm>
                    <a:prstGeom prst="rect">
                      <a:avLst/>
                    </a:prstGeom>
                  </pic:spPr>
                </pic:pic>
              </a:graphicData>
            </a:graphic>
          </wp:inline>
        </w:drawing>
      </w:r>
    </w:p>
    <w:p>
      <w:pPr>
        <w:pStyle w:val="19"/>
        <w:jc w:val="center"/>
        <w:rPr>
          <w:rFonts w:hint="default"/>
          <w:b/>
          <w:bCs/>
          <w:lang w:val="en-US" w:eastAsia="zh-CN"/>
        </w:rPr>
      </w:pPr>
      <w:r>
        <w:rPr>
          <w:rFonts w:hint="default" w:ascii="Times New Roman" w:hAnsi="Times New Roman" w:cs="Times New Roman"/>
          <w:b/>
          <w:bCs/>
          <w:lang w:val="en-US" w:eastAsia="zh-CN"/>
        </w:rPr>
        <w:t>图3.1-</w:t>
      </w:r>
      <w:r>
        <w:rPr>
          <w:rFonts w:hint="eastAsia" w:ascii="Times New Roman" w:hAnsi="Times New Roman" w:cs="Times New Roman"/>
          <w:b/>
          <w:bCs/>
          <w:lang w:val="en-US" w:eastAsia="zh-CN"/>
        </w:rPr>
        <w:t>8</w:t>
      </w:r>
      <w:r>
        <w:rPr>
          <w:rFonts w:hint="default"/>
          <w:b/>
          <w:bCs/>
          <w:lang w:val="en-US" w:eastAsia="zh-CN"/>
        </w:rPr>
        <w:t>铁塔组立接地施工工艺流程图</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架线及附件安装</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本线路工程设置牵张场，采用张力机紧线，一般以张力放线施工段作为紧线段，以 直线塔作为紧线操作塔。紧线完毕后进行附件、线夹、防振金具、间隔棒等安装。架线施工工艺流程详见图</w:t>
      </w:r>
      <w:r>
        <w:rPr>
          <w:rFonts w:hint="eastAsia" w:ascii="Times New Roman" w:hAnsi="Times New Roman" w:eastAsia="宋体" w:cs="Times New Roman"/>
          <w:caps w:val="0"/>
          <w:smallCaps w:val="0"/>
          <w:color w:val="auto"/>
          <w:spacing w:val="0"/>
          <w:w w:val="100"/>
          <w:kern w:val="0"/>
          <w:sz w:val="24"/>
          <w:szCs w:val="24"/>
          <w:highlight w:val="none"/>
          <w:lang w:val="en-US" w:eastAsia="zh-CN"/>
        </w:rPr>
        <w:t>3.1-9</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Style w:val="11"/>
        <w:ind w:left="0" w:leftChars="0" w:firstLine="0" w:firstLineChars="0"/>
        <w:rPr>
          <w:rFonts w:hint="default"/>
          <w:lang w:val="en-US" w:eastAsia="zh-CN"/>
        </w:rPr>
      </w:pPr>
      <w:r>
        <w:rPr>
          <w:rFonts w:hint="default"/>
          <w:lang w:val="en-US" w:eastAsia="zh-CN"/>
        </w:rPr>
        <w:drawing>
          <wp:inline distT="0" distB="0" distL="114300" distR="114300">
            <wp:extent cx="5264785" cy="3386455"/>
            <wp:effectExtent l="0" t="0" r="12065" b="4445"/>
            <wp:docPr id="12" name="图片 12" descr="架线施工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架线施工工艺流程图"/>
                    <pic:cNvPicPr>
                      <a:picLocks noChangeAspect="1"/>
                    </pic:cNvPicPr>
                  </pic:nvPicPr>
                  <pic:blipFill>
                    <a:blip r:embed="rId64"/>
                    <a:stretch>
                      <a:fillRect/>
                    </a:stretch>
                  </pic:blipFill>
                  <pic:spPr>
                    <a:xfrm>
                      <a:off x="0" y="0"/>
                      <a:ext cx="5264785" cy="3386455"/>
                    </a:xfrm>
                    <a:prstGeom prst="rect">
                      <a:avLst/>
                    </a:prstGeom>
                  </pic:spPr>
                </pic:pic>
              </a:graphicData>
            </a:graphic>
          </wp:inline>
        </w:drawing>
      </w:r>
    </w:p>
    <w:p>
      <w:pPr>
        <w:pageBreakBefore w:val="0"/>
        <w:widowControl w:val="0"/>
        <w:numPr>
          <w:ilvl w:val="0"/>
          <w:numId w:val="0"/>
        </w:numPr>
        <w:bidi w:val="0"/>
        <w:adjustRightInd w:val="0"/>
        <w:snapToGrid w:val="0"/>
        <w:spacing w:line="360" w:lineRule="auto"/>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图</w:t>
      </w: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3.1-9</w:t>
      </w: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架线施工工艺流程</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3.1.12</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  主要经济技术指标</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 500kV 汇集站投资21428万万元；输变电线路工程 3314万元，扩建间隔投资2555万元， 总投资27297万元，环保投资约 297 万元。本工程计划于 2023 年 12 月建成 投运。</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3.1.13</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  已有项目情况</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国富 500kV 变电站场址位于大庆市大同区肇州县厢房屯</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东南侧。</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国富变运行 2 组1000MVA 变压器，变比 500/220±2×2.5％/66 千伏。终期规模为 4 组主变。变电站 500kV 侧现出线 4 回， 3/2 接线，对应五富#2 线配置 1 组120Mvar 高抗，对应富华#1 线配置 1 组 150Mvar 高抗，已建成 4 个串。终期共形成 5 串， 8 回出线， 2 组主变不进串。220kV 侧现出线 12回，双母线双分段接线。终期 18 回出线，双母线双分段接线。220kV为户外罐式断路器。66 千伏侧单母线分段接线。 运行 2 台 60Mvar 电抗器。已预留南边空地为本期工程 扩建，可以满足本次工程扩建要求，本工程出线间隔扩建依托现有工程是可行的。</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42" w:name="_Toc340"/>
      <w:r>
        <w:rPr>
          <w:rFonts w:hint="default" w:ascii="Times New Roman" w:hAnsi="Times New Roman" w:eastAsia="宋体" w:cs="Times New Roman"/>
          <w:snapToGrid/>
          <w:sz w:val="32"/>
          <w:lang w:val="en-US" w:eastAsia="zh-CN" w:bidi="ar-SA"/>
        </w:rPr>
        <w:t>3.2环境影响因素识别</w:t>
      </w:r>
      <w:bookmarkEnd w:id="42"/>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3.2.1施工期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施工期的主要环境影响因素有：施工扬尘、施工废污水、施工噪声、施工固体废物、生态影响等。</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（1）施工扬尘</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施工开挖，造成土地裸露，二次扬尘可能对周围环境产生暂时性的和局部的影响。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土、石料等可能产生扬尘的材料，在运输时用防水布覆盖。对附近的运输道路定期洒水，使其保持一定的湿度，防止道路扬尘。严禁运输车辆装载过满，不得超出车 厢板高度，并采取遮盖、密闭措施防止沿途抛洒、散落。</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（2）施工废水</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施工过程中产生的生活污水以及施工生产废水若不经处理，则可能对地表水环境以及周围其他环境要素产生不良影响。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施工前先进行汇集站内化粪池的建设，施工期间生活污水排入到化粪池内，拉运至</w:t>
      </w:r>
      <w:r>
        <w:rPr>
          <w:rFonts w:hint="eastAsia" w:ascii="Times New Roman" w:hAnsi="Times New Roman" w:cs="Times New Roman" w:eastAsiaTheme="minorEastAsia"/>
          <w:snapToGrid/>
          <w:color w:val="FF0000"/>
          <w:kern w:val="2"/>
          <w:sz w:val="24"/>
          <w:szCs w:val="24"/>
          <w:highlight w:val="none"/>
          <w:vertAlign w:val="baseline"/>
          <w:lang w:val="en-US" w:eastAsia="zh-CN" w:bidi="ar-SA"/>
        </w:rPr>
        <w:t>大同区污水处理厂处理；施工营地不设置食堂，在附近村屯内自行解决。</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（3）施工噪声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各类施工机械噪声可能对周围居民生活产生影响。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合理安排施工时间，尽量夜间不施工，注意对施工设备的维修、保养，使各种施工机械保持良好的运行状态。</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（4）施工固体废物</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施工过程中产生的建筑垃圾以及生活垃圾不妥善处理时对环境产生不良影响。建筑垃圾及生活垃圾应分别堆放，并安排专人专车及时清运或定期运至环卫部门指定的地点处置。</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（5）生态影响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施工时的土方开挖，以及建设过程中植被的破坏，对区域生态环境产生一定影响。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施工结束后，对临时占地进行土地平整，植被恢复。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3.2.2运行期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本工程运行期的主要环境影响因素有：工频电场、工频磁场、噪声、事故废油及废蓄电池等。</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（1）工频电场、工频磁场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 500kV 汇集站</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 汇集站内的高压线及电气设备附近，因高电压、大电流产生较强的工频电场、 工频磁场。交流输电线路运行时产生工频电场、工频磁场。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 汇集站内的主变压器、高压电抗器、配电装置和输电线路在运行期间会形成 一定强度的工频电场、工频磁场。电场和磁场是相互联系、相互作用，同时并存的。由于交变电场的存在，就会在其周围产生交变的磁场；磁场的变化，又会在其周围产生新 的电场。它们的运动方向互相垂直，并与自己的运动方向垂直。这种交变的电场和磁场 的总和，就是电磁场。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电磁场可以进行屏蔽。电磁屏蔽装置一般为金属材料制成的封闭壳体。当电磁场传 向金属壳体时，一部分被金属壳体表面所反射，一部分在壳体内部被吸收，这样透过壳 体的电磁场强度便大幅度衰减。电磁屏蔽的效果与电磁波频率、壳体厚度和屏蔽材料特 性等有关。</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高压设备采用 GIS 成套装置，由于其外部有金属包围，可以有效的控制母线产生的 电磁场强度。根据运行反馈的信息表明，GIS 装置对高压母线的电磁影响起到了很好的 屏蔽作用。</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②架空线路</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架空线路运行时会产生工频电场和工频磁场。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（2）噪声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 汇集站内电气设备在运行时会产生各种噪声，主要以中低频为主。交流输电 线路运行噪声主要来源于导线、金具产生的电晕放电噪声。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（3）污水</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生活污水经站内化粪池处置后，定期清掏拉运至大同区污水处理厂处理。食堂废水经隔油池简单处置后，排入化粪池内，随生活污水一同拉运处置。交流输电线路运行期无污水产生。</w:t>
      </w:r>
      <w:r>
        <w:rPr>
          <w:rFonts w:hint="eastAsia" w:ascii="Times New Roman" w:hAnsi="Times New Roman" w:eastAsia="宋体" w:cs="Times New Roman"/>
          <w:caps w:val="0"/>
          <w:smallCaps w:val="0"/>
          <w:color w:val="auto"/>
          <w:spacing w:val="0"/>
          <w:w w:val="100"/>
          <w:kern w:val="0"/>
          <w:sz w:val="24"/>
          <w:szCs w:val="24"/>
          <w:highlight w:val="none"/>
          <w:lang w:val="en-US" w:eastAsia="zh-CN"/>
        </w:rPr>
        <w:t>500kV汇集站站内用水主要为运维人员生活用水，站内运维人员按10人计，根据《黑龙江省用水定额》（DB23/T727-2021），用水量为80L/(人·d)，用水量为0.8m³/d，292m3/a，生活污水产生量按用水量80%计，则生活污水产生量为234t/a。</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（4）废气</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运行期间食堂油烟经集气罩，通过油烟净化器净化后，通过专用烟道高于屋顶排放。</w:t>
      </w:r>
      <w:r>
        <w:rPr>
          <w:rFonts w:hint="default" w:ascii="Times New Roman" w:hAnsi="Times New Roman" w:eastAsia="宋体" w:cs="Times New Roman"/>
          <w:caps w:val="0"/>
          <w:smallCaps w:val="0"/>
          <w:color w:val="auto"/>
          <w:spacing w:val="0"/>
          <w:w w:val="100"/>
          <w:kern w:val="0"/>
          <w:sz w:val="24"/>
          <w:szCs w:val="24"/>
          <w:highlight w:val="none"/>
          <w:lang w:val="en-US" w:eastAsia="zh-CN"/>
        </w:rPr>
        <w:t>站内运维人员</w:t>
      </w: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人，设2个灶头，单个灶头排风量以2000m</w:t>
      </w:r>
      <w:r>
        <w:rPr>
          <w:rFonts w:hint="default"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/h计，食堂日工作时间约为7h，年运营365天。为职工提供一日三餐，每餐需供10人用餐。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根据类比调查，食堂人均食用油用量按30g/人·餐计，则项目职工食堂年耗油量为0.329t/a。一般油烟挥发量占总耗油量的2～4%，本次以3%计，则油烟产生量为9.87kg/a。集气罩收集效率为90%，油烟净化器净化效率为75%。</w:t>
      </w:r>
      <w:r>
        <w:rPr>
          <w:rFonts w:hint="eastAsia" w:ascii="Times New Roman" w:hAnsi="Times New Roman" w:eastAsia="宋体" w:cs="Times New Roman"/>
          <w:caps w:val="0"/>
          <w:smallCaps w:val="0"/>
          <w:color w:val="auto"/>
          <w:spacing w:val="0"/>
          <w:w w:val="100"/>
          <w:kern w:val="0"/>
          <w:sz w:val="24"/>
          <w:szCs w:val="24"/>
          <w:highlight w:val="none"/>
          <w:lang w:val="en-US" w:eastAsia="zh-CN"/>
        </w:rPr>
        <w:t>则油烟排放量为0.0022</w:t>
      </w:r>
      <w:r>
        <w:rPr>
          <w:rFonts w:hint="default" w:ascii="Times New Roman" w:hAnsi="Times New Roman" w:eastAsia="宋体" w:cs="Times New Roman"/>
          <w:caps w:val="0"/>
          <w:smallCaps w:val="0"/>
          <w:color w:val="auto"/>
          <w:spacing w:val="0"/>
          <w:w w:val="100"/>
          <w:kern w:val="0"/>
          <w:sz w:val="24"/>
          <w:szCs w:val="24"/>
          <w:highlight w:val="none"/>
          <w:lang w:val="en-US" w:eastAsia="zh-CN"/>
        </w:rPr>
        <w:t>t/a</w:t>
      </w:r>
      <w:r>
        <w:rPr>
          <w:rFonts w:hint="eastAsia" w:ascii="Times New Roman" w:hAnsi="Times New Roman" w:eastAsia="宋体" w:cs="Times New Roman"/>
          <w:caps w:val="0"/>
          <w:smallCaps w:val="0"/>
          <w:color w:val="auto"/>
          <w:spacing w:val="0"/>
          <w:w w:val="100"/>
          <w:kern w:val="0"/>
          <w:sz w:val="24"/>
          <w:szCs w:val="24"/>
          <w:highlight w:val="none"/>
          <w:lang w:val="en-US" w:eastAsia="zh-CN"/>
        </w:rPr>
        <w:t>，0.43</w:t>
      </w:r>
      <w:r>
        <w:rPr>
          <w:rFonts w:hint="default" w:ascii="Times New Roman" w:hAnsi="Times New Roman" w:eastAsia="宋体" w:cs="Times New Roman"/>
          <w:caps w:val="0"/>
          <w:smallCaps w:val="0"/>
          <w:color w:val="auto"/>
          <w:spacing w:val="0"/>
          <w:w w:val="100"/>
          <w:kern w:val="0"/>
          <w:sz w:val="24"/>
          <w:szCs w:val="24"/>
          <w:highlight w:val="none"/>
          <w:lang w:val="en-US" w:eastAsia="zh-CN"/>
        </w:rPr>
        <w:t>m</w:t>
      </w:r>
      <w:r>
        <w:rPr>
          <w:rFonts w:hint="default"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g，0.0009kg/h。</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）固废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500kV汇集站运行期产生主要固废为生活垃圾、事故废油、废蓄电池等。</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①生活垃圾</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站内运维人员</w:t>
      </w: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人，生活垃圾产生量按 0.5kg/人.d 计，生活垃圾产生量为 </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kg/d，分 类分区统一收集后由环卫部门统一处置。</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②事故排油</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 汇集站内设</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处事故油池，单个容积为90m³，用于收集事故排油，</w:t>
      </w:r>
      <w:r>
        <w:rPr>
          <w:rFonts w:hint="eastAsia" w:ascii="Times New Roman" w:hAnsi="Times New Roman" w:eastAsia="宋体" w:cs="Times New Roman"/>
          <w:caps w:val="0"/>
          <w:smallCaps w:val="0"/>
          <w:color w:val="auto"/>
          <w:spacing w:val="0"/>
          <w:w w:val="100"/>
          <w:kern w:val="0"/>
          <w:sz w:val="24"/>
          <w:szCs w:val="24"/>
          <w:highlight w:val="none"/>
          <w:lang w:val="en-US" w:eastAsia="zh-CN"/>
        </w:rPr>
        <w:t>池底及池壁进行重点防渗，</w:t>
      </w:r>
      <w:r>
        <w:rPr>
          <w:rFonts w:hint="default" w:ascii="Times New Roman" w:hAnsi="Times New Roman" w:eastAsia="宋体" w:cs="Times New Roman"/>
          <w:caps w:val="0"/>
          <w:smallCaps w:val="0"/>
          <w:color w:val="auto"/>
          <w:spacing w:val="0"/>
          <w:w w:val="100"/>
          <w:kern w:val="0"/>
          <w:sz w:val="24"/>
          <w:szCs w:val="24"/>
          <w:highlight w:val="none"/>
          <w:lang w:val="en-US" w:eastAsia="zh-CN"/>
        </w:rPr>
        <w:t>废油交由有资质单位处理。</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③废蓄电池</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报废的蓄电池暂存在站内危废暂存间，并按要求建立危废管理台账，交有资质单位处理，并在处理废旧电池时按要求办理危险废物转移联单。危废暂存间</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为全封闭式构建物，进行重点防渗。</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3.2.3评价因子筛选</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经环境影响因素识别，评价因子筛选见表 3.2-1。</w:t>
      </w:r>
    </w:p>
    <w:p>
      <w:pPr>
        <w:keepNext w:val="0"/>
        <w:keepLines w:val="0"/>
        <w:widowControl/>
        <w:suppressLineNumbers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24"/>
          <w:szCs w:val="24"/>
          <w:highlight w:val="none"/>
          <w:lang w:val="en-US" w:eastAsia="zh-CN" w:bidi="ar"/>
        </w:rPr>
      </w:pPr>
      <w:r>
        <w:rPr>
          <w:rFonts w:hint="default" w:ascii="Times New Roman" w:hAnsi="Times New Roman" w:eastAsia="宋体" w:cs="Times New Roman"/>
          <w:b/>
          <w:bCs/>
          <w:snapToGrid/>
          <w:color w:val="auto"/>
          <w:kern w:val="0"/>
          <w:sz w:val="24"/>
          <w:szCs w:val="24"/>
          <w:highlight w:val="none"/>
          <w:lang w:val="en-US" w:eastAsia="zh-CN" w:bidi="ar"/>
        </w:rPr>
        <w:t>表 3.2-1 评价因子筛选一览表</w:t>
      </w:r>
    </w:p>
    <w:p>
      <w:pPr>
        <w:spacing w:line="16" w:lineRule="exact"/>
        <w:rPr>
          <w:highlight w:val="none"/>
        </w:rPr>
      </w:pPr>
    </w:p>
    <w:tbl>
      <w:tblPr>
        <w:tblStyle w:val="2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72"/>
        <w:gridCol w:w="1387"/>
        <w:gridCol w:w="2664"/>
        <w:gridCol w:w="41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28" w:type="pct"/>
            <w:tcBorders>
              <w:lef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评价阶段</w:t>
            </w:r>
          </w:p>
        </w:tc>
        <w:tc>
          <w:tcPr>
            <w:tcW w:w="743"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环境要素</w:t>
            </w:r>
          </w:p>
        </w:tc>
        <w:tc>
          <w:tcPr>
            <w:tcW w:w="1427"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污染源</w:t>
            </w:r>
          </w:p>
        </w:tc>
        <w:tc>
          <w:tcPr>
            <w:tcW w:w="2200" w:type="pct"/>
            <w:tcBorders>
              <w:righ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评价因子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28" w:type="pct"/>
            <w:vMerge w:val="restart"/>
            <w:tcBorders>
              <w:left w:val="single" w:color="000000" w:sz="10" w:space="0"/>
              <w:bottom w:val="nil"/>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施工期</w:t>
            </w:r>
          </w:p>
        </w:tc>
        <w:tc>
          <w:tcPr>
            <w:tcW w:w="743"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环境空气</w:t>
            </w:r>
          </w:p>
        </w:tc>
        <w:tc>
          <w:tcPr>
            <w:tcW w:w="1427"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施工扬尘</w:t>
            </w:r>
          </w:p>
        </w:tc>
        <w:tc>
          <w:tcPr>
            <w:tcW w:w="2200" w:type="pct"/>
            <w:tcBorders>
              <w:righ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扬尘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28" w:type="pct"/>
            <w:vMerge w:val="continue"/>
            <w:tcBorders>
              <w:top w:val="nil"/>
              <w:left w:val="single" w:color="000000" w:sz="10" w:space="0"/>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743"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声环境</w:t>
            </w:r>
          </w:p>
        </w:tc>
        <w:tc>
          <w:tcPr>
            <w:tcW w:w="1427"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施工噪声</w:t>
            </w:r>
          </w:p>
        </w:tc>
        <w:tc>
          <w:tcPr>
            <w:tcW w:w="2200" w:type="pct"/>
            <w:tcBorders>
              <w:righ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昼间、夜间等效 A 声级，LAeq,T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28" w:type="pct"/>
            <w:vMerge w:val="continue"/>
            <w:tcBorders>
              <w:top w:val="nil"/>
              <w:left w:val="single" w:color="000000" w:sz="10" w:space="0"/>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743"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地表水环境</w:t>
            </w:r>
          </w:p>
        </w:tc>
        <w:tc>
          <w:tcPr>
            <w:tcW w:w="1427"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施工废水、生活污水</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(不外排)</w:t>
            </w:r>
          </w:p>
        </w:tc>
        <w:tc>
          <w:tcPr>
            <w:tcW w:w="2200" w:type="pct"/>
            <w:tcBorders>
              <w:righ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28" w:type="pct"/>
            <w:vMerge w:val="continue"/>
            <w:tcBorders>
              <w:top w:val="nil"/>
              <w:left w:val="single" w:color="000000" w:sz="10" w:space="0"/>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743"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固体废物</w:t>
            </w:r>
          </w:p>
        </w:tc>
        <w:tc>
          <w:tcPr>
            <w:tcW w:w="1427"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建筑垃圾以及生活垃圾</w:t>
            </w:r>
          </w:p>
        </w:tc>
        <w:tc>
          <w:tcPr>
            <w:tcW w:w="2200" w:type="pct"/>
            <w:tcBorders>
              <w:righ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固体废物处理处置措施可行性、可靠性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28" w:type="pct"/>
            <w:vMerge w:val="continue"/>
            <w:tcBorders>
              <w:top w:val="nil"/>
              <w:left w:val="single" w:color="000000" w:sz="10"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743"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生态环境</w:t>
            </w:r>
          </w:p>
        </w:tc>
        <w:tc>
          <w:tcPr>
            <w:tcW w:w="1427"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土方开挖、 占地</w:t>
            </w:r>
          </w:p>
        </w:tc>
        <w:tc>
          <w:tcPr>
            <w:tcW w:w="2200" w:type="pct"/>
            <w:tcBorders>
              <w:righ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生态系统及其生物因子、非生物因子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28" w:type="pct"/>
            <w:vMerge w:val="restart"/>
            <w:tcBorders>
              <w:left w:val="single" w:color="000000" w:sz="10" w:space="0"/>
              <w:bottom w:val="nil"/>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运营期</w:t>
            </w:r>
          </w:p>
        </w:tc>
        <w:tc>
          <w:tcPr>
            <w:tcW w:w="743" w:type="pct"/>
            <w:vMerge w:val="restart"/>
            <w:tcBorders>
              <w:bottom w:val="nil"/>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电磁环境</w:t>
            </w:r>
          </w:p>
        </w:tc>
        <w:tc>
          <w:tcPr>
            <w:tcW w:w="1427" w:type="pct"/>
            <w:vMerge w:val="restart"/>
            <w:tcBorders>
              <w:bottom w:val="nil"/>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500kV 汇集站、架空输电线路</w:t>
            </w:r>
          </w:p>
        </w:tc>
        <w:tc>
          <w:tcPr>
            <w:tcW w:w="2200" w:type="pct"/>
            <w:tcBorders>
              <w:righ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工频电场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28" w:type="pct"/>
            <w:vMerge w:val="continue"/>
            <w:tcBorders>
              <w:top w:val="nil"/>
              <w:left w:val="single" w:color="000000" w:sz="10" w:space="0"/>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743" w:type="pct"/>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1427"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2200" w:type="pct"/>
            <w:tcBorders>
              <w:righ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工频磁场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28" w:type="pct"/>
            <w:vMerge w:val="continue"/>
            <w:tcBorders>
              <w:top w:val="nil"/>
              <w:left w:val="single" w:color="000000" w:sz="10" w:space="0"/>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743"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声环境</w:t>
            </w:r>
          </w:p>
        </w:tc>
        <w:tc>
          <w:tcPr>
            <w:tcW w:w="1427" w:type="pct"/>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2200" w:type="pct"/>
            <w:tcBorders>
              <w:righ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昼间、夜间等效 A 声级，LAeq,T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28" w:type="pct"/>
            <w:vMerge w:val="continue"/>
            <w:tcBorders>
              <w:top w:val="nil"/>
              <w:left w:val="single" w:color="000000" w:sz="10" w:space="0"/>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743"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地表水环境</w:t>
            </w:r>
          </w:p>
        </w:tc>
        <w:tc>
          <w:tcPr>
            <w:tcW w:w="1427"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生活污水</w:t>
            </w:r>
          </w:p>
        </w:tc>
        <w:tc>
          <w:tcPr>
            <w:tcW w:w="2200" w:type="pct"/>
            <w:tcBorders>
              <w:righ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pH 、COD 、BOD5 、NH3- 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628" w:type="pct"/>
            <w:vMerge w:val="continue"/>
            <w:tcBorders>
              <w:top w:val="nil"/>
              <w:left w:val="single" w:color="000000" w:sz="10"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p>
        </w:tc>
        <w:tc>
          <w:tcPr>
            <w:tcW w:w="743"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固体废物</w:t>
            </w:r>
          </w:p>
        </w:tc>
        <w:tc>
          <w:tcPr>
            <w:tcW w:w="1427" w:type="pct"/>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生活垃圾、事故废油及 报废蓄电池等</w:t>
            </w:r>
          </w:p>
        </w:tc>
        <w:tc>
          <w:tcPr>
            <w:tcW w:w="2200" w:type="pct"/>
            <w:tcBorders>
              <w:right w:val="single" w:color="000000" w:sz="10" w:space="0"/>
            </w:tcBorders>
            <w:shd w:val="clear" w:color="auto" w:fill="E5E5E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1"/>
                <w:szCs w:val="21"/>
                <w:highlight w:val="none"/>
                <w:vertAlign w:val="baseline"/>
                <w:lang w:val="en-US" w:eastAsia="zh-CN" w:bidi="ar-SA"/>
              </w:rPr>
            </w:pPr>
            <w:r>
              <w:rPr>
                <w:rFonts w:hint="default" w:ascii="Times New Roman" w:hAnsi="Times New Roman" w:cs="Times New Roman" w:eastAsiaTheme="minorEastAsia"/>
                <w:snapToGrid/>
                <w:color w:val="auto"/>
                <w:kern w:val="2"/>
                <w:sz w:val="21"/>
                <w:szCs w:val="21"/>
                <w:highlight w:val="none"/>
                <w:vertAlign w:val="baseline"/>
                <w:lang w:val="en-US" w:eastAsia="zh-CN" w:bidi="ar-SA"/>
              </w:rPr>
              <w:t>固体废物处理处置措施可行性、可靠性</w:t>
            </w:r>
          </w:p>
        </w:tc>
      </w:tr>
    </w:tbl>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43" w:name="_Toc16790"/>
      <w:r>
        <w:rPr>
          <w:rFonts w:hint="default" w:ascii="Times New Roman" w:hAnsi="Times New Roman" w:eastAsia="宋体" w:cs="Times New Roman"/>
          <w:snapToGrid/>
          <w:sz w:val="32"/>
          <w:lang w:val="en-US" w:eastAsia="zh-CN" w:bidi="ar-SA"/>
        </w:rPr>
        <w:t>3.3生态影响途径分析</w:t>
      </w:r>
      <w:bookmarkEnd w:id="43"/>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（1）施工期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1）500kV汇集站建设、交流输电线路塔基施工需进行挖方、填方、浇筑等活动，会 对附近的原生地貌和植被造成一定程度破坏，降低植被覆盖度，可能形成裸露疏松表土，周边的土壤也可能随之流失；同时施工临时堆土、建筑垃圾等，如果不进行必要的防护，可能会影响当地的植物生长，加剧土壤侵蚀与水土流失，导致生产力下降和生物量损失。</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2）杆塔运至现场进行组立，需要占用一定范围的临时用地；张力牵张放线并紧线， 需要租用牵张场地；为施工和运行检修方便，会新修部分临时道路，工程土建施工临时 堆土也会占用一定的场地。这些临时占地将改变原有的土地利用方式，使部分植被和土壤遭到短期破坏，导致生产力下降和生物量损失，但这种破坏是可逆转的。</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3）施工期间，施工人员出入、运输车辆的来往、施工机械的运行会对施工场地周边 野生动物觅食、繁殖和发育等产生干扰，有可能限制其活动区域、觅食范围与栖息空间等。夜间运输车辆的灯光可能会对一些鸟类和兽类产生干扰，影响其正常的活动。</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4）选址选线：选址选线阶段对生态环境影响途径主要为 500kV 汇集站站址拟建地、 输电线路沿线是否经过生态环境敏感区。该工程 500kV 汇集站选址选线不经过自然保护 区、饮用水水源保护区等环境敏感区。架空线路路径选择时，尽量避开林区、经济作物区、旅游开发区、 自然保护区、文物保护区、森林公园等，若避让困难，考虑树木自然 生长高度，按高跨设计，减少树木砍伐和对生态的影响。尽量避开城镇规划区、人口密 集区、尽量减少房屋拆迁，不占或少占耕地和经济效益高的土地；减少对生态环境、群 众生产、生活的影响。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（2）运行期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工程建成运行后，施工对周围生态环境造成的影响基本得到消除。可能造成生态影 响主要包括工程永久占地对植被的影响，铁塔和导线对兽类、鸟类活动的影响，运维人 员活动对生态的影响。根据现场踏勘，架空线路沿线多为草地、灌木林地、乔木林为主， 且对乔木林按高跨设计，巡线过程中林木修枝砍伐量很少，基本不会对沿线植被造成影 响。巡线人员对线路定期巡查，不会在线路周边长期活动，不会对沿线动物造成惊扰， 不会对沿线动物生存繁殖等造成影响。</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44" w:name="_Toc4761"/>
      <w:r>
        <w:rPr>
          <w:rFonts w:hint="default" w:ascii="Times New Roman" w:hAnsi="Times New Roman" w:eastAsia="宋体" w:cs="Times New Roman"/>
          <w:snapToGrid/>
          <w:sz w:val="32"/>
          <w:lang w:val="en-US" w:eastAsia="zh-CN" w:bidi="ar-SA"/>
        </w:rPr>
        <w:t>3.4    设计的环境保护设施、措施</w:t>
      </w:r>
      <w:bookmarkEnd w:id="44"/>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3.4.1    500kV 汇集站环境保护设施、措施</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（1）站内</w:t>
      </w:r>
      <w:r>
        <w:rPr>
          <w:rFonts w:hint="eastAsia" w:ascii="Times New Roman" w:hAnsi="Times New Roman" w:eastAsia="宋体" w:cs="Times New Roman"/>
          <w:caps w:val="0"/>
          <w:smallCaps w:val="0"/>
          <w:color w:val="auto"/>
          <w:spacing w:val="0"/>
          <w:w w:val="100"/>
          <w:kern w:val="0"/>
          <w:sz w:val="24"/>
          <w:szCs w:val="24"/>
          <w:highlight w:val="none"/>
          <w:lang w:val="en-US" w:eastAsia="zh-CN"/>
        </w:rPr>
        <w:t>设置防渗化粪池，生活污水排入化粪池内，定期清掏，拉运至大同污水处理厂处理。设置隔油池，食堂废水经隔油池简单处置后，排入化粪池内，随生活污水一同拉运处置。</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yellow"/>
          <w:lang w:val="en-US" w:eastAsia="zh-CN"/>
        </w:rPr>
      </w:pP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（2）站内设置事故油池，事故情况下的设备废油排入事故油池，经隔油处理后，事故 油由具备资质的单位回收，形成的油泥等危险废物交由有相应危废处理资质的单位处置，不外排。</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（3）站内设置垃圾桶，收集站内工作人员的生活垃圾，定期送至指定的固体废物处理 处置场所</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（4）食堂配套安装集气罩及油烟净化器，经处理后的油烟通过专用烟道高于屋顶排放。</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3.4.2    交流输电线路环境保护措施</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（1）线路路径选择中的环境保护措施</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1）在交流输电线路路径选择阶段，充分听取沿线政府相关部门的意见，优化路径， 尽量减少工程建设对环境的影响。</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2）尽量远离环境敏感区和居民点。</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（2）电磁环境影响控制措施</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1）在满足工程对导线机械物理特性要求和系统输送容量要求的前提下，合理选择导 线、子导线分裂间距及绝缘子串组装型式等，以减小线路的电磁环境影响。</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2）尽可能远离居民类环境敏感目标，抬高线路高度，确保电磁影响满足相应标准要求。</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3）线路与公路、通讯线、电力线交叉跨越时，严格按照规范要求留足够净空距离。</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（3）噪声控制措施</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满足工程对导线机械物理特性要求和系统输送容量要求的前提下，合理选择导线、子导线分裂间距及绝缘子串组装型式等，以减小线路的声环境影响。采用节能金具，有效控制金属串的起晕电压，防止电晕发生，降低电晕噪声。</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（4）生态保护措施</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1）优化线路路径及塔位，尽量选择植被稀疏处及生态价值较低的土地立塔，最大限 度减轻植被破坏，降低生态影响。</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2）优化塔型及基础设计，减少线路走廊宽度，减少永久占地。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3）严禁随意倾倒、丢弃开挖出的土石方。</w:t>
      </w:r>
      <w:r>
        <w:rPr>
          <w:rFonts w:hint="default" w:ascii="Times New Roman" w:hAnsi="Times New Roman" w:eastAsia="宋体" w:cs="Times New Roman"/>
          <w:caps w:val="0"/>
          <w:smallCaps w:val="0"/>
          <w:color w:val="auto"/>
          <w:spacing w:val="0"/>
          <w:w w:val="100"/>
          <w:kern w:val="0"/>
          <w:sz w:val="24"/>
          <w:szCs w:val="24"/>
          <w:highlight w:val="none"/>
          <w:lang w:val="en-US" w:eastAsia="zh-CN"/>
        </w:rPr>
        <w:br w:type="page"/>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45" w:name="_Toc28711"/>
      <w:r>
        <w:rPr>
          <w:rFonts w:hint="default" w:ascii="Times New Roman" w:hAnsi="Times New Roman" w:eastAsia="宋体" w:cs="Times New Roman"/>
          <w:snapToGrid/>
          <w:sz w:val="32"/>
          <w:lang w:val="en-US" w:eastAsia="zh-CN" w:bidi="ar-SA"/>
        </w:rPr>
        <w:t>4    环境现状调查与评价</w:t>
      </w:r>
      <w:bookmarkEnd w:id="45"/>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46" w:name="_Toc5100"/>
      <w:r>
        <w:rPr>
          <w:rFonts w:hint="default" w:ascii="Times New Roman" w:hAnsi="Times New Roman" w:eastAsia="宋体" w:cs="Times New Roman"/>
          <w:snapToGrid/>
          <w:sz w:val="32"/>
          <w:lang w:val="en-US" w:eastAsia="zh-CN" w:bidi="ar-SA"/>
        </w:rPr>
        <w:t>4.1区域概况</w:t>
      </w:r>
      <w:bookmarkEnd w:id="46"/>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大同区是黑龙江省大庆市的一个市辖区，位于大庆市西南部。大同地处松嫩平原西部，大庆市区南部，是五个行政区中最大的区。幅员 2400 平方公里，有汉、满、蒙等 18 个民族。下辖 8 个乡镇， 58个行政村， 315 个自然屯， 6 个街道办事处， 18 个社区。 大同区辖 6个街道、 4 个镇、 4 个乡、 18 个社区、 58 个村委会。庆葡街道、高台子镇街道、林源镇街道、立志街道、 新华街道、大同镇街道、 大同镇、 高台子镇、太阳升镇、 林源镇、 祝三乡、 老山头乡、 八井子乡、 双榆树乡。</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大同区地处松嫩平原的中西部，大庆市区南部，东北与安达市接壤，东南与肇州县毗邻，西南与肇源县分界，西北与杜尔伯特蒙古族自治县相连。全区总面积 2400 平方千米。全区已经形成了以能源、建材、食品、药品、机械、木制品加工“六大产业”为主的门类比较齐全的工业体系。多年来，大同区注重长远，肯于让利，制定出台了十分优惠的招商引资政策，不断优化投资环境，积极引进战略投资商，借助外力，加快发展。</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47" w:name="_Toc10432"/>
      <w:r>
        <w:rPr>
          <w:rFonts w:hint="default" w:ascii="Times New Roman" w:hAnsi="Times New Roman" w:eastAsia="宋体" w:cs="Times New Roman"/>
          <w:snapToGrid/>
          <w:sz w:val="32"/>
          <w:lang w:val="en-US" w:eastAsia="zh-CN" w:bidi="ar-SA"/>
        </w:rPr>
        <w:t>4.2自然环境</w:t>
      </w:r>
      <w:bookmarkEnd w:id="47"/>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4.2.1    地质地貌</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本项目位于黑龙江省大庆市大同区北部，该区域位置处于松辽盆地中部， 地貌单元属松嫩冲积平原，地貌成因类型为冲积堆积，地形为平地。拟建场地地面高程为 144.52m~144.94m。根据本工程勘测成果及区域地质资料，按《建筑抗震设计规范》(GB50011-2010)(2016 年版)表 4.1.3 判定场地土的类型为软弱土~中硬土，按规范之中表 4.1.6 判定该地段建筑场地类别为III 类。根据《中国地震动参数区划图》（GB 18306-2015）及《建筑抗震设计规范》（GB 50011-2010）（2016 年版）附录A，拟建场地地震动峰值加速度为 0.05g，抗震设防烈度为 6 度，反应谱特征周期为0.45s，设计地震分组为第一组。拟建场地不存在岩溶、危岩和崩塌、滑坡、泥石流、采空区等不良地质作用及特殊性岩土。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4.2.2    气候气象</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工程所在地区属北温带大陆性季风气候，四季分明，受蒙古内陆冷空气和海洋暖流季风影响较大，冬季漫长而寒冷干燥，夏季短暂而温湿多雨，春秋季风交替，气温变化大，冰封期长，无霜期短，冻土深达 2-2.2m。年平均气温 3.3℃，年极端最高气温 38.9 ℃，年极端最低气温 -36.2℃。平均风速 3.7 m/s，年最大风速为 22.7m/s，SW。该地区冬季WNW-NW-NNW 风向出现风频率为 37%；夏季多为 S-SSW-SW 风向，风频率为 26%； 年风向频率较大为 S-NW-NNW。风场的特征是春、秋、夏以 S 风为主，冬季以 NW-NNW 风为主，全年静风频率为 6%。年平均 442.0mm，年最大降水量 651.2 mm。年平均水气压 8.2hpa。平均积雪 158d，最大积雪深度 220.0mm。年平均蒸发量 1531.4mm，年最大蒸发量 1711.0mm，年最小蒸发量 1378.4mm，年平均风速 3.7 m/s。</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年平均风速</w:t>
      </w:r>
      <w:r>
        <w:rPr>
          <w:rFonts w:hint="default" w:ascii="Times New Roman" w:hAnsi="Times New Roman" w:eastAsia="宋体" w:cs="Times New Roman"/>
          <w:caps w:val="0"/>
          <w:smallCaps w:val="0"/>
          <w:color w:val="auto"/>
          <w:spacing w:val="0"/>
          <w:w w:val="100"/>
          <w:kern w:val="0"/>
          <w:sz w:val="24"/>
          <w:szCs w:val="24"/>
          <w:highlight w:val="none"/>
          <w:lang w:val="en-US" w:eastAsia="zh-CN"/>
        </w:rPr>
        <w:tab/>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                                         3.7 m/s</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年最大风速、风向                             22.7 m/s，</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年平均气温</w:t>
      </w:r>
      <w:r>
        <w:rPr>
          <w:rFonts w:hint="default" w:ascii="Times New Roman" w:hAnsi="Times New Roman" w:eastAsia="宋体" w:cs="Times New Roman"/>
          <w:caps w:val="0"/>
          <w:smallCaps w:val="0"/>
          <w:color w:val="auto"/>
          <w:spacing w:val="0"/>
          <w:w w:val="100"/>
          <w:kern w:val="0"/>
          <w:sz w:val="24"/>
          <w:szCs w:val="24"/>
          <w:highlight w:val="none"/>
          <w:lang w:val="en-US" w:eastAsia="zh-CN"/>
        </w:rPr>
        <w:tab/>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                                         3.3℃</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年极端最高气温                                 38.9℃</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年极端最低气温                                 -36.2℃</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年相对湿度</w:t>
      </w:r>
      <w:r>
        <w:rPr>
          <w:rFonts w:hint="default" w:ascii="Times New Roman" w:hAnsi="Times New Roman" w:eastAsia="宋体" w:cs="Times New Roman"/>
          <w:caps w:val="0"/>
          <w:smallCaps w:val="0"/>
          <w:color w:val="auto"/>
          <w:spacing w:val="0"/>
          <w:w w:val="100"/>
          <w:kern w:val="0"/>
          <w:sz w:val="24"/>
          <w:szCs w:val="24"/>
          <w:highlight w:val="none"/>
          <w:lang w:val="en-US" w:eastAsia="zh-CN"/>
        </w:rPr>
        <w:tab/>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                                         63%</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年降水量                                              442.0 mm</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年最大降水量                                      651.2 mm</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年日照时数                                          2595.8 h。</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4.2.3    地表水</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区域内主要降水类型为大气降水，主要降水分布在 6 月～8 月末，最高水位出现在8 月上旬～9 月下旬，最低水位出现在 3 月下旬～4 月上旬。区块内地势总体上较平坦， 起伏不大，地表径流排泄条件一般。区域内地表水文状况属安达闭流区，无天然河流， 但天然水泡子较多，大气降水都汇集到低洼地，无法排出区外。</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4.2.4    水文地质</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4.2.4.1地质概况</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根据地质钻探资料分析，区域浅部地层从上到下依次为第四系、第四系，白垩系地层。</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（1）白垩系明水组（K2m）</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1）明水组一段（K2m1）</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明水组一段由灰绿色砂岩、泥质砂岩夹厚度为 15.0～40.0m 的两层灰黑色、灰色泥岩组成的两个明显正旋回沉积物组成。明水组一段在区内的厚度变化较大，局部地区相差较大，一般为 120.0～163.5m，局部地区厚度大于 200.0m。</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2）明水组二段（K2m2）</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明水组二段为棕红色、砖红、灰及灰绿色泥岩，泥质粉砂岩与灰、灰绿、灰白色细砂岩、中粗砂岩及含砾中粗砂岩组成的湖相沉积或以湖相为主的湖相冲积层。顶部砖红色泥岩分布较为稳定。明水组二段的主要特点是多种颜色混杂，以棕红色为主。明水组二段区域分布特征与明水组一段基本相同，只是分布范围略小。南向北逐渐增厚，一般120.0～220.0m。明水组二段与下伏明水组一段呈整合接触。</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（2）第三系大安组</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主要分布在大庆市南部肇州县至吉林省大安县一带，地层厚度为 048.5m。上部为黄、黄褐色砂质泥岩、泥岩，夹有黑色泥岩薄层。下部为灰褐色泥质粉砂岩，砂质泥岩、泥岩、泥质粉砂岩，质软，胶结疏松，成岩性较差。与下伏地层成不整合接触。</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（3）第三系泰康组</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主要分布于大庆西部地区，呈条带状分布在长垣西翼尖灭。地层厚度 0~55m。向西、北方向地层厚度逐渐增大，并趋于稳定。岩性下部为层状的河流相中粗砂，上部为灰绿、黄绿色粘土、灰白色粉细砂，并构成厚度不等的交互层，局部厚度变薄，且多呈透镜体状。与下伏地层为不整合接触。</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（4）第四系（Q）</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1）全新统冲积层（Q4）</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主要分布在河漫滩冲积层、低平原内残留湖泡的沉积层及近代风砂层等。厚度不等， 只有数米，分布不稳定。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2）上更新统哈尔滨组（Q3）</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广泛分布于区域，岩性为粉质粘土和粉细砂。粉质粘土：黄褐色-褐黄色，软塑～ 可塑，土质不均匀，局部夹有粉土，手捻有砂粒感，含氧化铁斑点，中压缩性，干强度中等，韧性中等，稍有光滑，无摇振反应，地层厚度为 5～10.5m。局部夹粉土、粉细砂层，微显层理，裂隙较发育，具有大的孔隙。分布于评价区表层。</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3）中更新统荒山组（Q2）</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广泛分布区域，岩性为河湖相沉积的灰黑色粘土，地层厚度较为均匀，微显层理， 局部夹有粉细砂层，致密坚硬，局部由铁质浸染，地层厚度为 25.0～30.5m。土质致密， 渗透性较差，渗透系数一般在 1.0×10-6～1.0×10-7cm/s，为区域弱透水层，由铁质浸染的斑点条带，含铁钙质结核及白色钙质斑点；</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第四系与下伏第三系泰康组地层为不整合接触。</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4.2.4.2地下水类型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本工程地下水类型主要为以下二种：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第一种为上层滞水，主要赋存于粘性土层中，主要接受大气降水补给，以蒸发为主要排泄方式，受季节动态变化幅度较大，本次勘测期间，地下水稳定水位埋深为 0.40m~2.00m，常年地下水最高水位上升幅度 0.50m 左右。对设计和施工有影响。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第二种为第四系孔隙潜水，是本工程主要地下水类型，潜水主要赋存于砂土、粘性土层中，以大气降水、地表水侧向补给为主要来源， 以蒸发、人工开采为其主要的排泄方式，本次勘测期间，地下水初见水位埋深为 4.00m~5.30m，相对应的高程为 139.28m~140.65m，地下水稳定水位埋深为 3.20m~4.30m，相对应的高程为 140.52m~141.38m，常年地下水最高水位上升幅度 2.50m 左右。应考虑其对设计和施工的影响。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根据本工程所取地下水试样进行地下水水质简分析报告，按《岩土工程勘察规范》(GB50021-2001)(2009 年版)第 12.2 条，综合判定结果如下：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拟建场地内地下水对混凝土结构具有微腐蚀性，对钢筋混凝土结构中的钢筋具有微腐蚀性；地基土对混凝土结构具有微腐蚀性，对钢筋混凝土结构中的钢筋具有微腐蚀性，对钢结构具有微腐蚀性。</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4.2.4.3    地质构造</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根据野外钻探描述、原位测试及室内土工试验成果，将本次勘探所揭露地层的主要特征由上至下描述如下。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①耕土层：黄褐色，松散，湿，主要由粘性土组成，该层层厚0.60m~0.80m，层底深度 0.60m~0.80m，层底高程 143.82m~144.28m， 该层在拟建场地内分布稳定。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②粉质粘土层：黄褐色，可塑状态，湿，干强度、韧性中等，稍有光泽，无摇震反应，局部夹薄层粉砂、细砂。该层层厚 1.70m~4.20m， 层底深度 2.70m~6.50m，层底高程 138.34m~142.14m，该层在拟建场地内分布稳定。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②1 粉质粘土层：黄褐色，软塑状态，很湿，干强度、韧性中等偏低， 稍有光泽， 无摇震反应， 局部夹薄层细砂。该层层厚0.60m~2.90m，层底深度 3.40m~780m，层底高程 136.92m~141.54m， 该层在拟建场地内分布不均匀。</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②2 粉砂层：黄褐色、灰色，松散，饱和，成份以石英长石为主， 局部为细砂。该层层厚 0.80m~5.20m，层底深度 4.40m~11.00m，层底高程 133.82m~140.54m，该层在拟建场地内分布稳定。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③粉砂层：黄褐色，稍密，饱和，成份以石英长石为主，局部为细砂。该层层厚 5.80m~10.00m，层底深度 15.00m~18.60m，层底高程 126.12m~129.88m，该层在拟建场地内分布稳定。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④粉质粘土层：灰色、灰黑色，硬塑状态，湿，干强度、韧性中等，有光泽，无摇震反应。该层在本次勘察深度内未被揭穿，最大揭穿厚度为 7.40m ， 本层层顶埋深 17.60m~18.60m ，层顶高程126.12m~127.21m，该层在拟建场地内分布稳定。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各层地基土承载力特征值如下：</w:t>
      </w:r>
    </w:p>
    <w:p>
      <w:pPr>
        <w:keepNext w:val="0"/>
        <w:keepLines w:val="0"/>
        <w:widowControl/>
        <w:suppressLineNumbers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24"/>
          <w:szCs w:val="24"/>
          <w:highlight w:val="none"/>
          <w:lang w:val="en-US" w:eastAsia="zh-CN" w:bidi="ar"/>
        </w:rPr>
      </w:pPr>
      <w:r>
        <w:rPr>
          <w:rFonts w:hint="default" w:ascii="Times New Roman" w:hAnsi="Times New Roman" w:eastAsia="宋体" w:cs="Times New Roman"/>
          <w:b/>
          <w:bCs/>
          <w:snapToGrid/>
          <w:color w:val="auto"/>
          <w:kern w:val="0"/>
          <w:sz w:val="24"/>
          <w:szCs w:val="24"/>
          <w:highlight w:val="none"/>
          <w:lang w:val="en-US" w:eastAsia="zh-CN" w:bidi="ar"/>
        </w:rPr>
        <w:t>表 4.2- 1</w:t>
      </w:r>
      <w:r>
        <w:rPr>
          <w:rFonts w:hint="eastAsia" w:ascii="Times New Roman" w:hAnsi="Times New Roman" w:eastAsia="宋体" w:cs="Times New Roman"/>
          <w:b/>
          <w:bCs/>
          <w:snapToGrid/>
          <w:color w:val="auto"/>
          <w:kern w:val="0"/>
          <w:sz w:val="24"/>
          <w:szCs w:val="24"/>
          <w:highlight w:val="none"/>
          <w:lang w:val="en-US" w:eastAsia="zh-CN" w:bidi="ar"/>
        </w:rPr>
        <w:t xml:space="preserve">            </w:t>
      </w:r>
      <w:r>
        <w:rPr>
          <w:rFonts w:hint="default" w:ascii="Times New Roman" w:hAnsi="Times New Roman" w:eastAsia="宋体" w:cs="Times New Roman"/>
          <w:b/>
          <w:bCs/>
          <w:snapToGrid/>
          <w:color w:val="auto"/>
          <w:kern w:val="0"/>
          <w:sz w:val="24"/>
          <w:szCs w:val="24"/>
          <w:highlight w:val="none"/>
          <w:lang w:val="en-US" w:eastAsia="zh-CN" w:bidi="ar"/>
        </w:rPr>
        <w:t xml:space="preserve"> </w:t>
      </w:r>
      <w:r>
        <w:rPr>
          <w:rFonts w:hint="eastAsia" w:ascii="Times New Roman" w:hAnsi="Times New Roman" w:eastAsia="宋体" w:cs="Times New Roman"/>
          <w:b/>
          <w:bCs/>
          <w:snapToGrid/>
          <w:color w:val="auto"/>
          <w:kern w:val="0"/>
          <w:sz w:val="24"/>
          <w:szCs w:val="24"/>
          <w:highlight w:val="none"/>
          <w:lang w:val="en-US" w:eastAsia="zh-CN" w:bidi="ar"/>
        </w:rPr>
        <w:t>各层地基土承载力特征值</w:t>
      </w:r>
    </w:p>
    <w:tbl>
      <w:tblPr>
        <w:tblStyle w:val="12"/>
        <w:tblW w:w="0" w:type="auto"/>
        <w:tblInd w:w="1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75"/>
        <w:gridCol w:w="1875"/>
        <w:gridCol w:w="1817"/>
        <w:gridCol w:w="1359"/>
        <w:gridCol w:w="1359"/>
        <w:gridCol w:w="135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5" w:hRule="atLeast"/>
        </w:trPr>
        <w:tc>
          <w:tcPr>
            <w:tcW w:w="775" w:type="dxa"/>
            <w:tcBorders>
              <w:left w:val="nil"/>
              <w:right w:val="single" w:color="000000" w:sz="4" w:space="0"/>
            </w:tcBorders>
          </w:tcPr>
          <w:p>
            <w:pPr>
              <w:pStyle w:val="22"/>
              <w:spacing w:before="173"/>
              <w:ind w:left="189"/>
              <w:jc w:val="left"/>
              <w:rPr>
                <w:rFonts w:hint="eastAsia" w:ascii="宋体" w:hAnsi="宋体" w:eastAsia="宋体" w:cs="宋体"/>
                <w:sz w:val="28"/>
                <w:szCs w:val="28"/>
              </w:rPr>
            </w:pPr>
            <w:r>
              <w:rPr>
                <w:rFonts w:hint="eastAsia" w:ascii="宋体" w:hAnsi="宋体" w:eastAsia="宋体" w:cs="宋体"/>
                <w:sz w:val="28"/>
                <w:szCs w:val="28"/>
              </w:rPr>
              <w:t>序号</w:t>
            </w:r>
          </w:p>
        </w:tc>
        <w:tc>
          <w:tcPr>
            <w:tcW w:w="1875" w:type="dxa"/>
            <w:tcBorders>
              <w:left w:val="single" w:color="000000" w:sz="4" w:space="0"/>
              <w:right w:val="single" w:color="000000" w:sz="4" w:space="0"/>
            </w:tcBorders>
          </w:tcPr>
          <w:p>
            <w:pPr>
              <w:pStyle w:val="22"/>
              <w:spacing w:before="173"/>
              <w:ind w:left="503"/>
              <w:jc w:val="left"/>
              <w:rPr>
                <w:rFonts w:hint="eastAsia" w:ascii="宋体" w:hAnsi="宋体" w:eastAsia="宋体" w:cs="宋体"/>
                <w:sz w:val="28"/>
                <w:szCs w:val="28"/>
              </w:rPr>
            </w:pPr>
            <w:r>
              <w:rPr>
                <w:rFonts w:hint="eastAsia" w:ascii="宋体" w:hAnsi="宋体" w:eastAsia="宋体" w:cs="宋体"/>
                <w:sz w:val="28"/>
                <w:szCs w:val="28"/>
              </w:rPr>
              <w:t>岩土名称</w:t>
            </w:r>
          </w:p>
        </w:tc>
        <w:tc>
          <w:tcPr>
            <w:tcW w:w="1817" w:type="dxa"/>
            <w:tcBorders>
              <w:left w:val="single" w:color="000000" w:sz="4" w:space="0"/>
              <w:right w:val="single" w:color="000000" w:sz="4" w:space="0"/>
            </w:tcBorders>
          </w:tcPr>
          <w:p>
            <w:pPr>
              <w:pStyle w:val="22"/>
              <w:spacing w:before="17"/>
              <w:ind w:left="127" w:right="99"/>
              <w:rPr>
                <w:rFonts w:hint="eastAsia" w:ascii="宋体" w:hAnsi="宋体" w:eastAsia="宋体" w:cs="宋体"/>
                <w:sz w:val="28"/>
                <w:szCs w:val="28"/>
              </w:rPr>
            </w:pPr>
            <w:r>
              <w:rPr>
                <w:rFonts w:hint="eastAsia" w:ascii="宋体" w:hAnsi="宋体" w:eastAsia="宋体" w:cs="宋体"/>
                <w:sz w:val="28"/>
                <w:szCs w:val="28"/>
              </w:rPr>
              <w:t>地基土物性指标</w:t>
            </w:r>
            <w:r>
              <w:rPr>
                <w:rFonts w:hint="eastAsia" w:ascii="宋体" w:hAnsi="宋体" w:eastAsia="宋体" w:cs="宋体"/>
                <w:position w:val="1"/>
                <w:sz w:val="28"/>
                <w:szCs w:val="28"/>
              </w:rPr>
              <w:t>法 f</w:t>
            </w:r>
            <w:r>
              <w:rPr>
                <w:rFonts w:hint="eastAsia" w:ascii="宋体" w:hAnsi="宋体" w:eastAsia="宋体" w:cs="宋体"/>
                <w:sz w:val="28"/>
                <w:szCs w:val="28"/>
              </w:rPr>
              <w:t>ak</w:t>
            </w:r>
            <w:r>
              <w:rPr>
                <w:rFonts w:hint="eastAsia" w:ascii="宋体" w:hAnsi="宋体" w:eastAsia="宋体" w:cs="宋体"/>
                <w:position w:val="1"/>
                <w:sz w:val="28"/>
                <w:szCs w:val="28"/>
              </w:rPr>
              <w:t>(kPa)</w:t>
            </w:r>
          </w:p>
        </w:tc>
        <w:tc>
          <w:tcPr>
            <w:tcW w:w="1359" w:type="dxa"/>
            <w:tcBorders>
              <w:left w:val="single" w:color="000000" w:sz="4" w:space="0"/>
              <w:right w:val="single" w:color="000000" w:sz="4" w:space="0"/>
            </w:tcBorders>
          </w:tcPr>
          <w:p>
            <w:pPr>
              <w:pStyle w:val="22"/>
              <w:spacing w:before="17"/>
              <w:ind w:left="119" w:right="88"/>
              <w:rPr>
                <w:rFonts w:hint="eastAsia" w:ascii="宋体" w:hAnsi="宋体" w:eastAsia="宋体" w:cs="宋体"/>
                <w:sz w:val="28"/>
                <w:szCs w:val="28"/>
              </w:rPr>
            </w:pPr>
            <w:r>
              <w:rPr>
                <w:rFonts w:hint="eastAsia" w:ascii="宋体" w:hAnsi="宋体" w:eastAsia="宋体" w:cs="宋体"/>
                <w:sz w:val="28"/>
                <w:szCs w:val="28"/>
              </w:rPr>
              <w:t>标准贯入试验法</w:t>
            </w:r>
            <w:r>
              <w:rPr>
                <w:rFonts w:hint="eastAsia" w:ascii="宋体" w:hAnsi="宋体" w:eastAsia="宋体" w:cs="宋体"/>
                <w:position w:val="1"/>
                <w:sz w:val="28"/>
                <w:szCs w:val="28"/>
              </w:rPr>
              <w:t>f</w:t>
            </w:r>
            <w:r>
              <w:rPr>
                <w:rFonts w:hint="eastAsia" w:ascii="宋体" w:hAnsi="宋体" w:eastAsia="宋体" w:cs="宋体"/>
                <w:sz w:val="28"/>
                <w:szCs w:val="28"/>
              </w:rPr>
              <w:t>0</w:t>
            </w:r>
            <w:r>
              <w:rPr>
                <w:rFonts w:hint="eastAsia" w:ascii="宋体" w:hAnsi="宋体" w:eastAsia="宋体" w:cs="宋体"/>
                <w:position w:val="1"/>
                <w:sz w:val="28"/>
                <w:szCs w:val="28"/>
              </w:rPr>
              <w:t>(kPa)</w:t>
            </w:r>
          </w:p>
        </w:tc>
        <w:tc>
          <w:tcPr>
            <w:tcW w:w="1359" w:type="dxa"/>
            <w:tcBorders>
              <w:left w:val="single" w:color="000000" w:sz="4" w:space="0"/>
              <w:right w:val="single" w:color="000000" w:sz="4" w:space="0"/>
            </w:tcBorders>
          </w:tcPr>
          <w:p>
            <w:pPr>
              <w:pStyle w:val="22"/>
              <w:spacing w:before="17"/>
              <w:ind w:left="119" w:right="89"/>
              <w:rPr>
                <w:rFonts w:hint="eastAsia" w:ascii="宋体" w:hAnsi="宋体" w:eastAsia="宋体" w:cs="宋体"/>
                <w:sz w:val="28"/>
                <w:szCs w:val="28"/>
              </w:rPr>
            </w:pPr>
            <w:r>
              <w:rPr>
                <w:rFonts w:hint="eastAsia" w:ascii="宋体" w:hAnsi="宋体" w:eastAsia="宋体" w:cs="宋体"/>
                <w:sz w:val="28"/>
                <w:szCs w:val="28"/>
              </w:rPr>
              <w:t>按当地建筑经验</w:t>
            </w:r>
            <w:r>
              <w:rPr>
                <w:rFonts w:hint="eastAsia" w:ascii="宋体" w:hAnsi="宋体" w:eastAsia="宋体" w:cs="宋体"/>
                <w:position w:val="1"/>
                <w:sz w:val="28"/>
                <w:szCs w:val="28"/>
              </w:rPr>
              <w:t>f</w:t>
            </w:r>
            <w:r>
              <w:rPr>
                <w:rFonts w:hint="eastAsia" w:ascii="宋体" w:hAnsi="宋体" w:eastAsia="宋体" w:cs="宋体"/>
                <w:sz w:val="28"/>
                <w:szCs w:val="28"/>
              </w:rPr>
              <w:t>ak</w:t>
            </w:r>
            <w:r>
              <w:rPr>
                <w:rFonts w:hint="eastAsia" w:ascii="宋体" w:hAnsi="宋体" w:eastAsia="宋体" w:cs="宋体"/>
                <w:position w:val="1"/>
                <w:sz w:val="28"/>
                <w:szCs w:val="28"/>
              </w:rPr>
              <w:t>(kPa)</w:t>
            </w:r>
          </w:p>
        </w:tc>
        <w:tc>
          <w:tcPr>
            <w:tcW w:w="1358" w:type="dxa"/>
            <w:tcBorders>
              <w:left w:val="single" w:color="000000" w:sz="4" w:space="0"/>
              <w:right w:val="nil"/>
            </w:tcBorders>
          </w:tcPr>
          <w:p>
            <w:pPr>
              <w:pStyle w:val="22"/>
              <w:spacing w:before="17"/>
              <w:ind w:left="119" w:right="93"/>
              <w:rPr>
                <w:rFonts w:hint="eastAsia" w:ascii="宋体" w:hAnsi="宋体" w:eastAsia="宋体" w:cs="宋体"/>
                <w:sz w:val="28"/>
                <w:szCs w:val="28"/>
              </w:rPr>
            </w:pPr>
            <w:r>
              <w:rPr>
                <w:rFonts w:hint="eastAsia" w:ascii="宋体" w:hAnsi="宋体" w:eastAsia="宋体" w:cs="宋体"/>
                <w:sz w:val="28"/>
                <w:szCs w:val="28"/>
              </w:rPr>
              <w:t>推荐地基承载力值</w:t>
            </w:r>
            <w:r>
              <w:rPr>
                <w:rFonts w:hint="eastAsia" w:ascii="宋体" w:hAnsi="宋体" w:eastAsia="宋体" w:cs="宋体"/>
                <w:position w:val="1"/>
                <w:sz w:val="28"/>
                <w:szCs w:val="28"/>
              </w:rPr>
              <w:t>f</w:t>
            </w:r>
            <w:r>
              <w:rPr>
                <w:rFonts w:hint="eastAsia" w:ascii="宋体" w:hAnsi="宋体" w:eastAsia="宋体" w:cs="宋体"/>
                <w:sz w:val="28"/>
                <w:szCs w:val="28"/>
              </w:rPr>
              <w:t>ak</w:t>
            </w:r>
            <w:r>
              <w:rPr>
                <w:rFonts w:hint="eastAsia" w:ascii="宋体" w:hAnsi="宋体" w:eastAsia="宋体" w:cs="宋体"/>
                <w:position w:val="1"/>
                <w:sz w:val="28"/>
                <w:szCs w:val="28"/>
              </w:rPr>
              <w:t>(kPa)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75" w:type="dxa"/>
            <w:tcBorders>
              <w:top w:val="single" w:color="000000" w:sz="4" w:space="0"/>
              <w:left w:val="nil"/>
              <w:bottom w:val="single" w:color="000000" w:sz="4" w:space="0"/>
              <w:right w:val="single" w:color="000000" w:sz="4" w:space="0"/>
            </w:tcBorders>
          </w:tcPr>
          <w:p>
            <w:pPr>
              <w:pStyle w:val="22"/>
              <w:spacing w:before="31"/>
              <w:ind w:left="297"/>
              <w:jc w:val="left"/>
              <w:rPr>
                <w:rFonts w:hint="eastAsia" w:ascii="宋体" w:hAnsi="宋体" w:eastAsia="宋体" w:cs="宋体"/>
                <w:sz w:val="28"/>
                <w:szCs w:val="28"/>
              </w:rPr>
            </w:pPr>
            <w:r>
              <w:rPr>
                <w:rFonts w:hint="eastAsia" w:ascii="宋体" w:hAnsi="宋体" w:eastAsia="宋体" w:cs="宋体"/>
                <w:w w:val="100"/>
                <w:sz w:val="28"/>
                <w:szCs w:val="28"/>
              </w:rPr>
              <w:t>②</w:t>
            </w:r>
          </w:p>
        </w:tc>
        <w:tc>
          <w:tcPr>
            <w:tcW w:w="1875" w:type="dxa"/>
            <w:tcBorders>
              <w:top w:val="single" w:color="000000" w:sz="4" w:space="0"/>
              <w:left w:val="single" w:color="000000" w:sz="4" w:space="0"/>
              <w:bottom w:val="single" w:color="000000" w:sz="4" w:space="0"/>
              <w:right w:val="single" w:color="000000" w:sz="4" w:space="0"/>
            </w:tcBorders>
          </w:tcPr>
          <w:p>
            <w:pPr>
              <w:pStyle w:val="22"/>
              <w:spacing w:before="31"/>
              <w:ind w:left="157" w:right="128"/>
              <w:rPr>
                <w:rFonts w:hint="eastAsia" w:ascii="宋体" w:hAnsi="宋体" w:eastAsia="宋体" w:cs="宋体"/>
                <w:sz w:val="28"/>
                <w:szCs w:val="28"/>
              </w:rPr>
            </w:pPr>
            <w:r>
              <w:rPr>
                <w:rFonts w:hint="eastAsia" w:ascii="宋体" w:hAnsi="宋体" w:eastAsia="宋体" w:cs="宋体"/>
                <w:sz w:val="28"/>
                <w:szCs w:val="28"/>
              </w:rPr>
              <w:t>粉质粘土(可塑)</w:t>
            </w:r>
          </w:p>
        </w:tc>
        <w:tc>
          <w:tcPr>
            <w:tcW w:w="1817" w:type="dxa"/>
            <w:tcBorders>
              <w:top w:val="single" w:color="000000" w:sz="4" w:space="0"/>
              <w:left w:val="single" w:color="000000" w:sz="4" w:space="0"/>
              <w:bottom w:val="single" w:color="000000" w:sz="4" w:space="0"/>
              <w:right w:val="single" w:color="000000" w:sz="4" w:space="0"/>
            </w:tcBorders>
          </w:tcPr>
          <w:p>
            <w:pPr>
              <w:pStyle w:val="22"/>
              <w:spacing w:before="31"/>
              <w:ind w:left="127" w:right="96"/>
              <w:rPr>
                <w:rFonts w:hint="eastAsia" w:ascii="宋体" w:hAnsi="宋体" w:eastAsia="宋体" w:cs="宋体"/>
                <w:sz w:val="28"/>
                <w:szCs w:val="28"/>
              </w:rPr>
            </w:pPr>
            <w:r>
              <w:rPr>
                <w:rFonts w:hint="eastAsia" w:ascii="宋体" w:hAnsi="宋体" w:eastAsia="宋体" w:cs="宋体"/>
                <w:sz w:val="28"/>
                <w:szCs w:val="28"/>
              </w:rPr>
              <w:t>180.9</w:t>
            </w:r>
          </w:p>
        </w:tc>
        <w:tc>
          <w:tcPr>
            <w:tcW w:w="1359" w:type="dxa"/>
            <w:tcBorders>
              <w:top w:val="single" w:color="000000" w:sz="4" w:space="0"/>
              <w:left w:val="single" w:color="000000" w:sz="4" w:space="0"/>
              <w:bottom w:val="single" w:color="000000" w:sz="4" w:space="0"/>
              <w:right w:val="single" w:color="000000" w:sz="4" w:space="0"/>
            </w:tcBorders>
          </w:tcPr>
          <w:p>
            <w:pPr>
              <w:pStyle w:val="22"/>
              <w:spacing w:before="31"/>
              <w:ind w:left="117" w:right="89"/>
              <w:rPr>
                <w:rFonts w:hint="eastAsia" w:ascii="宋体" w:hAnsi="宋体" w:eastAsia="宋体" w:cs="宋体"/>
                <w:sz w:val="28"/>
                <w:szCs w:val="28"/>
              </w:rPr>
            </w:pPr>
            <w:r>
              <w:rPr>
                <w:rFonts w:hint="eastAsia" w:ascii="宋体" w:hAnsi="宋体" w:eastAsia="宋体" w:cs="宋体"/>
                <w:sz w:val="28"/>
                <w:szCs w:val="28"/>
              </w:rPr>
              <w:t>127.0</w:t>
            </w:r>
          </w:p>
        </w:tc>
        <w:tc>
          <w:tcPr>
            <w:tcW w:w="1359" w:type="dxa"/>
            <w:tcBorders>
              <w:top w:val="single" w:color="000000" w:sz="4" w:space="0"/>
              <w:left w:val="single" w:color="000000" w:sz="4" w:space="0"/>
              <w:bottom w:val="single" w:color="000000" w:sz="4" w:space="0"/>
              <w:right w:val="single" w:color="000000" w:sz="4" w:space="0"/>
            </w:tcBorders>
          </w:tcPr>
          <w:p>
            <w:pPr>
              <w:pStyle w:val="22"/>
              <w:spacing w:before="31"/>
              <w:ind w:left="116" w:right="89"/>
              <w:rPr>
                <w:rFonts w:hint="eastAsia" w:ascii="宋体" w:hAnsi="宋体" w:eastAsia="宋体" w:cs="宋体"/>
                <w:sz w:val="28"/>
                <w:szCs w:val="28"/>
              </w:rPr>
            </w:pPr>
            <w:r>
              <w:rPr>
                <w:rFonts w:hint="eastAsia" w:ascii="宋体" w:hAnsi="宋体" w:eastAsia="宋体" w:cs="宋体"/>
                <w:sz w:val="28"/>
                <w:szCs w:val="28"/>
              </w:rPr>
              <w:t>145.0</w:t>
            </w:r>
          </w:p>
        </w:tc>
        <w:tc>
          <w:tcPr>
            <w:tcW w:w="1358" w:type="dxa"/>
            <w:tcBorders>
              <w:top w:val="single" w:color="000000" w:sz="4" w:space="0"/>
              <w:left w:val="single" w:color="000000" w:sz="4" w:space="0"/>
              <w:bottom w:val="single" w:color="000000" w:sz="4" w:space="0"/>
              <w:right w:val="nil"/>
            </w:tcBorders>
          </w:tcPr>
          <w:p>
            <w:pPr>
              <w:pStyle w:val="22"/>
              <w:spacing w:before="31"/>
              <w:ind w:left="116" w:right="93"/>
              <w:rPr>
                <w:rFonts w:hint="eastAsia" w:ascii="宋体" w:hAnsi="宋体" w:eastAsia="宋体" w:cs="宋体"/>
                <w:sz w:val="28"/>
                <w:szCs w:val="28"/>
              </w:rPr>
            </w:pPr>
            <w:r>
              <w:rPr>
                <w:rFonts w:hint="eastAsia" w:ascii="宋体" w:hAnsi="宋体" w:eastAsia="宋体" w:cs="宋体"/>
                <w:sz w:val="28"/>
                <w:szCs w:val="28"/>
              </w:rPr>
              <w:t>145.0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75" w:type="dxa"/>
            <w:tcBorders>
              <w:top w:val="single" w:color="000000" w:sz="4" w:space="0"/>
              <w:left w:val="nil"/>
              <w:bottom w:val="single" w:color="000000" w:sz="4" w:space="0"/>
              <w:right w:val="single" w:color="000000" w:sz="4" w:space="0"/>
            </w:tcBorders>
          </w:tcPr>
          <w:p>
            <w:pPr>
              <w:pStyle w:val="22"/>
              <w:spacing w:before="31"/>
              <w:ind w:left="271"/>
              <w:jc w:val="left"/>
              <w:rPr>
                <w:rFonts w:hint="eastAsia" w:ascii="宋体" w:hAnsi="宋体" w:eastAsia="宋体" w:cs="宋体"/>
                <w:sz w:val="28"/>
                <w:szCs w:val="28"/>
              </w:rPr>
            </w:pPr>
            <w:r>
              <w:rPr>
                <w:rFonts w:hint="eastAsia" w:ascii="宋体" w:hAnsi="宋体" w:eastAsia="宋体" w:cs="宋体"/>
                <w:position w:val="1"/>
                <w:sz w:val="28"/>
                <w:szCs w:val="28"/>
              </w:rPr>
              <w:t>②</w:t>
            </w:r>
            <w:r>
              <w:rPr>
                <w:rFonts w:hint="eastAsia" w:ascii="宋体" w:hAnsi="宋体" w:eastAsia="宋体" w:cs="宋体"/>
                <w:sz w:val="28"/>
                <w:szCs w:val="28"/>
              </w:rPr>
              <w:t>1</w:t>
            </w:r>
          </w:p>
        </w:tc>
        <w:tc>
          <w:tcPr>
            <w:tcW w:w="1875" w:type="dxa"/>
            <w:tcBorders>
              <w:top w:val="single" w:color="000000" w:sz="4" w:space="0"/>
              <w:left w:val="single" w:color="000000" w:sz="4" w:space="0"/>
              <w:bottom w:val="single" w:color="000000" w:sz="4" w:space="0"/>
              <w:right w:val="single" w:color="000000" w:sz="4" w:space="0"/>
            </w:tcBorders>
          </w:tcPr>
          <w:p>
            <w:pPr>
              <w:pStyle w:val="22"/>
              <w:spacing w:before="31"/>
              <w:ind w:left="157" w:right="128"/>
              <w:rPr>
                <w:rFonts w:hint="eastAsia" w:ascii="宋体" w:hAnsi="宋体" w:eastAsia="宋体" w:cs="宋体"/>
                <w:sz w:val="28"/>
                <w:szCs w:val="28"/>
              </w:rPr>
            </w:pPr>
            <w:r>
              <w:rPr>
                <w:rFonts w:hint="eastAsia" w:ascii="宋体" w:hAnsi="宋体" w:eastAsia="宋体" w:cs="宋体"/>
                <w:sz w:val="28"/>
                <w:szCs w:val="28"/>
              </w:rPr>
              <w:t>粉质粘土(软塑)</w:t>
            </w:r>
          </w:p>
        </w:tc>
        <w:tc>
          <w:tcPr>
            <w:tcW w:w="1817" w:type="dxa"/>
            <w:tcBorders>
              <w:top w:val="single" w:color="000000" w:sz="4" w:space="0"/>
              <w:left w:val="single" w:color="000000" w:sz="4" w:space="0"/>
              <w:bottom w:val="single" w:color="000000" w:sz="4" w:space="0"/>
              <w:right w:val="single" w:color="000000" w:sz="4" w:space="0"/>
            </w:tcBorders>
          </w:tcPr>
          <w:p>
            <w:pPr>
              <w:pStyle w:val="22"/>
              <w:spacing w:before="31"/>
              <w:ind w:left="127" w:right="96"/>
              <w:rPr>
                <w:rFonts w:hint="eastAsia" w:ascii="宋体" w:hAnsi="宋体" w:eastAsia="宋体" w:cs="宋体"/>
                <w:sz w:val="28"/>
                <w:szCs w:val="28"/>
              </w:rPr>
            </w:pPr>
            <w:r>
              <w:rPr>
                <w:rFonts w:hint="eastAsia" w:ascii="宋体" w:hAnsi="宋体" w:eastAsia="宋体" w:cs="宋体"/>
                <w:sz w:val="28"/>
                <w:szCs w:val="28"/>
              </w:rPr>
              <w:t>126.7</w:t>
            </w:r>
          </w:p>
        </w:tc>
        <w:tc>
          <w:tcPr>
            <w:tcW w:w="1359" w:type="dxa"/>
            <w:tcBorders>
              <w:top w:val="single" w:color="000000" w:sz="4" w:space="0"/>
              <w:left w:val="single" w:color="000000" w:sz="4" w:space="0"/>
              <w:bottom w:val="single" w:color="000000" w:sz="4" w:space="0"/>
              <w:right w:val="single" w:color="000000" w:sz="4" w:space="0"/>
            </w:tcBorders>
          </w:tcPr>
          <w:p>
            <w:pPr>
              <w:pStyle w:val="22"/>
              <w:spacing w:before="31"/>
              <w:ind w:left="117" w:right="89"/>
              <w:rPr>
                <w:rFonts w:hint="eastAsia" w:ascii="宋体" w:hAnsi="宋体" w:eastAsia="宋体" w:cs="宋体"/>
                <w:sz w:val="28"/>
                <w:szCs w:val="28"/>
              </w:rPr>
            </w:pPr>
            <w:r>
              <w:rPr>
                <w:rFonts w:hint="eastAsia" w:ascii="宋体" w:hAnsi="宋体" w:eastAsia="宋体" w:cs="宋体"/>
                <w:sz w:val="28"/>
                <w:szCs w:val="28"/>
              </w:rPr>
              <w:t>111.0</w:t>
            </w:r>
          </w:p>
        </w:tc>
        <w:tc>
          <w:tcPr>
            <w:tcW w:w="1359" w:type="dxa"/>
            <w:tcBorders>
              <w:top w:val="single" w:color="000000" w:sz="4" w:space="0"/>
              <w:left w:val="single" w:color="000000" w:sz="4" w:space="0"/>
              <w:bottom w:val="single" w:color="000000" w:sz="4" w:space="0"/>
              <w:right w:val="single" w:color="000000" w:sz="4" w:space="0"/>
            </w:tcBorders>
          </w:tcPr>
          <w:p>
            <w:pPr>
              <w:pStyle w:val="22"/>
              <w:spacing w:before="31"/>
              <w:ind w:left="116" w:right="89"/>
              <w:rPr>
                <w:rFonts w:hint="eastAsia" w:ascii="宋体" w:hAnsi="宋体" w:eastAsia="宋体" w:cs="宋体"/>
                <w:sz w:val="28"/>
                <w:szCs w:val="28"/>
              </w:rPr>
            </w:pPr>
            <w:r>
              <w:rPr>
                <w:rFonts w:hint="eastAsia" w:ascii="宋体" w:hAnsi="宋体" w:eastAsia="宋体" w:cs="宋体"/>
                <w:sz w:val="28"/>
                <w:szCs w:val="28"/>
              </w:rPr>
              <w:t>110.0</w:t>
            </w:r>
          </w:p>
        </w:tc>
        <w:tc>
          <w:tcPr>
            <w:tcW w:w="1358" w:type="dxa"/>
            <w:tcBorders>
              <w:top w:val="single" w:color="000000" w:sz="4" w:space="0"/>
              <w:left w:val="single" w:color="000000" w:sz="4" w:space="0"/>
              <w:bottom w:val="single" w:color="000000" w:sz="4" w:space="0"/>
              <w:right w:val="nil"/>
            </w:tcBorders>
          </w:tcPr>
          <w:p>
            <w:pPr>
              <w:pStyle w:val="22"/>
              <w:spacing w:before="31"/>
              <w:ind w:left="116" w:right="93"/>
              <w:rPr>
                <w:rFonts w:hint="eastAsia" w:ascii="宋体" w:hAnsi="宋体" w:eastAsia="宋体" w:cs="宋体"/>
                <w:sz w:val="28"/>
                <w:szCs w:val="28"/>
              </w:rPr>
            </w:pPr>
            <w:r>
              <w:rPr>
                <w:rFonts w:hint="eastAsia" w:ascii="宋体" w:hAnsi="宋体" w:eastAsia="宋体" w:cs="宋体"/>
                <w:sz w:val="28"/>
                <w:szCs w:val="28"/>
              </w:rPr>
              <w:t>110.0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75" w:type="dxa"/>
            <w:tcBorders>
              <w:top w:val="single" w:color="000000" w:sz="4" w:space="0"/>
              <w:left w:val="nil"/>
              <w:bottom w:val="single" w:color="000000" w:sz="4" w:space="0"/>
              <w:right w:val="single" w:color="000000" w:sz="4" w:space="0"/>
            </w:tcBorders>
          </w:tcPr>
          <w:p>
            <w:pPr>
              <w:pStyle w:val="22"/>
              <w:spacing w:before="31"/>
              <w:ind w:left="271"/>
              <w:jc w:val="left"/>
              <w:rPr>
                <w:rFonts w:hint="eastAsia" w:ascii="宋体" w:hAnsi="宋体" w:eastAsia="宋体" w:cs="宋体"/>
                <w:sz w:val="28"/>
                <w:szCs w:val="28"/>
              </w:rPr>
            </w:pPr>
            <w:r>
              <w:rPr>
                <w:rFonts w:hint="eastAsia" w:ascii="宋体" w:hAnsi="宋体" w:eastAsia="宋体" w:cs="宋体"/>
                <w:position w:val="1"/>
                <w:sz w:val="28"/>
                <w:szCs w:val="28"/>
              </w:rPr>
              <w:t>②</w:t>
            </w:r>
            <w:r>
              <w:rPr>
                <w:rFonts w:hint="eastAsia" w:ascii="宋体" w:hAnsi="宋体" w:eastAsia="宋体" w:cs="宋体"/>
                <w:sz w:val="28"/>
                <w:szCs w:val="28"/>
              </w:rPr>
              <w:t>2</w:t>
            </w:r>
          </w:p>
        </w:tc>
        <w:tc>
          <w:tcPr>
            <w:tcW w:w="1875" w:type="dxa"/>
            <w:tcBorders>
              <w:top w:val="single" w:color="000000" w:sz="4" w:space="0"/>
              <w:left w:val="single" w:color="000000" w:sz="4" w:space="0"/>
              <w:bottom w:val="single" w:color="000000" w:sz="4" w:space="0"/>
              <w:right w:val="single" w:color="000000" w:sz="4" w:space="0"/>
            </w:tcBorders>
          </w:tcPr>
          <w:p>
            <w:pPr>
              <w:pStyle w:val="22"/>
              <w:spacing w:before="32"/>
              <w:ind w:left="157" w:right="128"/>
              <w:rPr>
                <w:rFonts w:hint="eastAsia" w:ascii="宋体" w:hAnsi="宋体" w:eastAsia="宋体" w:cs="宋体"/>
                <w:sz w:val="28"/>
                <w:szCs w:val="28"/>
              </w:rPr>
            </w:pPr>
            <w:r>
              <w:rPr>
                <w:rFonts w:hint="eastAsia" w:ascii="宋体" w:hAnsi="宋体" w:eastAsia="宋体" w:cs="宋体"/>
                <w:sz w:val="28"/>
                <w:szCs w:val="28"/>
              </w:rPr>
              <w:t>粉砂(松散)</w:t>
            </w:r>
          </w:p>
        </w:tc>
        <w:tc>
          <w:tcPr>
            <w:tcW w:w="1817" w:type="dxa"/>
            <w:tcBorders>
              <w:top w:val="single" w:color="000000" w:sz="4" w:space="0"/>
              <w:left w:val="single" w:color="000000" w:sz="4" w:space="0"/>
              <w:bottom w:val="single" w:color="000000" w:sz="4" w:space="0"/>
              <w:right w:val="single" w:color="000000" w:sz="4" w:space="0"/>
            </w:tcBorders>
          </w:tcPr>
          <w:p>
            <w:pPr>
              <w:pStyle w:val="22"/>
              <w:spacing w:before="32"/>
              <w:ind w:left="125" w:right="99"/>
              <w:rPr>
                <w:rFonts w:hint="eastAsia" w:ascii="宋体" w:hAnsi="宋体" w:eastAsia="宋体" w:cs="宋体"/>
                <w:sz w:val="28"/>
                <w:szCs w:val="28"/>
              </w:rPr>
            </w:pPr>
            <w:r>
              <w:rPr>
                <w:rFonts w:hint="eastAsia" w:ascii="宋体" w:hAnsi="宋体" w:eastAsia="宋体" w:cs="宋体"/>
                <w:sz w:val="28"/>
                <w:szCs w:val="28"/>
              </w:rPr>
              <w:t>--</w:t>
            </w:r>
          </w:p>
        </w:tc>
        <w:tc>
          <w:tcPr>
            <w:tcW w:w="1359" w:type="dxa"/>
            <w:tcBorders>
              <w:top w:val="single" w:color="000000" w:sz="4" w:space="0"/>
              <w:left w:val="single" w:color="000000" w:sz="4" w:space="0"/>
              <w:bottom w:val="single" w:color="000000" w:sz="4" w:space="0"/>
              <w:right w:val="single" w:color="000000" w:sz="4" w:space="0"/>
            </w:tcBorders>
          </w:tcPr>
          <w:p>
            <w:pPr>
              <w:pStyle w:val="22"/>
              <w:spacing w:before="32"/>
              <w:ind w:left="117" w:right="89"/>
              <w:rPr>
                <w:rFonts w:hint="eastAsia" w:ascii="宋体" w:hAnsi="宋体" w:eastAsia="宋体" w:cs="宋体"/>
                <w:sz w:val="28"/>
                <w:szCs w:val="28"/>
              </w:rPr>
            </w:pPr>
            <w:r>
              <w:rPr>
                <w:rFonts w:hint="eastAsia" w:ascii="宋体" w:hAnsi="宋体" w:eastAsia="宋体" w:cs="宋体"/>
                <w:sz w:val="28"/>
                <w:szCs w:val="28"/>
              </w:rPr>
              <w:t>＜140.0</w:t>
            </w:r>
          </w:p>
        </w:tc>
        <w:tc>
          <w:tcPr>
            <w:tcW w:w="1359" w:type="dxa"/>
            <w:tcBorders>
              <w:top w:val="single" w:color="000000" w:sz="4" w:space="0"/>
              <w:left w:val="single" w:color="000000" w:sz="4" w:space="0"/>
              <w:bottom w:val="single" w:color="000000" w:sz="4" w:space="0"/>
              <w:right w:val="single" w:color="000000" w:sz="4" w:space="0"/>
            </w:tcBorders>
          </w:tcPr>
          <w:p>
            <w:pPr>
              <w:pStyle w:val="22"/>
              <w:spacing w:before="32"/>
              <w:ind w:left="116" w:right="89"/>
              <w:rPr>
                <w:rFonts w:hint="eastAsia" w:ascii="宋体" w:hAnsi="宋体" w:eastAsia="宋体" w:cs="宋体"/>
                <w:sz w:val="28"/>
                <w:szCs w:val="28"/>
              </w:rPr>
            </w:pPr>
            <w:r>
              <w:rPr>
                <w:rFonts w:hint="eastAsia" w:ascii="宋体" w:hAnsi="宋体" w:eastAsia="宋体" w:cs="宋体"/>
                <w:sz w:val="28"/>
                <w:szCs w:val="28"/>
              </w:rPr>
              <w:t>100.0</w:t>
            </w:r>
          </w:p>
        </w:tc>
        <w:tc>
          <w:tcPr>
            <w:tcW w:w="1358" w:type="dxa"/>
            <w:tcBorders>
              <w:top w:val="single" w:color="000000" w:sz="4" w:space="0"/>
              <w:left w:val="single" w:color="000000" w:sz="4" w:space="0"/>
              <w:bottom w:val="single" w:color="000000" w:sz="4" w:space="0"/>
              <w:right w:val="nil"/>
            </w:tcBorders>
          </w:tcPr>
          <w:p>
            <w:pPr>
              <w:pStyle w:val="22"/>
              <w:spacing w:before="32"/>
              <w:ind w:left="116" w:right="93"/>
              <w:rPr>
                <w:rFonts w:hint="eastAsia" w:ascii="宋体" w:hAnsi="宋体" w:eastAsia="宋体" w:cs="宋体"/>
                <w:sz w:val="28"/>
                <w:szCs w:val="28"/>
              </w:rPr>
            </w:pPr>
            <w:r>
              <w:rPr>
                <w:rFonts w:hint="eastAsia" w:ascii="宋体" w:hAnsi="宋体" w:eastAsia="宋体" w:cs="宋体"/>
                <w:sz w:val="28"/>
                <w:szCs w:val="28"/>
              </w:rPr>
              <w:t>100.0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75" w:type="dxa"/>
            <w:tcBorders>
              <w:top w:val="single" w:color="000000" w:sz="4" w:space="0"/>
              <w:left w:val="nil"/>
              <w:bottom w:val="single" w:color="000000" w:sz="4" w:space="0"/>
              <w:right w:val="single" w:color="000000" w:sz="4" w:space="0"/>
            </w:tcBorders>
          </w:tcPr>
          <w:p>
            <w:pPr>
              <w:pStyle w:val="22"/>
              <w:spacing w:before="31"/>
              <w:ind w:left="297"/>
              <w:jc w:val="left"/>
              <w:rPr>
                <w:rFonts w:hint="eastAsia" w:ascii="宋体" w:hAnsi="宋体" w:eastAsia="宋体" w:cs="宋体"/>
                <w:sz w:val="28"/>
                <w:szCs w:val="28"/>
              </w:rPr>
            </w:pPr>
            <w:r>
              <w:rPr>
                <w:rFonts w:hint="eastAsia" w:ascii="宋体" w:hAnsi="宋体" w:eastAsia="宋体" w:cs="宋体"/>
                <w:w w:val="100"/>
                <w:sz w:val="28"/>
                <w:szCs w:val="28"/>
              </w:rPr>
              <w:t>③</w:t>
            </w:r>
          </w:p>
        </w:tc>
        <w:tc>
          <w:tcPr>
            <w:tcW w:w="1875" w:type="dxa"/>
            <w:tcBorders>
              <w:top w:val="single" w:color="000000" w:sz="4" w:space="0"/>
              <w:left w:val="single" w:color="000000" w:sz="4" w:space="0"/>
              <w:bottom w:val="single" w:color="000000" w:sz="4" w:space="0"/>
              <w:right w:val="single" w:color="000000" w:sz="4" w:space="0"/>
            </w:tcBorders>
          </w:tcPr>
          <w:p>
            <w:pPr>
              <w:pStyle w:val="22"/>
              <w:spacing w:before="31"/>
              <w:ind w:left="157" w:right="128"/>
              <w:rPr>
                <w:rFonts w:hint="eastAsia" w:ascii="宋体" w:hAnsi="宋体" w:eastAsia="宋体" w:cs="宋体"/>
                <w:sz w:val="28"/>
                <w:szCs w:val="28"/>
              </w:rPr>
            </w:pPr>
            <w:r>
              <w:rPr>
                <w:rFonts w:hint="eastAsia" w:ascii="宋体" w:hAnsi="宋体" w:eastAsia="宋体" w:cs="宋体"/>
                <w:sz w:val="28"/>
                <w:szCs w:val="28"/>
              </w:rPr>
              <w:t>粉砂(稍密)</w:t>
            </w:r>
          </w:p>
        </w:tc>
        <w:tc>
          <w:tcPr>
            <w:tcW w:w="1817" w:type="dxa"/>
            <w:tcBorders>
              <w:top w:val="single" w:color="000000" w:sz="4" w:space="0"/>
              <w:left w:val="single" w:color="000000" w:sz="4" w:space="0"/>
              <w:bottom w:val="single" w:color="000000" w:sz="4" w:space="0"/>
              <w:right w:val="single" w:color="000000" w:sz="4" w:space="0"/>
            </w:tcBorders>
          </w:tcPr>
          <w:p>
            <w:pPr>
              <w:pStyle w:val="22"/>
              <w:spacing w:before="31"/>
              <w:ind w:left="125" w:right="99"/>
              <w:rPr>
                <w:rFonts w:hint="eastAsia" w:ascii="宋体" w:hAnsi="宋体" w:eastAsia="宋体" w:cs="宋体"/>
                <w:sz w:val="28"/>
                <w:szCs w:val="28"/>
              </w:rPr>
            </w:pPr>
            <w:r>
              <w:rPr>
                <w:rFonts w:hint="eastAsia" w:ascii="宋体" w:hAnsi="宋体" w:eastAsia="宋体" w:cs="宋体"/>
                <w:sz w:val="28"/>
                <w:szCs w:val="28"/>
              </w:rPr>
              <w:t>--</w:t>
            </w:r>
          </w:p>
        </w:tc>
        <w:tc>
          <w:tcPr>
            <w:tcW w:w="1359" w:type="dxa"/>
            <w:tcBorders>
              <w:top w:val="single" w:color="000000" w:sz="4" w:space="0"/>
              <w:left w:val="single" w:color="000000" w:sz="4" w:space="0"/>
              <w:bottom w:val="single" w:color="000000" w:sz="4" w:space="0"/>
              <w:right w:val="single" w:color="000000" w:sz="4" w:space="0"/>
            </w:tcBorders>
          </w:tcPr>
          <w:p>
            <w:pPr>
              <w:pStyle w:val="22"/>
              <w:spacing w:before="31"/>
              <w:ind w:left="117" w:right="89"/>
              <w:rPr>
                <w:rFonts w:hint="eastAsia" w:ascii="宋体" w:hAnsi="宋体" w:eastAsia="宋体" w:cs="宋体"/>
                <w:sz w:val="28"/>
                <w:szCs w:val="28"/>
              </w:rPr>
            </w:pPr>
            <w:r>
              <w:rPr>
                <w:rFonts w:hint="eastAsia" w:ascii="宋体" w:hAnsi="宋体" w:eastAsia="宋体" w:cs="宋体"/>
                <w:sz w:val="28"/>
                <w:szCs w:val="28"/>
              </w:rPr>
              <w:t>＜140.0</w:t>
            </w:r>
          </w:p>
        </w:tc>
        <w:tc>
          <w:tcPr>
            <w:tcW w:w="1359" w:type="dxa"/>
            <w:tcBorders>
              <w:top w:val="single" w:color="000000" w:sz="4" w:space="0"/>
              <w:left w:val="single" w:color="000000" w:sz="4" w:space="0"/>
              <w:bottom w:val="single" w:color="000000" w:sz="4" w:space="0"/>
              <w:right w:val="single" w:color="000000" w:sz="4" w:space="0"/>
            </w:tcBorders>
          </w:tcPr>
          <w:p>
            <w:pPr>
              <w:pStyle w:val="22"/>
              <w:spacing w:before="31"/>
              <w:ind w:left="116" w:right="89"/>
              <w:rPr>
                <w:rFonts w:hint="eastAsia" w:ascii="宋体" w:hAnsi="宋体" w:eastAsia="宋体" w:cs="宋体"/>
                <w:sz w:val="28"/>
                <w:szCs w:val="28"/>
              </w:rPr>
            </w:pPr>
            <w:r>
              <w:rPr>
                <w:rFonts w:hint="eastAsia" w:ascii="宋体" w:hAnsi="宋体" w:eastAsia="宋体" w:cs="宋体"/>
                <w:sz w:val="28"/>
                <w:szCs w:val="28"/>
              </w:rPr>
              <w:t>120.0</w:t>
            </w:r>
          </w:p>
        </w:tc>
        <w:tc>
          <w:tcPr>
            <w:tcW w:w="1358" w:type="dxa"/>
            <w:tcBorders>
              <w:top w:val="single" w:color="000000" w:sz="4" w:space="0"/>
              <w:left w:val="single" w:color="000000" w:sz="4" w:space="0"/>
              <w:bottom w:val="single" w:color="000000" w:sz="4" w:space="0"/>
              <w:right w:val="nil"/>
            </w:tcBorders>
          </w:tcPr>
          <w:p>
            <w:pPr>
              <w:pStyle w:val="22"/>
              <w:spacing w:before="31"/>
              <w:ind w:left="116" w:right="93"/>
              <w:rPr>
                <w:rFonts w:hint="eastAsia" w:ascii="宋体" w:hAnsi="宋体" w:eastAsia="宋体" w:cs="宋体"/>
                <w:sz w:val="28"/>
                <w:szCs w:val="28"/>
              </w:rPr>
            </w:pPr>
            <w:r>
              <w:rPr>
                <w:rFonts w:hint="eastAsia" w:ascii="宋体" w:hAnsi="宋体" w:eastAsia="宋体" w:cs="宋体"/>
                <w:sz w:val="28"/>
                <w:szCs w:val="28"/>
              </w:rPr>
              <w:t>120.0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775" w:type="dxa"/>
            <w:tcBorders>
              <w:top w:val="single" w:color="000000" w:sz="4" w:space="0"/>
              <w:left w:val="nil"/>
              <w:right w:val="single" w:color="000000" w:sz="4" w:space="0"/>
            </w:tcBorders>
          </w:tcPr>
          <w:p>
            <w:pPr>
              <w:pStyle w:val="22"/>
              <w:spacing w:before="29"/>
              <w:ind w:left="297"/>
              <w:jc w:val="left"/>
              <w:rPr>
                <w:rFonts w:hint="eastAsia" w:ascii="宋体" w:hAnsi="宋体" w:eastAsia="宋体" w:cs="宋体"/>
                <w:sz w:val="28"/>
                <w:szCs w:val="28"/>
              </w:rPr>
            </w:pPr>
            <w:r>
              <w:rPr>
                <w:rFonts w:hint="eastAsia" w:ascii="宋体" w:hAnsi="宋体" w:eastAsia="宋体" w:cs="宋体"/>
                <w:w w:val="100"/>
                <w:sz w:val="28"/>
                <w:szCs w:val="28"/>
              </w:rPr>
              <w:t>④</w:t>
            </w:r>
          </w:p>
        </w:tc>
        <w:tc>
          <w:tcPr>
            <w:tcW w:w="1875" w:type="dxa"/>
            <w:tcBorders>
              <w:top w:val="single" w:color="000000" w:sz="4" w:space="0"/>
              <w:left w:val="single" w:color="000000" w:sz="4" w:space="0"/>
              <w:right w:val="single" w:color="000000" w:sz="4" w:space="0"/>
            </w:tcBorders>
          </w:tcPr>
          <w:p>
            <w:pPr>
              <w:pStyle w:val="22"/>
              <w:spacing w:before="29"/>
              <w:ind w:left="157" w:right="128"/>
              <w:rPr>
                <w:rFonts w:hint="eastAsia" w:ascii="宋体" w:hAnsi="宋体" w:eastAsia="宋体" w:cs="宋体"/>
                <w:sz w:val="28"/>
                <w:szCs w:val="28"/>
              </w:rPr>
            </w:pPr>
            <w:r>
              <w:rPr>
                <w:rFonts w:hint="eastAsia" w:ascii="宋体" w:hAnsi="宋体" w:eastAsia="宋体" w:cs="宋体"/>
                <w:sz w:val="28"/>
                <w:szCs w:val="28"/>
              </w:rPr>
              <w:t>粉质粘土(硬塑)</w:t>
            </w:r>
          </w:p>
        </w:tc>
        <w:tc>
          <w:tcPr>
            <w:tcW w:w="1817" w:type="dxa"/>
            <w:tcBorders>
              <w:top w:val="single" w:color="000000" w:sz="4" w:space="0"/>
              <w:left w:val="single" w:color="000000" w:sz="4" w:space="0"/>
              <w:right w:val="single" w:color="000000" w:sz="4" w:space="0"/>
            </w:tcBorders>
          </w:tcPr>
          <w:p>
            <w:pPr>
              <w:pStyle w:val="22"/>
              <w:spacing w:before="29"/>
              <w:ind w:left="127" w:right="96"/>
              <w:rPr>
                <w:rFonts w:hint="eastAsia" w:ascii="宋体" w:hAnsi="宋体" w:eastAsia="宋体" w:cs="宋体"/>
                <w:sz w:val="28"/>
                <w:szCs w:val="28"/>
              </w:rPr>
            </w:pPr>
            <w:r>
              <w:rPr>
                <w:rFonts w:hint="eastAsia" w:ascii="宋体" w:hAnsi="宋体" w:eastAsia="宋体" w:cs="宋体"/>
                <w:sz w:val="28"/>
                <w:szCs w:val="28"/>
              </w:rPr>
              <w:t>224.3</w:t>
            </w:r>
          </w:p>
        </w:tc>
        <w:tc>
          <w:tcPr>
            <w:tcW w:w="1359" w:type="dxa"/>
            <w:tcBorders>
              <w:top w:val="single" w:color="000000" w:sz="4" w:space="0"/>
              <w:left w:val="single" w:color="000000" w:sz="4" w:space="0"/>
              <w:right w:val="single" w:color="000000" w:sz="4" w:space="0"/>
            </w:tcBorders>
          </w:tcPr>
          <w:p>
            <w:pPr>
              <w:pStyle w:val="22"/>
              <w:spacing w:before="29"/>
              <w:ind w:left="117" w:right="89"/>
              <w:rPr>
                <w:rFonts w:hint="eastAsia" w:ascii="宋体" w:hAnsi="宋体" w:eastAsia="宋体" w:cs="宋体"/>
                <w:sz w:val="28"/>
                <w:szCs w:val="28"/>
              </w:rPr>
            </w:pPr>
            <w:r>
              <w:rPr>
                <w:rFonts w:hint="eastAsia" w:ascii="宋体" w:hAnsi="宋体" w:eastAsia="宋体" w:cs="宋体"/>
                <w:sz w:val="28"/>
                <w:szCs w:val="28"/>
              </w:rPr>
              <w:t>313.0</w:t>
            </w:r>
          </w:p>
        </w:tc>
        <w:tc>
          <w:tcPr>
            <w:tcW w:w="1359" w:type="dxa"/>
            <w:tcBorders>
              <w:top w:val="single" w:color="000000" w:sz="4" w:space="0"/>
              <w:left w:val="single" w:color="000000" w:sz="4" w:space="0"/>
              <w:right w:val="single" w:color="000000" w:sz="4" w:space="0"/>
            </w:tcBorders>
          </w:tcPr>
          <w:p>
            <w:pPr>
              <w:pStyle w:val="22"/>
              <w:spacing w:before="29"/>
              <w:ind w:left="116" w:right="89"/>
              <w:rPr>
                <w:rFonts w:hint="eastAsia" w:ascii="宋体" w:hAnsi="宋体" w:eastAsia="宋体" w:cs="宋体"/>
                <w:sz w:val="28"/>
                <w:szCs w:val="28"/>
              </w:rPr>
            </w:pPr>
            <w:r>
              <w:rPr>
                <w:rFonts w:hint="eastAsia" w:ascii="宋体" w:hAnsi="宋体" w:eastAsia="宋体" w:cs="宋体"/>
                <w:sz w:val="28"/>
                <w:szCs w:val="28"/>
              </w:rPr>
              <w:t>210.0</w:t>
            </w:r>
          </w:p>
        </w:tc>
        <w:tc>
          <w:tcPr>
            <w:tcW w:w="1358" w:type="dxa"/>
            <w:tcBorders>
              <w:top w:val="single" w:color="000000" w:sz="4" w:space="0"/>
              <w:left w:val="single" w:color="000000" w:sz="4" w:space="0"/>
              <w:right w:val="nil"/>
            </w:tcBorders>
          </w:tcPr>
          <w:p>
            <w:pPr>
              <w:pStyle w:val="22"/>
              <w:spacing w:before="29"/>
              <w:ind w:left="116" w:right="93"/>
              <w:rPr>
                <w:rFonts w:hint="eastAsia" w:ascii="宋体" w:hAnsi="宋体" w:eastAsia="宋体" w:cs="宋体"/>
                <w:sz w:val="28"/>
                <w:szCs w:val="28"/>
              </w:rPr>
            </w:pPr>
            <w:r>
              <w:rPr>
                <w:rFonts w:hint="eastAsia" w:ascii="宋体" w:hAnsi="宋体" w:eastAsia="宋体" w:cs="宋体"/>
                <w:sz w:val="28"/>
                <w:szCs w:val="28"/>
              </w:rPr>
              <w:t>210.0</w:t>
            </w:r>
          </w:p>
        </w:tc>
      </w:tr>
    </w:tbl>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4.2.4.4地下水的补给、径流和排泄条件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地质环境决定了地下水的补给、径流、排泄规律。而其补给、径流和排泄构成了含水层地下水流系统的形成条件。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（1）地下水补给</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1）大气降雨补给</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从区域主要含水层分布可以看出，含水层的补给主要地表水补给和降雨垂向补给上部第四系孔隙潜水含水层，潜水通过透水层越流补给下部的明水组含水层。</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2)地表水体的入渗补给</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项目区内分布的湖泡水的入渗水量构成了第四系潜水补给的主要来源。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3）侧向补给</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天然条件下，主要来自区域以外广泛连续分布的同一含水层中的地下水，地下水在水动力驱动下，通过水平方向径流补给区域内地下水，根据水文地质分布特征，项目区地下水侧向主要接受东北向西南方向都有一定量的地下水侧向补给。</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地下水径流规律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区内地下水的径流方向在不同层位有所不同。上部潜水含水层主要由粉细砂组成，颗粒较细，分布不连续，透水性较差，且受地形影响，地下水径流滞缓，项目区范围内地下水流向不明显，区域上总体流向随地势由东北向西南流。而承压含水层是该区供水的主要来源，地下水开采量较大而且相对集中，区域水位下降较大，由于人工流场的形成，改变了地下水的天然径流状态，地下水位是东北高西南低，地下水的径流方向则为北东向西南。</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地下水排泄</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在人为活动影响条件下，项目区地下水的排泄主要有三种类型，即蒸发排泄、侧向径流排泄、人工开采。</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1）潜水蒸发排泄</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该区属干旱、半干旱季风气候区，区内水面和沼泽湿地较为发育，由于气候干燥， 尤其是在多风少雨的春末初夏，降水量小 220mm，蒸发强度大（1100-1600mm），因此蒸发是潜水的主要排泄方式。</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2）侧向径流排泄</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地下水通过同一含水层向区域西南部径流流出区域。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3）人工开采</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区域是地下水人工开采主要地区。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4.2.5    土壤、植被及动物情况</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评价区地处松嫩平原，土壤种类主要有黑钙土、草甸土、盐土和碱土。黑钙土为主要土类，分为碳酸盐草甸黑钙土和碳酸盐黑钙土。成土母质主要是第四纪沉积物，成土过程主要有腐殖质积累和钙质聚积，附加上草甸化过程。黑土层厚度一般为 20～40cm， 下层有明显的钙积层和石灰反应。有机质含量为 2.14～2.17%，全氮含 0.13～0.18%，速效磷 5ppm～9.5ppm，潜在肥力较高，施肥见效快，适于种植多种作物。</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区域内植被呈复区镶嵌分布，植被稀疏，粮食单产较低。植物资源以草本植物为主体，草原天然植被属于“蒙古植物区系”。在植物方面，目前主要为天然牧草，低洼地范围内生长有芦苇、三棱草、蒲草等植被；在地势较高处草原植被较为茂盛繁杂，羊草、萎菱菜和针茅为优势种，伴生种有蒿属等植物，同时还分布有碱草、碱蒿等耐盐碱植。本工程开发区域内天然植被主要以沼泽植被为主，主要有小叶樟、塔头苔草、柳蒿、三棱草和在水泊中生长的水葱、香蒲、菱角、鸡头米、浮萍、水蓬花等。在沼泽的边缘靠近堤坝处，还生长有少量的沼柳。在河流、湖泡的边缘，以及城镇乡村的周边地区， 生长有盐爪爪、碱蓬、盐蒿、马蔺等耐盐碱的植被。区域内农作物主要为玉米、土豆、白菜及其它应季蔬菜等。</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(1)土壤</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黑钙土类是主要耕地土壤类型之一，成土母质为风积、冲积壤粘土。划分为平岗地碳酸盐黑钙土和碳酸盐草甸黑钙土两个土属。</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①碳酸盐黑钙土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主要分布在岗坡地和远离地表水体的平地上，pH 值多在 8.0-8.5 左右，有机质含量2-3%，全氮 0.1-0.2%，全磷 0.03-0.08%。碳酸盐黑钙土的土体构造基本有三个层次，黑土层（厚度因地形而异），碳酸盐积聚层，母质层（多为黄土状粘土）。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②碳酸盐草甸黑钙土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主要分布在平地和平缓坡地上，有机质含量 1.2-1.55%，全氮含量 0.11%左右，全磷含量 0.05-0.07%，总盐量在 0.04-0.08%左右。碳酸盐草甸黑钙土养分含量较高，属于盐渍化土壤。</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黑钙土的植被，大部分为农田，草原植被茂盛繁杂，以羊草，和针茅为优势种，伴生种有地榆、萎菱菜属、胡枝子和蒿属等植物。</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(2)植被</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区内自然植被以草本植物占绝对优势，主要为碱草、星星草、碱蓬、碱蒿等，覆盖度在 50~70%。农作物主要以玉米为主。</w:t>
      </w:r>
    </w:p>
    <w:p>
      <w:pPr>
        <w:keepNext w:val="0"/>
        <w:keepLines w:val="0"/>
        <w:widowControl/>
        <w:suppressLineNumbers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24"/>
          <w:szCs w:val="24"/>
          <w:highlight w:val="none"/>
          <w:lang w:val="en-US" w:eastAsia="zh-CN" w:bidi="ar"/>
        </w:rPr>
      </w:pPr>
      <w:r>
        <w:rPr>
          <w:rFonts w:hint="default" w:ascii="Times New Roman" w:hAnsi="Times New Roman" w:eastAsia="宋体" w:cs="Times New Roman"/>
          <w:b/>
          <w:bCs/>
          <w:snapToGrid/>
          <w:color w:val="auto"/>
          <w:kern w:val="0"/>
          <w:sz w:val="24"/>
          <w:szCs w:val="24"/>
          <w:highlight w:val="none"/>
          <w:lang w:val="en-US" w:eastAsia="zh-CN" w:bidi="ar"/>
        </w:rPr>
        <w:t xml:space="preserve">表 4.2- </w:t>
      </w:r>
      <w:r>
        <w:rPr>
          <w:rFonts w:hint="eastAsia" w:ascii="Times New Roman" w:hAnsi="Times New Roman" w:eastAsia="宋体" w:cs="Times New Roman"/>
          <w:b/>
          <w:bCs/>
          <w:snapToGrid/>
          <w:color w:val="auto"/>
          <w:kern w:val="0"/>
          <w:sz w:val="24"/>
          <w:szCs w:val="24"/>
          <w:highlight w:val="none"/>
          <w:lang w:val="en-US" w:eastAsia="zh-CN" w:bidi="ar"/>
        </w:rPr>
        <w:t>2</w:t>
      </w:r>
      <w:r>
        <w:rPr>
          <w:rFonts w:hint="default" w:ascii="Times New Roman" w:hAnsi="Times New Roman" w:eastAsia="宋体" w:cs="Times New Roman"/>
          <w:b/>
          <w:bCs/>
          <w:snapToGrid/>
          <w:color w:val="auto"/>
          <w:kern w:val="0"/>
          <w:sz w:val="24"/>
          <w:szCs w:val="24"/>
          <w:highlight w:val="none"/>
          <w:lang w:val="en-US" w:eastAsia="zh-CN" w:bidi="ar"/>
        </w:rPr>
        <w:t xml:space="preserve"> </w:t>
      </w:r>
      <w:r>
        <w:rPr>
          <w:rFonts w:hint="eastAsia" w:ascii="Times New Roman" w:hAnsi="Times New Roman" w:eastAsia="宋体" w:cs="Times New Roman"/>
          <w:b/>
          <w:bCs/>
          <w:snapToGrid/>
          <w:color w:val="auto"/>
          <w:kern w:val="0"/>
          <w:sz w:val="24"/>
          <w:szCs w:val="24"/>
          <w:highlight w:val="none"/>
          <w:lang w:val="en-US" w:eastAsia="zh-CN" w:bidi="ar"/>
        </w:rPr>
        <w:t>大庆</w:t>
      </w:r>
      <w:r>
        <w:rPr>
          <w:rFonts w:hint="default" w:ascii="Times New Roman" w:hAnsi="Times New Roman" w:eastAsia="宋体" w:cs="Times New Roman"/>
          <w:b/>
          <w:bCs/>
          <w:snapToGrid/>
          <w:color w:val="auto"/>
          <w:kern w:val="0"/>
          <w:sz w:val="24"/>
          <w:szCs w:val="24"/>
          <w:highlight w:val="none"/>
          <w:lang w:val="en-US" w:eastAsia="zh-CN" w:bidi="ar"/>
        </w:rPr>
        <w:t>市主要植被类型及其特征</w:t>
      </w:r>
    </w:p>
    <w:p>
      <w:pPr>
        <w:spacing w:line="147" w:lineRule="exact"/>
        <w:rPr>
          <w:highlight w:val="none"/>
        </w:rPr>
      </w:pPr>
    </w:p>
    <w:tbl>
      <w:tblPr>
        <w:tblStyle w:val="20"/>
        <w:tblW w:w="9288" w:type="dxa"/>
        <w:tblInd w:w="10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66"/>
        <w:gridCol w:w="2401"/>
        <w:gridCol w:w="2712"/>
        <w:gridCol w:w="320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植被类型</w:t>
            </w:r>
          </w:p>
        </w:tc>
        <w:tc>
          <w:tcPr>
            <w:tcW w:w="24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分布区域</w:t>
            </w:r>
          </w:p>
        </w:tc>
        <w:tc>
          <w:tcPr>
            <w:tcW w:w="27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主要群系</w:t>
            </w:r>
          </w:p>
        </w:tc>
        <w:tc>
          <w:tcPr>
            <w:tcW w:w="32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建群植物种</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40" w:hRule="atLeast"/>
        </w:trPr>
        <w:tc>
          <w:tcPr>
            <w:tcW w:w="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典型草原</w:t>
            </w:r>
          </w:p>
        </w:tc>
        <w:tc>
          <w:tcPr>
            <w:tcW w:w="24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地 区的梁峁沟坡</w:t>
            </w:r>
          </w:p>
        </w:tc>
        <w:tc>
          <w:tcPr>
            <w:tcW w:w="27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长芒草草原、百里香草原、冷蒿草 原、甘草草原、铁杆蒿草原等。</w:t>
            </w:r>
          </w:p>
        </w:tc>
        <w:tc>
          <w:tcPr>
            <w:tcW w:w="32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针茅属的长芒草、蒿属的铁杆蒿、</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冷蒿，百里香属的百里香，甘草属 的甘 草等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40" w:hRule="atLeast"/>
        </w:trPr>
        <w:tc>
          <w:tcPr>
            <w:tcW w:w="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落叶阔叶 灌丛</w:t>
            </w:r>
          </w:p>
        </w:tc>
        <w:tc>
          <w:tcPr>
            <w:tcW w:w="24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大部分灌木呈散生状态，  主要分布于沙区黄</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土梁地</w:t>
            </w:r>
          </w:p>
        </w:tc>
        <w:tc>
          <w:tcPr>
            <w:tcW w:w="27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黄蔷薇灌丛、柠条灌丛、沙棘灌丛、 沙樱桃灌丛等</w:t>
            </w:r>
          </w:p>
        </w:tc>
        <w:tc>
          <w:tcPr>
            <w:tcW w:w="32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黄蔷薇、柠条、沙棘、沙樱桃、黑 格兰、酸枣等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沙生植被</w:t>
            </w:r>
          </w:p>
        </w:tc>
        <w:tc>
          <w:tcPr>
            <w:tcW w:w="24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分布于长城以北的固定半 固定以及流动的沙丘和沙地</w:t>
            </w:r>
          </w:p>
        </w:tc>
        <w:tc>
          <w:tcPr>
            <w:tcW w:w="27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沙竹群系、 白沙蒿半灌丛、油蒿半 灌丛、臭柏灌丛、踏郎半灌丛</w:t>
            </w:r>
          </w:p>
        </w:tc>
        <w:tc>
          <w:tcPr>
            <w:tcW w:w="32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沙竹、 白沙蒿、油蒿、臭柏、踏郎、  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豆子等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草甸</w:t>
            </w:r>
          </w:p>
        </w:tc>
        <w:tc>
          <w:tcPr>
            <w:tcW w:w="240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主要分布在低湿的沙地和 滩地</w:t>
            </w:r>
          </w:p>
        </w:tc>
        <w:tc>
          <w:tcPr>
            <w:tcW w:w="27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寸草苔草甸、芨芨草草甸等</w:t>
            </w:r>
          </w:p>
        </w:tc>
        <w:tc>
          <w:tcPr>
            <w:tcW w:w="32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napToGrid/>
                <w:color w:val="auto"/>
                <w:kern w:val="2"/>
                <w:sz w:val="24"/>
                <w:szCs w:val="24"/>
                <w:highlight w:val="none"/>
                <w:vertAlign w:val="baseline"/>
                <w:lang w:val="en-US" w:eastAsia="zh-CN" w:bidi="ar-SA"/>
              </w:rPr>
            </w:pPr>
            <w:r>
              <w:rPr>
                <w:rFonts w:hint="default" w:ascii="Times New Roman" w:hAnsi="Times New Roman" w:cs="Times New Roman" w:eastAsiaTheme="minorEastAsia"/>
                <w:snapToGrid/>
                <w:color w:val="auto"/>
                <w:kern w:val="2"/>
                <w:sz w:val="24"/>
                <w:szCs w:val="24"/>
                <w:highlight w:val="none"/>
                <w:vertAlign w:val="baseline"/>
                <w:lang w:val="en-US" w:eastAsia="zh-CN" w:bidi="ar-SA"/>
              </w:rPr>
              <w:t>寸草苔、芨芨草等</w:t>
            </w:r>
          </w:p>
        </w:tc>
      </w:tr>
    </w:tbl>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 动物</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区域内野生动物种类和数量均较少， 伴随人类生存的农田小型鼠类、麻雀、 家燕等种群数量较多， 使陆生动物区系具有典型的农田动物群色彩。</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48" w:name="_Toc2441"/>
      <w:r>
        <w:rPr>
          <w:rFonts w:hint="default" w:ascii="Times New Roman" w:hAnsi="Times New Roman" w:eastAsia="宋体" w:cs="Times New Roman"/>
          <w:snapToGrid/>
          <w:sz w:val="32"/>
          <w:lang w:val="en-US" w:eastAsia="zh-CN" w:bidi="ar-SA"/>
        </w:rPr>
        <w:t>4.3    电磁环境</w:t>
      </w:r>
      <w:bookmarkEnd w:id="48"/>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4.3.1    监测因子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距离地面 1.5m 高度处的工频电场强度和工频磁感应强度。</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4.3.2    监测点位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（1）在新建500kv汇集站、国富500kv变电站、永跃220kv升压站边界四周分别均匀布设2个监测点位，共计24个监测点位。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（2）500kv输电线路：新建500kv汇集站500kv高压出线端、国富变500kv变电站500kv高压入线端各设置一组监测点，每组布点方式为：在边导线正下方及其两侧各外延50米范围内每间隔5m设1个监测点位，共计44个监测点位。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220kv输电线路：永跃220kv升压站220kv出线端、新建500kv汇集站220kv入线端，每组布点方式为：拟建输电线路中心线正下方设1个监测点位，在边导线正下方及两侧各外延40米范围内每间隔5m设1个监测点位，共计36个监测点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4）220kv输电线路经J4跨越220千伏升压站-国富变线路至J5跨越处（J4-J5），220kv输电线路南侧56m前王家屯位置处（J16-J17），每组布点方式为：拟建输电线路中心线正下方设1个监测点位，在边导线正下方及一侧外延40米范围内每间隔5m设1个监测点位共计18个监测点位。 </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监测布点见附图1-图5。</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4.3.3    监测时间、频次</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（1）监测时间：2022年8月1日-2022年8月3日</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（2）监测频次：各监测点位监测一次。</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4.3.4   分析方法及分析仪器</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分析仪器及分析方法参见表 4.3- 1。</w:t>
      </w:r>
    </w:p>
    <w:p>
      <w:pPr>
        <w:keepNext w:val="0"/>
        <w:keepLines w:val="0"/>
        <w:widowControl/>
        <w:suppressLineNumbers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24"/>
          <w:szCs w:val="24"/>
          <w:highlight w:val="none"/>
          <w:lang w:val="en-US" w:eastAsia="zh-CN" w:bidi="ar"/>
        </w:rPr>
      </w:pPr>
      <w:r>
        <w:rPr>
          <w:rFonts w:hint="default" w:ascii="Times New Roman" w:hAnsi="Times New Roman" w:eastAsia="宋体" w:cs="Times New Roman"/>
          <w:b/>
          <w:bCs/>
          <w:snapToGrid/>
          <w:color w:val="auto"/>
          <w:kern w:val="0"/>
          <w:sz w:val="24"/>
          <w:szCs w:val="24"/>
          <w:highlight w:val="none"/>
          <w:lang w:val="en-US" w:eastAsia="zh-CN" w:bidi="ar"/>
        </w:rPr>
        <w:t>表 4.3- 1</w:t>
      </w:r>
      <w:r>
        <w:rPr>
          <w:rFonts w:hint="default" w:ascii="Times New Roman" w:hAnsi="Times New Roman" w:eastAsia="宋体" w:cs="Times New Roman"/>
          <w:b/>
          <w:bCs w:val="0"/>
          <w:color w:val="000000"/>
          <w:sz w:val="24"/>
          <w:szCs w:val="24"/>
          <w:highlight w:val="none"/>
          <w:lang w:val="en-US" w:eastAsia="zh-CN"/>
        </w:rPr>
        <w:t>分析方法及分析仪器信息</w:t>
      </w:r>
      <w:r>
        <w:rPr>
          <w:rFonts w:hint="default" w:ascii="Times New Roman" w:hAnsi="Times New Roman" w:eastAsia="宋体" w:cs="Times New Roman"/>
          <w:b/>
          <w:bCs/>
          <w:snapToGrid/>
          <w:color w:val="auto"/>
          <w:kern w:val="0"/>
          <w:sz w:val="24"/>
          <w:szCs w:val="24"/>
          <w:highlight w:val="none"/>
          <w:lang w:val="en-US" w:eastAsia="zh-CN" w:bidi="ar"/>
        </w:rPr>
        <w:t>表</w:t>
      </w:r>
    </w:p>
    <w:tbl>
      <w:tblPr>
        <w:tblStyle w:val="12"/>
        <w:tblW w:w="50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003"/>
        <w:gridCol w:w="2161"/>
        <w:gridCol w:w="1728"/>
        <w:gridCol w:w="2827"/>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3"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lang w:eastAsia="zh-CN"/>
              </w:rPr>
            </w:pPr>
            <w:bookmarkStart w:id="49" w:name="_Toc6185"/>
            <w:r>
              <w:rPr>
                <w:rFonts w:hint="default" w:ascii="Times New Roman" w:hAnsi="Times New Roman" w:eastAsia="宋体" w:cs="Times New Roman"/>
                <w:b/>
                <w:color w:val="auto"/>
                <w:sz w:val="21"/>
                <w:szCs w:val="21"/>
                <w:lang w:eastAsia="zh-CN"/>
              </w:rPr>
              <w:t>类别</w:t>
            </w:r>
          </w:p>
        </w:tc>
        <w:tc>
          <w:tcPr>
            <w:tcW w:w="529"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1141"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分析方法名称</w:t>
            </w:r>
          </w:p>
        </w:tc>
        <w:tc>
          <w:tcPr>
            <w:tcW w:w="913"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方法标准号</w:t>
            </w:r>
          </w:p>
        </w:tc>
        <w:tc>
          <w:tcPr>
            <w:tcW w:w="1493"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分析仪器及编号</w:t>
            </w:r>
          </w:p>
        </w:tc>
        <w:tc>
          <w:tcPr>
            <w:tcW w:w="578"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3" w:type="pct"/>
            <w:vMerge w:val="restart"/>
            <w:tcBorders>
              <w:tl2br w:val="nil"/>
              <w:tr2bl w:val="nil"/>
            </w:tcBorders>
            <w:noWrap w:val="0"/>
            <w:tcMar>
              <w:left w:w="11" w:type="dxa"/>
              <w:right w:w="11" w:type="dxa"/>
            </w:tcMar>
            <w:vAlign w:val="center"/>
          </w:tcPr>
          <w:p>
            <w:pPr>
              <w:pStyle w:val="23"/>
              <w:spacing w:line="240" w:lineRule="auto"/>
              <w:jc w:val="center"/>
              <w:rPr>
                <w:rFonts w:hint="eastAsia" w:ascii="Times New Roman" w:hAnsi="Times New Roman" w:eastAsia="宋体" w:cs="Times New Roman"/>
                <w:snapToGrid w:val="0"/>
                <w:color w:val="000000"/>
                <w:spacing w:val="0"/>
                <w:w w:val="100"/>
                <w:kern w:val="0"/>
                <w:sz w:val="21"/>
                <w:szCs w:val="21"/>
                <w:highlight w:val="none"/>
                <w:lang w:val="en-US" w:eastAsia="zh-CN" w:bidi="ar-SA"/>
              </w:rPr>
            </w:pPr>
            <w:r>
              <w:rPr>
                <w:rFonts w:hint="eastAsia" w:ascii="Times New Roman" w:hAnsi="Times New Roman" w:eastAsia="宋体" w:cs="Times New Roman"/>
                <w:snapToGrid w:val="0"/>
                <w:color w:val="000000"/>
                <w:spacing w:val="0"/>
                <w:w w:val="100"/>
                <w:kern w:val="0"/>
                <w:sz w:val="21"/>
                <w:szCs w:val="21"/>
                <w:highlight w:val="none"/>
                <w:lang w:val="en-US" w:eastAsia="zh-CN" w:bidi="ar-SA"/>
              </w:rPr>
              <w:t>电磁</w:t>
            </w:r>
          </w:p>
          <w:p>
            <w:pPr>
              <w:pStyle w:val="23"/>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snapToGrid w:val="0"/>
                <w:color w:val="000000"/>
                <w:spacing w:val="0"/>
                <w:w w:val="100"/>
                <w:kern w:val="0"/>
                <w:sz w:val="21"/>
                <w:szCs w:val="21"/>
                <w:highlight w:val="none"/>
                <w:lang w:val="en-US" w:eastAsia="zh-CN" w:bidi="ar-SA"/>
              </w:rPr>
              <w:t>辐射</w:t>
            </w:r>
          </w:p>
        </w:tc>
        <w:tc>
          <w:tcPr>
            <w:tcW w:w="529" w:type="pct"/>
            <w:tcBorders>
              <w:tl2br w:val="nil"/>
              <w:tr2bl w:val="nil"/>
            </w:tcBorders>
            <w:noWrap w:val="0"/>
            <w:tcMar>
              <w:left w:w="11" w:type="dxa"/>
              <w:right w:w="11" w:type="dxa"/>
            </w:tcMar>
            <w:vAlign w:val="center"/>
          </w:tcPr>
          <w:p>
            <w:pPr>
              <w:pStyle w:val="23"/>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napToGrid w:val="0"/>
                <w:color w:val="000000"/>
                <w:spacing w:val="0"/>
                <w:w w:val="100"/>
                <w:kern w:val="0"/>
                <w:sz w:val="21"/>
                <w:szCs w:val="21"/>
                <w:highlight w:val="none"/>
                <w:lang w:val="en-US" w:eastAsia="zh-CN" w:bidi="ar-SA"/>
              </w:rPr>
              <w:t>工频电场</w:t>
            </w:r>
            <w:r>
              <w:rPr>
                <w:rFonts w:hint="eastAsia" w:ascii="Times New Roman" w:hAnsi="Times New Roman" w:eastAsia="宋体" w:cs="Times New Roman"/>
                <w:snapToGrid w:val="0"/>
                <w:color w:val="000000"/>
                <w:spacing w:val="0"/>
                <w:w w:val="100"/>
                <w:kern w:val="0"/>
                <w:sz w:val="21"/>
                <w:szCs w:val="21"/>
                <w:highlight w:val="none"/>
                <w:lang w:val="en-US" w:eastAsia="zh-CN" w:bidi="ar-SA"/>
              </w:rPr>
              <w:t>强度</w:t>
            </w:r>
          </w:p>
        </w:tc>
        <w:tc>
          <w:tcPr>
            <w:tcW w:w="1141" w:type="pct"/>
            <w:tcBorders>
              <w:tl2br w:val="nil"/>
              <w:tr2bl w:val="nil"/>
            </w:tcBorders>
            <w:noWrap w:val="0"/>
            <w:tcMar>
              <w:left w:w="11" w:type="dxa"/>
              <w:right w:w="11" w:type="dxa"/>
            </w:tcMar>
            <w:vAlign w:val="center"/>
          </w:tcPr>
          <w:p>
            <w:pPr>
              <w:pStyle w:val="23"/>
              <w:spacing w:line="240" w:lineRule="auto"/>
              <w:jc w:val="center"/>
              <w:rPr>
                <w:rFonts w:hint="default" w:ascii="Times New Roman" w:hAnsi="Times New Roman" w:eastAsia="宋体" w:cs="Times New Roman"/>
                <w:color w:val="auto"/>
                <w:sz w:val="21"/>
                <w:szCs w:val="21"/>
              </w:rPr>
            </w:pPr>
            <w:r>
              <w:rPr>
                <w:kern w:val="0"/>
                <w:szCs w:val="21"/>
              </w:rPr>
              <w:t>工频电场测量</w:t>
            </w:r>
          </w:p>
        </w:tc>
        <w:tc>
          <w:tcPr>
            <w:tcW w:w="913" w:type="pct"/>
            <w:tcBorders>
              <w:tl2br w:val="nil"/>
              <w:tr2bl w:val="nil"/>
            </w:tcBorders>
            <w:noWrap w:val="0"/>
            <w:tcMar>
              <w:left w:w="11" w:type="dxa"/>
              <w:right w:w="11" w:type="dxa"/>
            </w:tcMar>
            <w:vAlign w:val="center"/>
          </w:tcPr>
          <w:p>
            <w:pPr>
              <w:pStyle w:val="23"/>
              <w:spacing w:line="240" w:lineRule="auto"/>
              <w:jc w:val="center"/>
              <w:rPr>
                <w:rFonts w:hint="default" w:ascii="Times New Roman" w:hAnsi="Times New Roman" w:eastAsia="宋体" w:cs="Times New Roman"/>
                <w:color w:val="auto"/>
                <w:sz w:val="21"/>
                <w:szCs w:val="21"/>
              </w:rPr>
            </w:pPr>
            <w:r>
              <w:rPr>
                <w:rFonts w:hint="eastAsia"/>
                <w:kern w:val="0"/>
                <w:szCs w:val="21"/>
              </w:rPr>
              <w:t>GB/T</w:t>
            </w:r>
            <w:r>
              <w:rPr>
                <w:rFonts w:hint="eastAsia"/>
                <w:kern w:val="0"/>
                <w:szCs w:val="21"/>
                <w:lang w:val="en-US" w:eastAsia="zh-CN"/>
              </w:rPr>
              <w:t xml:space="preserve"> </w:t>
            </w:r>
            <w:r>
              <w:rPr>
                <w:kern w:val="0"/>
                <w:szCs w:val="21"/>
              </w:rPr>
              <w:t>12720-1991</w:t>
            </w:r>
          </w:p>
        </w:tc>
        <w:tc>
          <w:tcPr>
            <w:tcW w:w="1493" w:type="pct"/>
            <w:tcBorders>
              <w:tl2br w:val="nil"/>
              <w:tr2bl w:val="nil"/>
            </w:tcBorders>
            <w:noWrap w:val="0"/>
            <w:tcMar>
              <w:left w:w="11" w:type="dxa"/>
              <w:right w:w="11" w:type="dxa"/>
            </w:tcMar>
            <w:vAlign w:val="center"/>
          </w:tcPr>
          <w:p>
            <w:pPr>
              <w:pStyle w:val="23"/>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HB407-F-601</w:t>
            </w:r>
          </w:p>
          <w:p>
            <w:pPr>
              <w:pStyle w:val="23"/>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选频式超射频电磁辐射分析仪</w:t>
            </w:r>
            <w:r>
              <w:rPr>
                <w:rFonts w:hint="eastAsia" w:ascii="Times New Roman" w:hAnsi="Times New Roman" w:cs="Times New Roman"/>
                <w:color w:val="auto"/>
                <w:sz w:val="21"/>
                <w:szCs w:val="21"/>
                <w:highlight w:val="none"/>
                <w:lang w:val="en-US" w:eastAsia="zh-CN"/>
              </w:rPr>
              <w:t>5310992</w:t>
            </w:r>
          </w:p>
        </w:tc>
        <w:tc>
          <w:tcPr>
            <w:tcW w:w="578" w:type="pct"/>
            <w:tcBorders>
              <w:tl2br w:val="nil"/>
              <w:tr2bl w:val="nil"/>
            </w:tcBorders>
            <w:noWrap w:val="0"/>
            <w:tcMar>
              <w:left w:w="11" w:type="dxa"/>
              <w:right w:w="11" w:type="dxa"/>
            </w:tcMar>
            <w:vAlign w:val="center"/>
          </w:tcPr>
          <w:p>
            <w:pPr>
              <w:pStyle w:val="23"/>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spacing w:val="0"/>
                <w:w w:val="1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3" w:type="pct"/>
            <w:vMerge w:val="continue"/>
            <w:tcBorders>
              <w:tl2br w:val="nil"/>
              <w:tr2bl w:val="nil"/>
            </w:tcBorders>
            <w:noWrap w:val="0"/>
            <w:tcMar>
              <w:left w:w="11" w:type="dxa"/>
              <w:right w:w="11" w:type="dxa"/>
            </w:tcMar>
            <w:vAlign w:val="center"/>
          </w:tcPr>
          <w:p>
            <w:pPr>
              <w:pStyle w:val="23"/>
              <w:spacing w:line="240" w:lineRule="auto"/>
              <w:jc w:val="center"/>
              <w:rPr>
                <w:rFonts w:hint="eastAsia" w:ascii="Times New Roman" w:hAnsi="Times New Roman" w:cs="Times New Roman"/>
                <w:color w:val="auto"/>
                <w:sz w:val="21"/>
                <w:szCs w:val="21"/>
                <w:lang w:val="en-US" w:eastAsia="zh-CN"/>
              </w:rPr>
            </w:pPr>
          </w:p>
        </w:tc>
        <w:tc>
          <w:tcPr>
            <w:tcW w:w="529" w:type="pct"/>
            <w:tcBorders>
              <w:tl2br w:val="nil"/>
              <w:tr2bl w:val="nil"/>
            </w:tcBorders>
            <w:noWrap w:val="0"/>
            <w:tcMar>
              <w:left w:w="11" w:type="dxa"/>
              <w:right w:w="11" w:type="dxa"/>
            </w:tcMar>
            <w:vAlign w:val="center"/>
          </w:tcPr>
          <w:p>
            <w:pPr>
              <w:pStyle w:val="23"/>
              <w:spacing w:line="240" w:lineRule="auto"/>
              <w:jc w:val="center"/>
              <w:rPr>
                <w:rFonts w:hint="default" w:ascii="Times New Roman" w:hAnsi="Times New Roman" w:eastAsia="宋体" w:cs="Times New Roman"/>
                <w:snapToGrid w:val="0"/>
                <w:color w:val="000000"/>
                <w:spacing w:val="0"/>
                <w:w w:val="100"/>
                <w:kern w:val="0"/>
                <w:sz w:val="21"/>
                <w:szCs w:val="21"/>
                <w:highlight w:val="none"/>
                <w:lang w:val="en-US" w:eastAsia="zh-CN" w:bidi="ar-SA"/>
              </w:rPr>
            </w:pPr>
            <w:r>
              <w:rPr>
                <w:rFonts w:hint="eastAsia" w:ascii="Times New Roman" w:hAnsi="Times New Roman" w:eastAsia="宋体" w:cs="Times New Roman"/>
                <w:snapToGrid w:val="0"/>
                <w:color w:val="000000"/>
                <w:spacing w:val="0"/>
                <w:w w:val="100"/>
                <w:kern w:val="0"/>
                <w:sz w:val="21"/>
                <w:szCs w:val="21"/>
                <w:highlight w:val="none"/>
                <w:lang w:val="en-US" w:eastAsia="zh-CN" w:bidi="ar-SA"/>
              </w:rPr>
              <w:t>工频磁感应强度</w:t>
            </w:r>
          </w:p>
        </w:tc>
        <w:tc>
          <w:tcPr>
            <w:tcW w:w="1141" w:type="pct"/>
            <w:tcBorders>
              <w:tl2br w:val="nil"/>
              <w:tr2bl w:val="nil"/>
            </w:tcBorders>
            <w:noWrap w:val="0"/>
            <w:tcMar>
              <w:left w:w="11" w:type="dxa"/>
              <w:right w:w="11" w:type="dxa"/>
            </w:tcMar>
            <w:vAlign w:val="center"/>
          </w:tcPr>
          <w:p>
            <w:pPr>
              <w:pStyle w:val="23"/>
              <w:spacing w:line="240" w:lineRule="auto"/>
              <w:jc w:val="center"/>
              <w:rPr>
                <w:kern w:val="0"/>
                <w:szCs w:val="21"/>
              </w:rPr>
            </w:pPr>
            <w:r>
              <w:rPr>
                <w:rFonts w:hint="eastAsia"/>
                <w:kern w:val="0"/>
                <w:szCs w:val="21"/>
              </w:rPr>
              <w:t>交流输变电工程电磁环境监测方法</w:t>
            </w:r>
          </w:p>
        </w:tc>
        <w:tc>
          <w:tcPr>
            <w:tcW w:w="913" w:type="pct"/>
            <w:tcBorders>
              <w:tl2br w:val="nil"/>
              <w:tr2bl w:val="nil"/>
            </w:tcBorders>
            <w:noWrap w:val="0"/>
            <w:tcMar>
              <w:left w:w="11" w:type="dxa"/>
              <w:right w:w="11" w:type="dxa"/>
            </w:tcMar>
            <w:vAlign w:val="center"/>
          </w:tcPr>
          <w:p>
            <w:pPr>
              <w:pStyle w:val="23"/>
              <w:spacing w:line="240" w:lineRule="auto"/>
              <w:jc w:val="center"/>
              <w:rPr>
                <w:rFonts w:hint="eastAsia"/>
                <w:kern w:val="0"/>
                <w:szCs w:val="21"/>
              </w:rPr>
            </w:pPr>
            <w:r>
              <w:rPr>
                <w:rFonts w:hint="eastAsia"/>
                <w:kern w:val="0"/>
                <w:szCs w:val="21"/>
              </w:rPr>
              <w:t>HJ</w:t>
            </w:r>
            <w:r>
              <w:rPr>
                <w:rFonts w:hint="eastAsia"/>
                <w:kern w:val="0"/>
                <w:szCs w:val="21"/>
                <w:lang w:val="en-US" w:eastAsia="zh-CN"/>
              </w:rPr>
              <w:t xml:space="preserve"> </w:t>
            </w:r>
            <w:r>
              <w:rPr>
                <w:rFonts w:hint="eastAsia"/>
                <w:kern w:val="0"/>
                <w:szCs w:val="21"/>
              </w:rPr>
              <w:t>681-2013</w:t>
            </w:r>
          </w:p>
        </w:tc>
        <w:tc>
          <w:tcPr>
            <w:tcW w:w="1493" w:type="pct"/>
            <w:tcBorders>
              <w:tl2br w:val="nil"/>
              <w:tr2bl w:val="nil"/>
            </w:tcBorders>
            <w:noWrap w:val="0"/>
            <w:tcMar>
              <w:left w:w="11" w:type="dxa"/>
              <w:right w:w="11" w:type="dxa"/>
            </w:tcMar>
            <w:vAlign w:val="center"/>
          </w:tcPr>
          <w:p>
            <w:pPr>
              <w:spacing w:line="240" w:lineRule="exact"/>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HB407-F-601</w:t>
            </w:r>
          </w:p>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选频式超射频电磁辐射分析仪</w:t>
            </w:r>
            <w:r>
              <w:rPr>
                <w:rFonts w:hint="eastAsia" w:ascii="Times New Roman" w:hAnsi="Times New Roman" w:cs="Times New Roman"/>
                <w:color w:val="auto"/>
                <w:sz w:val="21"/>
                <w:szCs w:val="21"/>
                <w:highlight w:val="none"/>
                <w:lang w:val="en-US" w:eastAsia="zh-CN"/>
              </w:rPr>
              <w:t>5310992</w:t>
            </w:r>
          </w:p>
        </w:tc>
        <w:tc>
          <w:tcPr>
            <w:tcW w:w="578" w:type="pct"/>
            <w:tcBorders>
              <w:tl2br w:val="nil"/>
              <w:tr2bl w:val="nil"/>
            </w:tcBorders>
            <w:noWrap w:val="0"/>
            <w:tcMar>
              <w:left w:w="11" w:type="dxa"/>
              <w:right w:w="11" w:type="dxa"/>
            </w:tcMar>
            <w:vAlign w:val="center"/>
          </w:tcPr>
          <w:p>
            <w:pPr>
              <w:snapToGrid w:val="0"/>
              <w:jc w:val="center"/>
              <w:rPr>
                <w:rFonts w:hint="eastAsia" w:ascii="Times New Roman" w:hAnsi="Times New Roman" w:cs="Times New Roman"/>
                <w:spacing w:val="0"/>
                <w:w w:val="100"/>
                <w:sz w:val="21"/>
                <w:szCs w:val="21"/>
                <w:highlight w:val="none"/>
                <w:lang w:val="en-US" w:eastAsia="zh-CN"/>
              </w:rPr>
            </w:pPr>
            <w:r>
              <w:rPr>
                <w:rFonts w:hint="eastAsia" w:ascii="Times New Roman" w:hAnsi="Times New Roman" w:cs="Times New Roman"/>
                <w:kern w:val="0"/>
                <w:sz w:val="21"/>
                <w:szCs w:val="21"/>
                <w:lang w:val="en-US" w:eastAsia="zh-CN" w:bidi="ar-SA"/>
              </w:rPr>
              <w:t>/</w:t>
            </w:r>
          </w:p>
        </w:tc>
      </w:tr>
    </w:tbl>
    <w:p>
      <w:pPr>
        <w:pageBreakBefore w:val="0"/>
        <w:widowControl w:val="0"/>
        <w:kinsoku/>
        <w:autoSpaceDE/>
        <w:autoSpaceDN/>
        <w:bidi w:val="0"/>
        <w:adjustRightInd w:val="0"/>
        <w:snapToGrid w:val="0"/>
        <w:spacing w:line="360" w:lineRule="auto"/>
        <w:ind w:firstLine="560" w:firstLineChars="200"/>
        <w:jc w:val="both"/>
        <w:textAlignment w:val="auto"/>
        <w:outlineLvl w:val="2"/>
        <w:rPr>
          <w:rFonts w:hint="eastAsia" w:ascii="Times New Roman" w:hAnsi="Times New Roman" w:eastAsia="宋体" w:cs="Times New Roman"/>
          <w:caps w:val="0"/>
          <w:smallCaps w:val="0"/>
          <w:snapToGrid/>
          <w:color w:val="auto"/>
          <w:spacing w:val="0"/>
          <w:w w:val="100"/>
          <w:kern w:val="0"/>
          <w:sz w:val="28"/>
          <w:szCs w:val="28"/>
          <w:highlight w:val="none"/>
          <w:lang w:val="en-US" w:eastAsia="zh-CN" w:bidi="ar-SA"/>
        </w:rPr>
      </w:pPr>
      <w:bookmarkStart w:id="50" w:name="_Toc31092"/>
      <w:bookmarkStart w:id="51" w:name="_Toc1579"/>
      <w:bookmarkStart w:id="52" w:name="_Toc14535"/>
      <w:bookmarkStart w:id="53" w:name="_Toc27220"/>
      <w:r>
        <w:rPr>
          <w:rFonts w:hint="eastAsia" w:ascii="Times New Roman" w:hAnsi="Times New Roman" w:eastAsia="宋体" w:cs="Times New Roman"/>
          <w:caps w:val="0"/>
          <w:smallCaps w:val="0"/>
          <w:snapToGrid/>
          <w:color w:val="auto"/>
          <w:spacing w:val="0"/>
          <w:w w:val="100"/>
          <w:kern w:val="0"/>
          <w:sz w:val="28"/>
          <w:szCs w:val="28"/>
          <w:highlight w:val="none"/>
          <w:lang w:val="en-US" w:eastAsia="zh-CN" w:bidi="ar-SA"/>
        </w:rPr>
        <w:t>4.3.5   监测结果</w:t>
      </w:r>
      <w:bookmarkEnd w:id="49"/>
      <w:bookmarkEnd w:id="50"/>
      <w:bookmarkEnd w:id="51"/>
      <w:bookmarkEnd w:id="52"/>
      <w:bookmarkEnd w:id="53"/>
    </w:p>
    <w:p>
      <w:pPr>
        <w:pageBreakBefore w:val="0"/>
        <w:widowControl w:val="0"/>
        <w:kinsoku/>
        <w:autoSpaceDE/>
        <w:autoSpaceDN/>
        <w:bidi w:val="0"/>
        <w:adjustRightInd w:val="0"/>
        <w:snapToGrid w:val="0"/>
        <w:spacing w:line="360" w:lineRule="auto"/>
        <w:ind w:firstLine="560" w:firstLineChars="200"/>
        <w:jc w:val="both"/>
        <w:textAlignment w:val="auto"/>
        <w:rPr>
          <w:rFonts w:hint="eastAsia" w:ascii="Times New Roman" w:hAnsi="Times New Roman" w:eastAsia="宋体" w:cs="Times New Roman"/>
          <w:caps w:val="0"/>
          <w:smallCaps w:val="0"/>
          <w:snapToGrid/>
          <w:color w:val="auto"/>
          <w:spacing w:val="0"/>
          <w:w w:val="100"/>
          <w:kern w:val="0"/>
          <w:sz w:val="28"/>
          <w:szCs w:val="28"/>
          <w:highlight w:val="none"/>
          <w:lang w:val="en-US" w:eastAsia="zh-CN" w:bidi="ar-SA"/>
        </w:rPr>
      </w:pPr>
      <w:r>
        <w:rPr>
          <w:rFonts w:hint="eastAsia" w:ascii="Times New Roman" w:hAnsi="Times New Roman" w:eastAsia="宋体" w:cs="Times New Roman"/>
          <w:caps w:val="0"/>
          <w:smallCaps w:val="0"/>
          <w:snapToGrid/>
          <w:color w:val="auto"/>
          <w:spacing w:val="0"/>
          <w:w w:val="100"/>
          <w:kern w:val="0"/>
          <w:sz w:val="28"/>
          <w:szCs w:val="28"/>
          <w:highlight w:val="none"/>
          <w:lang w:val="en-US" w:eastAsia="zh-CN" w:bidi="ar-SA"/>
        </w:rPr>
        <w:t>监测结果见表 4.3-2。</w:t>
      </w:r>
    </w:p>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rPr>
          <w:rFonts w:hint="default" w:ascii="Times New Roman" w:hAnsi="Times New Roman" w:cs="Times New Roman"/>
          <w:b/>
          <w:color w:val="auto"/>
          <w:sz w:val="24"/>
          <w:szCs w:val="24"/>
          <w:highlight w:val="none"/>
          <w:lang w:eastAsia="zh-CN"/>
        </w:rPr>
      </w:pPr>
      <w:r>
        <w:rPr>
          <w:rFonts w:hint="default" w:ascii="Times New Roman" w:hAnsi="Times New Roman" w:cs="Times New Roman"/>
          <w:b/>
          <w:color w:val="auto"/>
          <w:sz w:val="24"/>
          <w:szCs w:val="24"/>
          <w:highlight w:val="none"/>
        </w:rPr>
        <w:t>表</w:t>
      </w:r>
      <w:r>
        <w:rPr>
          <w:rFonts w:hint="default" w:ascii="Times New Roman" w:hAnsi="Times New Roman" w:eastAsia="宋体" w:cs="Times New Roman"/>
          <w:b/>
          <w:bCs/>
          <w:snapToGrid/>
          <w:color w:val="auto"/>
          <w:kern w:val="0"/>
          <w:sz w:val="24"/>
          <w:szCs w:val="24"/>
          <w:highlight w:val="none"/>
          <w:lang w:val="en-US" w:eastAsia="zh-CN" w:bidi="ar"/>
        </w:rPr>
        <w:t>4.3-2</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500kv</w:t>
      </w:r>
      <w:r>
        <w:rPr>
          <w:rFonts w:hint="default" w:ascii="Times New Roman" w:hAnsi="Times New Roman" w:eastAsia="宋体" w:cs="Times New Roman"/>
          <w:b/>
          <w:color w:val="auto"/>
          <w:sz w:val="24"/>
          <w:szCs w:val="24"/>
          <w:highlight w:val="none"/>
          <w:lang w:val="en-US" w:eastAsia="zh-CN"/>
        </w:rPr>
        <w:t>汇集站</w:t>
      </w:r>
      <w:r>
        <w:rPr>
          <w:rFonts w:hint="eastAsia" w:ascii="Times New Roman" w:hAnsi="Times New Roman" w:eastAsia="宋体" w:cs="Times New Roman"/>
          <w:b/>
          <w:color w:val="auto"/>
          <w:sz w:val="24"/>
          <w:szCs w:val="24"/>
          <w:highlight w:val="none"/>
          <w:lang w:val="en-US" w:eastAsia="zh-CN"/>
        </w:rPr>
        <w:t>厂界</w:t>
      </w:r>
      <w:r>
        <w:rPr>
          <w:rFonts w:hint="default" w:ascii="Times New Roman" w:hAnsi="Times New Roman" w:eastAsia="宋体" w:cs="Times New Roman"/>
          <w:b/>
          <w:color w:val="auto"/>
          <w:sz w:val="24"/>
          <w:szCs w:val="24"/>
          <w:highlight w:val="none"/>
          <w:lang w:val="en-US" w:eastAsia="zh-CN"/>
        </w:rPr>
        <w:t>电磁辐射</w:t>
      </w:r>
      <w:r>
        <w:rPr>
          <w:rFonts w:hint="default" w:ascii="Times New Roman" w:hAnsi="Times New Roman" w:cs="Times New Roman"/>
          <w:b/>
          <w:color w:val="auto"/>
          <w:sz w:val="24"/>
          <w:szCs w:val="24"/>
          <w:highlight w:val="none"/>
        </w:rPr>
        <w:t>监测数据表</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609"/>
        <w:gridCol w:w="1239"/>
        <w:gridCol w:w="1532"/>
        <w:gridCol w:w="2"/>
        <w:gridCol w:w="1534"/>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558" w:type="pct"/>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eastAsia" w:ascii="Times New Roman" w:hAnsi="Times New Roman" w:cs="Times New Roman"/>
                <w:b/>
                <w:bCs w:val="0"/>
                <w:color w:val="auto"/>
                <w:sz w:val="21"/>
                <w:szCs w:val="21"/>
                <w:highlight w:val="none"/>
                <w:lang w:eastAsia="zh-CN"/>
              </w:rPr>
              <w:t>点位编号</w:t>
            </w:r>
          </w:p>
        </w:tc>
        <w:tc>
          <w:tcPr>
            <w:tcW w:w="1371" w:type="pct"/>
            <w:noWrap w:val="0"/>
            <w:vAlign w:val="center"/>
          </w:tcPr>
          <w:p>
            <w:pPr>
              <w:snapToGrid w:val="0"/>
              <w:jc w:val="center"/>
              <w:rPr>
                <w:rFonts w:hint="eastAsia"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rPr>
              <w:t>点位</w:t>
            </w:r>
            <w:r>
              <w:rPr>
                <w:rFonts w:hint="eastAsia" w:ascii="Times New Roman" w:hAnsi="Times New Roman" w:cs="Times New Roman"/>
                <w:b/>
                <w:bCs w:val="0"/>
                <w:color w:val="auto"/>
                <w:sz w:val="21"/>
                <w:szCs w:val="21"/>
                <w:highlight w:val="none"/>
                <w:lang w:eastAsia="zh-CN"/>
              </w:rPr>
              <w:t>名称</w:t>
            </w:r>
          </w:p>
        </w:tc>
        <w:tc>
          <w:tcPr>
            <w:tcW w:w="651" w:type="pct"/>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rPr>
              <w:t>监测</w:t>
            </w:r>
            <w:r>
              <w:rPr>
                <w:rFonts w:hint="default" w:ascii="Times New Roman" w:hAnsi="Times New Roman" w:cs="Times New Roman"/>
                <w:b/>
                <w:bCs w:val="0"/>
                <w:color w:val="auto"/>
                <w:sz w:val="21"/>
                <w:szCs w:val="21"/>
                <w:highlight w:val="none"/>
                <w:lang w:eastAsia="zh-CN"/>
              </w:rPr>
              <w:t>日期</w:t>
            </w:r>
          </w:p>
        </w:tc>
        <w:tc>
          <w:tcPr>
            <w:tcW w:w="805" w:type="pct"/>
            <w:noWrap w:val="0"/>
            <w:vAlign w:val="center"/>
          </w:tcPr>
          <w:p>
            <w:pPr>
              <w:snapToGrid w:val="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监测时间</w:t>
            </w:r>
          </w:p>
        </w:tc>
        <w:tc>
          <w:tcPr>
            <w:tcW w:w="807" w:type="pct"/>
            <w:gridSpan w:val="2"/>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工频电场强度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V/m</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c>
          <w:tcPr>
            <w:tcW w:w="807" w:type="pct"/>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工频磁感应强度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μT</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500kv汇集站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rPr>
              <w:t>东侧</w:t>
            </w:r>
            <w:r>
              <w:rPr>
                <w:rFonts w:hint="default" w:ascii="Times New Roman" w:hAnsi="Times New Roman" w:cs="Times New Roman"/>
                <w:bCs/>
                <w:color w:val="auto"/>
                <w:sz w:val="21"/>
                <w:szCs w:val="21"/>
                <w:highlight w:val="none"/>
                <w:lang w:val="en-US" w:eastAsia="zh-CN"/>
              </w:rPr>
              <w:t>1</w:t>
            </w:r>
          </w:p>
        </w:tc>
        <w:tc>
          <w:tcPr>
            <w:tcW w:w="651" w:type="pct"/>
            <w:vMerge w:val="restar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8月1日</w:t>
            </w: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07:54</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8.779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500kv汇集站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lang w:val="en-US" w:eastAsia="zh-CN"/>
              </w:rPr>
              <w:t>东</w:t>
            </w:r>
            <w:r>
              <w:rPr>
                <w:rFonts w:hint="default" w:ascii="Times New Roman" w:hAnsi="Times New Roman" w:cs="Times New Roman"/>
                <w:bCs/>
                <w:color w:val="auto"/>
                <w:sz w:val="21"/>
                <w:szCs w:val="21"/>
                <w:highlight w:val="none"/>
              </w:rPr>
              <w:t>侧</w:t>
            </w:r>
            <w:r>
              <w:rPr>
                <w:rFonts w:hint="default" w:ascii="Times New Roman" w:hAnsi="Times New Roman" w:cs="Times New Roman"/>
                <w:bCs/>
                <w:color w:val="auto"/>
                <w:sz w:val="21"/>
                <w:szCs w:val="21"/>
                <w:highlight w:val="none"/>
                <w:lang w:val="en-US" w:eastAsia="zh-CN"/>
              </w:rPr>
              <w:t>2</w:t>
            </w:r>
          </w:p>
        </w:tc>
        <w:tc>
          <w:tcPr>
            <w:tcW w:w="651" w:type="pct"/>
            <w:vMerge w:val="continue"/>
            <w:noWrap w:val="0"/>
            <w:vAlign w:val="center"/>
          </w:tcPr>
          <w:p>
            <w:pPr>
              <w:snapToGrid w:val="0"/>
              <w:jc w:val="center"/>
              <w:rPr>
                <w:rFonts w:hint="default" w:ascii="Times New Roman" w:hAnsi="Times New Roman" w:cs="Times New Roman"/>
                <w:bCs/>
                <w:color w:val="auto"/>
                <w:sz w:val="21"/>
                <w:szCs w:val="21"/>
                <w:highlight w:val="none"/>
              </w:rPr>
            </w:pP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08:06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8.031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500kv汇集站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lang w:val="en-US" w:eastAsia="zh-CN"/>
              </w:rPr>
              <w:t>南</w:t>
            </w:r>
            <w:r>
              <w:rPr>
                <w:rFonts w:hint="default" w:ascii="Times New Roman" w:hAnsi="Times New Roman" w:cs="Times New Roman"/>
                <w:bCs/>
                <w:color w:val="auto"/>
                <w:sz w:val="21"/>
                <w:szCs w:val="21"/>
                <w:highlight w:val="none"/>
              </w:rPr>
              <w:t>侧</w:t>
            </w:r>
            <w:r>
              <w:rPr>
                <w:rFonts w:hint="default" w:ascii="Times New Roman" w:hAnsi="Times New Roman" w:cs="Times New Roman"/>
                <w:bCs/>
                <w:color w:val="auto"/>
                <w:sz w:val="21"/>
                <w:szCs w:val="21"/>
                <w:highlight w:val="none"/>
                <w:lang w:val="en-US" w:eastAsia="zh-CN"/>
              </w:rPr>
              <w:t>1</w:t>
            </w:r>
          </w:p>
        </w:tc>
        <w:tc>
          <w:tcPr>
            <w:tcW w:w="651" w:type="pct"/>
            <w:vMerge w:val="continue"/>
            <w:noWrap w:val="0"/>
            <w:vAlign w:val="center"/>
          </w:tcPr>
          <w:p>
            <w:pPr>
              <w:snapToGrid w:val="0"/>
              <w:jc w:val="center"/>
              <w:rPr>
                <w:rFonts w:hint="default" w:ascii="Times New Roman" w:hAnsi="Times New Roman" w:cs="Times New Roman"/>
                <w:bCs/>
                <w:color w:val="auto"/>
                <w:sz w:val="21"/>
                <w:szCs w:val="21"/>
                <w:highlight w:val="none"/>
              </w:rPr>
            </w:pP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08:17</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8.939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500kv汇集站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lang w:val="en-US" w:eastAsia="zh-CN"/>
              </w:rPr>
              <w:t>南</w:t>
            </w:r>
            <w:r>
              <w:rPr>
                <w:rFonts w:hint="default" w:ascii="Times New Roman" w:hAnsi="Times New Roman" w:cs="Times New Roman"/>
                <w:bCs/>
                <w:color w:val="auto"/>
                <w:sz w:val="21"/>
                <w:szCs w:val="21"/>
                <w:highlight w:val="none"/>
              </w:rPr>
              <w:t>侧</w:t>
            </w:r>
            <w:r>
              <w:rPr>
                <w:rFonts w:hint="default" w:ascii="Times New Roman" w:hAnsi="Times New Roman" w:cs="Times New Roman"/>
                <w:bCs/>
                <w:color w:val="auto"/>
                <w:sz w:val="21"/>
                <w:szCs w:val="21"/>
                <w:highlight w:val="none"/>
                <w:lang w:val="en-US" w:eastAsia="zh-CN"/>
              </w:rPr>
              <w:t>2</w:t>
            </w:r>
          </w:p>
        </w:tc>
        <w:tc>
          <w:tcPr>
            <w:tcW w:w="651" w:type="pct"/>
            <w:vMerge w:val="continue"/>
            <w:noWrap w:val="0"/>
            <w:vAlign w:val="center"/>
          </w:tcPr>
          <w:p>
            <w:pPr>
              <w:snapToGrid w:val="0"/>
              <w:jc w:val="center"/>
              <w:rPr>
                <w:rFonts w:hint="default" w:ascii="Times New Roman" w:hAnsi="Times New Roman" w:cs="Times New Roman"/>
                <w:bCs/>
                <w:color w:val="auto"/>
                <w:sz w:val="21"/>
                <w:szCs w:val="21"/>
                <w:highlight w:val="none"/>
              </w:rPr>
            </w:pP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08:30</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9.776</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0.201</w:t>
            </w:r>
            <w:r>
              <w:rPr>
                <w:rFonts w:hint="eastAsia" w:ascii="Times New Roman" w:hAnsi="Times New Roman" w:eastAsia="宋体" w:cs="Times New Roman"/>
                <w:bCs/>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500kv汇集站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lang w:val="en-US" w:eastAsia="zh-CN"/>
              </w:rPr>
              <w:t>西</w:t>
            </w:r>
            <w:r>
              <w:rPr>
                <w:rFonts w:hint="default" w:ascii="Times New Roman" w:hAnsi="Times New Roman" w:cs="Times New Roman"/>
                <w:bCs/>
                <w:color w:val="auto"/>
                <w:sz w:val="21"/>
                <w:szCs w:val="21"/>
                <w:highlight w:val="none"/>
              </w:rPr>
              <w:t>侧</w:t>
            </w:r>
            <w:r>
              <w:rPr>
                <w:rFonts w:hint="default" w:ascii="Times New Roman" w:hAnsi="Times New Roman" w:cs="Times New Roman"/>
                <w:bCs/>
                <w:color w:val="auto"/>
                <w:sz w:val="21"/>
                <w:szCs w:val="21"/>
                <w:highlight w:val="none"/>
                <w:lang w:val="en-US" w:eastAsia="zh-CN"/>
              </w:rPr>
              <w:t>1</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08:41</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8.702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500kv汇集站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lang w:val="en-US" w:eastAsia="zh-CN"/>
              </w:rPr>
              <w:t>西</w:t>
            </w:r>
            <w:r>
              <w:rPr>
                <w:rFonts w:hint="default" w:ascii="Times New Roman" w:hAnsi="Times New Roman" w:cs="Times New Roman"/>
                <w:bCs/>
                <w:color w:val="auto"/>
                <w:sz w:val="21"/>
                <w:szCs w:val="21"/>
                <w:highlight w:val="none"/>
              </w:rPr>
              <w:t>侧</w:t>
            </w:r>
            <w:r>
              <w:rPr>
                <w:rFonts w:hint="default" w:ascii="Times New Roman" w:hAnsi="Times New Roman" w:cs="Times New Roman"/>
                <w:bCs/>
                <w:color w:val="auto"/>
                <w:sz w:val="21"/>
                <w:szCs w:val="21"/>
                <w:highlight w:val="none"/>
                <w:lang w:val="en-US" w:eastAsia="zh-CN"/>
              </w:rPr>
              <w:t>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08:53</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8.740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7</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500kv汇集站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lang w:val="en-US" w:eastAsia="zh-CN"/>
              </w:rPr>
              <w:t>北</w:t>
            </w:r>
            <w:r>
              <w:rPr>
                <w:rFonts w:hint="default" w:ascii="Times New Roman" w:hAnsi="Times New Roman" w:cs="Times New Roman"/>
                <w:bCs/>
                <w:color w:val="auto"/>
                <w:sz w:val="21"/>
                <w:szCs w:val="21"/>
                <w:highlight w:val="none"/>
              </w:rPr>
              <w:t>侧</w:t>
            </w:r>
            <w:r>
              <w:rPr>
                <w:rFonts w:hint="default" w:ascii="Times New Roman" w:hAnsi="Times New Roman" w:cs="Times New Roman"/>
                <w:bCs/>
                <w:color w:val="auto"/>
                <w:sz w:val="21"/>
                <w:szCs w:val="21"/>
                <w:highlight w:val="none"/>
                <w:lang w:val="en-US" w:eastAsia="zh-CN"/>
              </w:rPr>
              <w:t>1</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09:05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8.460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r>
              <w:rPr>
                <w:rFonts w:hint="eastAsia" w:ascii="Times New Roman" w:hAnsi="Times New Roman" w:eastAsia="宋体" w:cs="Times New Roman"/>
                <w:bCs/>
                <w:color w:val="auto"/>
                <w:sz w:val="21"/>
                <w:szCs w:val="21"/>
                <w:highlight w:val="none"/>
                <w:lang w:val="en-US" w:eastAsia="zh-CN"/>
              </w:rPr>
              <w:t>1938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8</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500kv汇集站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rPr>
              <w:t>北侧</w:t>
            </w:r>
            <w:r>
              <w:rPr>
                <w:rFonts w:hint="default" w:ascii="Times New Roman" w:hAnsi="Times New Roman" w:cs="Times New Roman"/>
                <w:bCs/>
                <w:color w:val="auto"/>
                <w:sz w:val="21"/>
                <w:szCs w:val="21"/>
                <w:highlight w:val="none"/>
                <w:lang w:val="en-US" w:eastAsia="zh-CN"/>
              </w:rPr>
              <w:t>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09:17</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8.213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386" w:type="pct"/>
            <w:gridSpan w:val="5"/>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《电磁环境控制限值》（GB 8702-2014）</w:t>
            </w:r>
          </w:p>
        </w:tc>
        <w:tc>
          <w:tcPr>
            <w:tcW w:w="806"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4000</w:t>
            </w:r>
          </w:p>
        </w:tc>
        <w:tc>
          <w:tcPr>
            <w:tcW w:w="807"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100</w:t>
            </w:r>
          </w:p>
        </w:tc>
      </w:tr>
    </w:tbl>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rPr>
          <w:rFonts w:hint="default" w:ascii="Times New Roman" w:hAnsi="Times New Roman" w:cs="Times New Roman"/>
          <w:b/>
          <w:color w:val="auto"/>
          <w:sz w:val="24"/>
          <w:szCs w:val="24"/>
          <w:highlight w:val="none"/>
          <w:lang w:eastAsia="zh-CN"/>
        </w:rPr>
      </w:pPr>
      <w:r>
        <w:rPr>
          <w:rFonts w:hint="default" w:ascii="Times New Roman" w:hAnsi="Times New Roman" w:cs="Times New Roman"/>
          <w:b/>
          <w:color w:val="auto"/>
          <w:sz w:val="24"/>
          <w:szCs w:val="24"/>
          <w:highlight w:val="none"/>
        </w:rPr>
        <w:t>表</w:t>
      </w:r>
      <w:r>
        <w:rPr>
          <w:rFonts w:hint="default" w:ascii="Times New Roman" w:hAnsi="Times New Roman" w:eastAsia="宋体" w:cs="Times New Roman"/>
          <w:b/>
          <w:bCs/>
          <w:snapToGrid/>
          <w:color w:val="auto"/>
          <w:kern w:val="0"/>
          <w:sz w:val="24"/>
          <w:szCs w:val="24"/>
          <w:highlight w:val="none"/>
          <w:lang w:val="en-US" w:eastAsia="zh-CN" w:bidi="ar"/>
        </w:rPr>
        <w:t>4.3-</w:t>
      </w:r>
      <w:r>
        <w:rPr>
          <w:rFonts w:hint="default"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500kv国富变电站</w:t>
      </w:r>
      <w:r>
        <w:rPr>
          <w:rFonts w:hint="eastAsia" w:ascii="Times New Roman" w:hAnsi="Times New Roman" w:cs="Times New Roman"/>
          <w:b/>
          <w:color w:val="auto"/>
          <w:sz w:val="24"/>
          <w:szCs w:val="24"/>
          <w:highlight w:val="none"/>
          <w:lang w:val="en-US" w:eastAsia="zh-CN"/>
        </w:rPr>
        <w:t>厂界</w:t>
      </w:r>
      <w:r>
        <w:rPr>
          <w:rFonts w:hint="default" w:ascii="Times New Roman" w:hAnsi="Times New Roman" w:cs="Times New Roman"/>
          <w:b/>
          <w:color w:val="auto"/>
          <w:sz w:val="24"/>
          <w:szCs w:val="24"/>
          <w:highlight w:val="none"/>
          <w:lang w:val="en-US" w:eastAsia="zh-CN"/>
        </w:rPr>
        <w:t>电磁辐射</w:t>
      </w:r>
      <w:r>
        <w:rPr>
          <w:rFonts w:hint="default" w:ascii="Times New Roman" w:hAnsi="Times New Roman" w:cs="Times New Roman"/>
          <w:b/>
          <w:color w:val="auto"/>
          <w:sz w:val="24"/>
          <w:szCs w:val="24"/>
          <w:highlight w:val="none"/>
        </w:rPr>
        <w:t>监测数据表</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383"/>
        <w:gridCol w:w="1464"/>
        <w:gridCol w:w="1532"/>
        <w:gridCol w:w="4"/>
        <w:gridCol w:w="1534"/>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67" w:type="dxa"/>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eastAsia" w:ascii="Times New Roman" w:hAnsi="Times New Roman" w:cs="Times New Roman"/>
                <w:b/>
                <w:bCs w:val="0"/>
                <w:color w:val="auto"/>
                <w:sz w:val="21"/>
                <w:szCs w:val="21"/>
                <w:highlight w:val="none"/>
                <w:lang w:eastAsia="zh-CN"/>
              </w:rPr>
              <w:t>点位编号</w:t>
            </w:r>
          </w:p>
        </w:tc>
        <w:tc>
          <w:tcPr>
            <w:tcW w:w="2394" w:type="dxa"/>
            <w:noWrap w:val="0"/>
            <w:vAlign w:val="center"/>
          </w:tcPr>
          <w:p>
            <w:pPr>
              <w:snapToGrid w:val="0"/>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点位</w:t>
            </w:r>
            <w:r>
              <w:rPr>
                <w:rFonts w:hint="eastAsia" w:ascii="Times New Roman" w:hAnsi="Times New Roman" w:cs="Times New Roman"/>
                <w:b/>
                <w:bCs w:val="0"/>
                <w:color w:val="auto"/>
                <w:sz w:val="21"/>
                <w:szCs w:val="21"/>
                <w:highlight w:val="none"/>
                <w:lang w:eastAsia="zh-CN"/>
              </w:rPr>
              <w:t>名称</w:t>
            </w:r>
          </w:p>
        </w:tc>
        <w:tc>
          <w:tcPr>
            <w:tcW w:w="769" w:type="pct"/>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rPr>
              <w:t>监测</w:t>
            </w:r>
            <w:r>
              <w:rPr>
                <w:rFonts w:hint="default" w:ascii="Times New Roman" w:hAnsi="Times New Roman" w:cs="Times New Roman"/>
                <w:b/>
                <w:bCs w:val="0"/>
                <w:color w:val="auto"/>
                <w:sz w:val="21"/>
                <w:szCs w:val="21"/>
                <w:highlight w:val="none"/>
                <w:lang w:eastAsia="zh-CN"/>
              </w:rPr>
              <w:t>日期</w:t>
            </w:r>
          </w:p>
        </w:tc>
        <w:tc>
          <w:tcPr>
            <w:tcW w:w="805" w:type="pct"/>
            <w:noWrap w:val="0"/>
            <w:vAlign w:val="center"/>
          </w:tcPr>
          <w:p>
            <w:pPr>
              <w:snapToGrid w:val="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监测时间</w:t>
            </w:r>
          </w:p>
        </w:tc>
        <w:tc>
          <w:tcPr>
            <w:tcW w:w="807" w:type="pct"/>
            <w:gridSpan w:val="2"/>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工频电场强度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V/m</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c>
          <w:tcPr>
            <w:tcW w:w="807" w:type="pct"/>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工频磁感应强度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μT</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w:t>
            </w:r>
            <w:r>
              <w:rPr>
                <w:rFonts w:hint="default" w:ascii="Times New Roman" w:hAnsi="Times New Roman" w:cs="Times New Roman"/>
                <w:bCs/>
                <w:color w:val="auto"/>
                <w:sz w:val="21"/>
                <w:szCs w:val="21"/>
                <w:highlight w:val="none"/>
              </w:rPr>
              <w:t>#</w:t>
            </w:r>
          </w:p>
        </w:tc>
        <w:tc>
          <w:tcPr>
            <w:tcW w:w="1252"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rPr>
              <w:t>东侧</w:t>
            </w:r>
            <w:r>
              <w:rPr>
                <w:rFonts w:hint="default" w:ascii="Times New Roman" w:hAnsi="Times New Roman" w:cs="Times New Roman"/>
                <w:bCs/>
                <w:color w:val="auto"/>
                <w:sz w:val="21"/>
                <w:szCs w:val="21"/>
                <w:highlight w:val="none"/>
                <w:lang w:val="en-US" w:eastAsia="zh-CN"/>
              </w:rPr>
              <w:t>1</w:t>
            </w:r>
          </w:p>
        </w:tc>
        <w:tc>
          <w:tcPr>
            <w:tcW w:w="769" w:type="pct"/>
            <w:vMerge w:val="restart"/>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8月2日</w:t>
            </w: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07:45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9.194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w:t>
            </w:r>
            <w:r>
              <w:rPr>
                <w:rFonts w:hint="default" w:ascii="Times New Roman" w:hAnsi="Times New Roman" w:cs="Times New Roman"/>
                <w:bCs/>
                <w:color w:val="auto"/>
                <w:sz w:val="21"/>
                <w:szCs w:val="21"/>
                <w:highlight w:val="none"/>
              </w:rPr>
              <w:t>#</w:t>
            </w:r>
          </w:p>
        </w:tc>
        <w:tc>
          <w:tcPr>
            <w:tcW w:w="1252"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rPr>
              <w:t>东侧</w:t>
            </w:r>
            <w:r>
              <w:rPr>
                <w:rFonts w:hint="default" w:ascii="Times New Roman" w:hAnsi="Times New Roman" w:cs="Times New Roman"/>
                <w:bCs/>
                <w:color w:val="auto"/>
                <w:sz w:val="21"/>
                <w:szCs w:val="21"/>
                <w:highlight w:val="none"/>
                <w:lang w:val="en-US" w:eastAsia="zh-CN"/>
              </w:rPr>
              <w:t>2</w:t>
            </w:r>
          </w:p>
        </w:tc>
        <w:tc>
          <w:tcPr>
            <w:tcW w:w="769"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07:55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8.748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w:t>
            </w:r>
            <w:r>
              <w:rPr>
                <w:rFonts w:hint="default" w:ascii="Times New Roman" w:hAnsi="Times New Roman" w:cs="Times New Roman"/>
                <w:bCs/>
                <w:color w:val="auto"/>
                <w:sz w:val="21"/>
                <w:szCs w:val="21"/>
                <w:highlight w:val="none"/>
              </w:rPr>
              <w:t>#</w:t>
            </w:r>
          </w:p>
        </w:tc>
        <w:tc>
          <w:tcPr>
            <w:tcW w:w="1252"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cs="Times New Roman"/>
                <w:bCs/>
                <w:color w:val="auto"/>
                <w:sz w:val="21"/>
                <w:szCs w:val="21"/>
                <w:highlight w:val="none"/>
                <w:lang w:eastAsia="zh-CN"/>
              </w:rPr>
              <w:t>厂界南</w:t>
            </w:r>
            <w:r>
              <w:rPr>
                <w:rFonts w:hint="default" w:ascii="Times New Roman" w:hAnsi="Times New Roman" w:cs="Times New Roman"/>
                <w:bCs/>
                <w:color w:val="auto"/>
                <w:sz w:val="21"/>
                <w:szCs w:val="21"/>
                <w:highlight w:val="none"/>
              </w:rPr>
              <w:t>侧</w:t>
            </w:r>
            <w:r>
              <w:rPr>
                <w:rFonts w:hint="default" w:ascii="Times New Roman" w:hAnsi="Times New Roman" w:cs="Times New Roman"/>
                <w:bCs/>
                <w:color w:val="auto"/>
                <w:sz w:val="21"/>
                <w:szCs w:val="21"/>
                <w:highlight w:val="none"/>
                <w:lang w:val="en-US" w:eastAsia="zh-CN"/>
              </w:rPr>
              <w:t>1</w:t>
            </w:r>
          </w:p>
        </w:tc>
        <w:tc>
          <w:tcPr>
            <w:tcW w:w="769"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08:06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8.550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0.188</w:t>
            </w:r>
            <w:r>
              <w:rPr>
                <w:rFonts w:hint="eastAsia" w:ascii="Times New Roman" w:hAnsi="Times New Roman" w:eastAsia="宋体" w:cs="Times New Roman"/>
                <w:bCs/>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12</w:t>
            </w:r>
            <w:r>
              <w:rPr>
                <w:rFonts w:hint="default" w:ascii="Times New Roman" w:hAnsi="Times New Roman" w:cs="Times New Roman"/>
                <w:bCs/>
                <w:color w:val="auto"/>
                <w:sz w:val="21"/>
                <w:szCs w:val="21"/>
                <w:highlight w:val="none"/>
              </w:rPr>
              <w:t>#</w:t>
            </w:r>
          </w:p>
        </w:tc>
        <w:tc>
          <w:tcPr>
            <w:tcW w:w="1252"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lang w:val="en-US" w:eastAsia="zh-CN"/>
              </w:rPr>
              <w:t>南</w:t>
            </w:r>
            <w:r>
              <w:rPr>
                <w:rFonts w:hint="default" w:ascii="Times New Roman" w:hAnsi="Times New Roman" w:cs="Times New Roman"/>
                <w:bCs/>
                <w:color w:val="auto"/>
                <w:sz w:val="21"/>
                <w:szCs w:val="21"/>
                <w:highlight w:val="none"/>
              </w:rPr>
              <w:t>侧</w:t>
            </w:r>
            <w:r>
              <w:rPr>
                <w:rFonts w:hint="default" w:ascii="Times New Roman" w:hAnsi="Times New Roman" w:cs="Times New Roman"/>
                <w:bCs/>
                <w:color w:val="auto"/>
                <w:sz w:val="21"/>
                <w:szCs w:val="21"/>
                <w:highlight w:val="none"/>
                <w:lang w:val="en-US" w:eastAsia="zh-CN"/>
              </w:rPr>
              <w:t>2</w:t>
            </w:r>
          </w:p>
        </w:tc>
        <w:tc>
          <w:tcPr>
            <w:tcW w:w="769"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08:17</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8.429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13</w:t>
            </w:r>
            <w:r>
              <w:rPr>
                <w:rFonts w:hint="default" w:ascii="Times New Roman" w:hAnsi="Times New Roman" w:cs="Times New Roman"/>
                <w:bCs/>
                <w:color w:val="auto"/>
                <w:sz w:val="21"/>
                <w:szCs w:val="21"/>
                <w:highlight w:val="none"/>
              </w:rPr>
              <w:t>#</w:t>
            </w:r>
          </w:p>
        </w:tc>
        <w:tc>
          <w:tcPr>
            <w:tcW w:w="1252"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cs="Times New Roman"/>
                <w:bCs/>
                <w:color w:val="auto"/>
                <w:sz w:val="21"/>
                <w:szCs w:val="21"/>
                <w:highlight w:val="none"/>
                <w:lang w:eastAsia="zh-CN"/>
              </w:rPr>
              <w:t>厂界西</w:t>
            </w:r>
            <w:r>
              <w:rPr>
                <w:rFonts w:hint="default" w:ascii="Times New Roman" w:hAnsi="Times New Roman" w:cs="Times New Roman"/>
                <w:bCs/>
                <w:color w:val="auto"/>
                <w:sz w:val="21"/>
                <w:szCs w:val="21"/>
                <w:highlight w:val="none"/>
              </w:rPr>
              <w:t>侧</w:t>
            </w:r>
            <w:r>
              <w:rPr>
                <w:rFonts w:hint="default" w:ascii="Times New Roman" w:hAnsi="Times New Roman" w:cs="Times New Roman"/>
                <w:bCs/>
                <w:color w:val="auto"/>
                <w:sz w:val="21"/>
                <w:szCs w:val="21"/>
                <w:highlight w:val="none"/>
                <w:lang w:val="en-US" w:eastAsia="zh-CN"/>
              </w:rPr>
              <w:t>1</w:t>
            </w:r>
          </w:p>
        </w:tc>
        <w:tc>
          <w:tcPr>
            <w:tcW w:w="769"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08:29</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8.081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14</w:t>
            </w:r>
            <w:r>
              <w:rPr>
                <w:rFonts w:hint="default" w:ascii="Times New Roman" w:hAnsi="Times New Roman" w:cs="Times New Roman"/>
                <w:bCs/>
                <w:color w:val="auto"/>
                <w:sz w:val="21"/>
                <w:szCs w:val="21"/>
                <w:highlight w:val="none"/>
              </w:rPr>
              <w:t>#</w:t>
            </w:r>
          </w:p>
        </w:tc>
        <w:tc>
          <w:tcPr>
            <w:tcW w:w="1252"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cs="Times New Roman"/>
                <w:bCs/>
                <w:color w:val="auto"/>
                <w:sz w:val="21"/>
                <w:szCs w:val="21"/>
                <w:highlight w:val="none"/>
                <w:lang w:eastAsia="zh-CN"/>
              </w:rPr>
              <w:t>厂界西</w:t>
            </w:r>
            <w:r>
              <w:rPr>
                <w:rFonts w:hint="default" w:ascii="Times New Roman" w:hAnsi="Times New Roman" w:cs="Times New Roman"/>
                <w:bCs/>
                <w:color w:val="auto"/>
                <w:sz w:val="21"/>
                <w:szCs w:val="21"/>
                <w:highlight w:val="none"/>
              </w:rPr>
              <w:t>侧</w:t>
            </w:r>
            <w:r>
              <w:rPr>
                <w:rFonts w:hint="default" w:ascii="Times New Roman" w:hAnsi="Times New Roman" w:cs="Times New Roman"/>
                <w:bCs/>
                <w:color w:val="auto"/>
                <w:sz w:val="21"/>
                <w:szCs w:val="21"/>
                <w:highlight w:val="none"/>
                <w:lang w:val="en-US" w:eastAsia="zh-CN"/>
              </w:rPr>
              <w:t>2</w:t>
            </w:r>
          </w:p>
        </w:tc>
        <w:tc>
          <w:tcPr>
            <w:tcW w:w="769"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08:40</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8.727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15</w:t>
            </w:r>
            <w:r>
              <w:rPr>
                <w:rFonts w:hint="default" w:ascii="Times New Roman" w:hAnsi="Times New Roman" w:cs="Times New Roman"/>
                <w:bCs/>
                <w:color w:val="auto"/>
                <w:sz w:val="21"/>
                <w:szCs w:val="21"/>
                <w:highlight w:val="none"/>
              </w:rPr>
              <w:t>#</w:t>
            </w:r>
          </w:p>
        </w:tc>
        <w:tc>
          <w:tcPr>
            <w:tcW w:w="1252"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cs="Times New Roman"/>
                <w:bCs/>
                <w:color w:val="auto"/>
                <w:sz w:val="21"/>
                <w:szCs w:val="21"/>
                <w:highlight w:val="none"/>
                <w:lang w:eastAsia="zh-CN"/>
              </w:rPr>
              <w:t>厂界</w:t>
            </w:r>
            <w:r>
              <w:rPr>
                <w:rFonts w:hint="default" w:ascii="Times New Roman" w:hAnsi="Times New Roman" w:cs="Times New Roman"/>
                <w:bCs/>
                <w:color w:val="auto"/>
                <w:sz w:val="21"/>
                <w:szCs w:val="21"/>
                <w:highlight w:val="none"/>
                <w:lang w:val="en-US" w:eastAsia="zh-CN"/>
              </w:rPr>
              <w:t>北</w:t>
            </w:r>
            <w:r>
              <w:rPr>
                <w:rFonts w:hint="default" w:ascii="Times New Roman" w:hAnsi="Times New Roman" w:cs="Times New Roman"/>
                <w:bCs/>
                <w:color w:val="auto"/>
                <w:sz w:val="21"/>
                <w:szCs w:val="21"/>
                <w:highlight w:val="none"/>
              </w:rPr>
              <w:t>侧</w:t>
            </w:r>
            <w:r>
              <w:rPr>
                <w:rFonts w:hint="default" w:ascii="Times New Roman" w:hAnsi="Times New Roman" w:cs="Times New Roman"/>
                <w:bCs/>
                <w:color w:val="auto"/>
                <w:sz w:val="21"/>
                <w:szCs w:val="21"/>
                <w:highlight w:val="none"/>
                <w:lang w:val="en-US" w:eastAsia="zh-CN"/>
              </w:rPr>
              <w:t>1</w:t>
            </w:r>
          </w:p>
        </w:tc>
        <w:tc>
          <w:tcPr>
            <w:tcW w:w="769"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08:53</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9.163</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r>
              <w:rPr>
                <w:rFonts w:hint="eastAsia" w:ascii="Times New Roman" w:hAnsi="Times New Roman" w:eastAsia="宋体" w:cs="Times New Roman"/>
                <w:bCs/>
                <w:color w:val="auto"/>
                <w:sz w:val="21"/>
                <w:szCs w:val="21"/>
                <w:highlight w:val="none"/>
                <w:lang w:val="en-US" w:eastAsia="zh-CN"/>
              </w:rPr>
              <w:t>1894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16</w:t>
            </w:r>
            <w:r>
              <w:rPr>
                <w:rFonts w:hint="default" w:ascii="Times New Roman" w:hAnsi="Times New Roman" w:cs="Times New Roman"/>
                <w:bCs/>
                <w:color w:val="auto"/>
                <w:sz w:val="21"/>
                <w:szCs w:val="21"/>
                <w:highlight w:val="none"/>
              </w:rPr>
              <w:t>#</w:t>
            </w:r>
          </w:p>
        </w:tc>
        <w:tc>
          <w:tcPr>
            <w:tcW w:w="1252"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500kv国富变电站</w:t>
            </w:r>
            <w:r>
              <w:rPr>
                <w:rFonts w:hint="default" w:ascii="Times New Roman" w:hAnsi="Times New Roman" w:cs="Times New Roman"/>
                <w:bCs/>
                <w:color w:val="auto"/>
                <w:sz w:val="21"/>
                <w:szCs w:val="21"/>
                <w:highlight w:val="none"/>
                <w:lang w:eastAsia="zh-CN"/>
              </w:rPr>
              <w:t>厂界</w:t>
            </w:r>
            <w:r>
              <w:rPr>
                <w:rFonts w:hint="default" w:ascii="Times New Roman" w:hAnsi="Times New Roman" w:eastAsia="宋体" w:cs="Times New Roman"/>
                <w:bCs/>
                <w:color w:val="auto"/>
                <w:sz w:val="21"/>
                <w:szCs w:val="21"/>
                <w:highlight w:val="none"/>
                <w:lang w:val="en-US" w:eastAsia="zh-CN"/>
              </w:rPr>
              <w:t>北侧2</w:t>
            </w:r>
          </w:p>
        </w:tc>
        <w:tc>
          <w:tcPr>
            <w:tcW w:w="769"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09:04</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8.626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w:t>
            </w:r>
            <w:r>
              <w:rPr>
                <w:rFonts w:hint="eastAsia" w:ascii="Times New Roman" w:hAnsi="Times New Roman" w:eastAsia="宋体" w:cs="Times New Roman"/>
                <w:bCs/>
                <w:color w:val="auto"/>
                <w:sz w:val="21"/>
                <w:szCs w:val="21"/>
                <w:highlight w:val="no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386" w:type="pct"/>
            <w:gridSpan w:val="5"/>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《电磁环境控制限值》（GB 8702-2014）</w:t>
            </w:r>
          </w:p>
        </w:tc>
        <w:tc>
          <w:tcPr>
            <w:tcW w:w="806"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4000</w:t>
            </w:r>
          </w:p>
        </w:tc>
        <w:tc>
          <w:tcPr>
            <w:tcW w:w="807"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100</w:t>
            </w:r>
          </w:p>
        </w:tc>
      </w:tr>
    </w:tbl>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rPr>
          <w:rFonts w:hint="default" w:ascii="Times New Roman" w:hAnsi="Times New Roman" w:cs="Times New Roman"/>
          <w:b/>
          <w:color w:val="auto"/>
          <w:sz w:val="24"/>
          <w:szCs w:val="24"/>
          <w:highlight w:val="none"/>
          <w:lang w:eastAsia="zh-CN"/>
        </w:rPr>
      </w:pPr>
      <w:r>
        <w:rPr>
          <w:rFonts w:hint="default" w:ascii="Times New Roman" w:hAnsi="Times New Roman" w:cs="Times New Roman"/>
          <w:b/>
          <w:color w:val="auto"/>
          <w:sz w:val="24"/>
          <w:szCs w:val="24"/>
          <w:highlight w:val="none"/>
        </w:rPr>
        <w:t>表</w:t>
      </w:r>
      <w:r>
        <w:rPr>
          <w:rFonts w:hint="default" w:ascii="Times New Roman" w:hAnsi="Times New Roman" w:eastAsia="宋体" w:cs="Times New Roman"/>
          <w:b/>
          <w:bCs/>
          <w:snapToGrid/>
          <w:color w:val="auto"/>
          <w:kern w:val="0"/>
          <w:sz w:val="24"/>
          <w:szCs w:val="24"/>
          <w:highlight w:val="none"/>
          <w:lang w:val="en-US" w:eastAsia="zh-CN" w:bidi="ar"/>
        </w:rPr>
        <w:t>4.3-</w:t>
      </w:r>
      <w:r>
        <w:rPr>
          <w:rFonts w:hint="default" w:ascii="Times New Roman" w:hAnsi="Times New Roman"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eastAsia"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永跃220kv升压站</w:t>
      </w:r>
      <w:r>
        <w:rPr>
          <w:rFonts w:hint="eastAsia" w:ascii="Times New Roman" w:hAnsi="Times New Roman" w:cs="Times New Roman"/>
          <w:b/>
          <w:color w:val="auto"/>
          <w:sz w:val="24"/>
          <w:szCs w:val="24"/>
          <w:highlight w:val="none"/>
          <w:lang w:eastAsia="zh-CN"/>
        </w:rPr>
        <w:t>厂界</w:t>
      </w:r>
      <w:r>
        <w:rPr>
          <w:rFonts w:hint="default" w:ascii="Times New Roman" w:hAnsi="Times New Roman" w:cs="Times New Roman"/>
          <w:b/>
          <w:color w:val="auto"/>
          <w:sz w:val="24"/>
          <w:szCs w:val="24"/>
          <w:highlight w:val="none"/>
          <w:lang w:val="en-US" w:eastAsia="zh-CN"/>
        </w:rPr>
        <w:t>电磁辐射</w:t>
      </w:r>
      <w:r>
        <w:rPr>
          <w:rFonts w:hint="default" w:ascii="Times New Roman" w:hAnsi="Times New Roman" w:cs="Times New Roman"/>
          <w:b/>
          <w:color w:val="auto"/>
          <w:sz w:val="24"/>
          <w:szCs w:val="24"/>
          <w:highlight w:val="none"/>
        </w:rPr>
        <w:t>监测数据表</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368"/>
        <w:gridCol w:w="1479"/>
        <w:gridCol w:w="1532"/>
        <w:gridCol w:w="4"/>
        <w:gridCol w:w="1534"/>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67" w:type="dxa"/>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eastAsia" w:ascii="Times New Roman" w:hAnsi="Times New Roman" w:cs="Times New Roman"/>
                <w:b/>
                <w:bCs w:val="0"/>
                <w:color w:val="auto"/>
                <w:sz w:val="21"/>
                <w:szCs w:val="21"/>
                <w:highlight w:val="none"/>
                <w:lang w:eastAsia="zh-CN"/>
              </w:rPr>
              <w:t>点位编号</w:t>
            </w:r>
          </w:p>
        </w:tc>
        <w:tc>
          <w:tcPr>
            <w:tcW w:w="2379" w:type="dxa"/>
            <w:noWrap w:val="0"/>
            <w:vAlign w:val="center"/>
          </w:tcPr>
          <w:p>
            <w:pPr>
              <w:snapToGrid w:val="0"/>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点位</w:t>
            </w:r>
            <w:r>
              <w:rPr>
                <w:rFonts w:hint="eastAsia" w:ascii="Times New Roman" w:hAnsi="Times New Roman" w:cs="Times New Roman"/>
                <w:b/>
                <w:bCs w:val="0"/>
                <w:color w:val="auto"/>
                <w:sz w:val="21"/>
                <w:szCs w:val="21"/>
                <w:highlight w:val="none"/>
                <w:lang w:eastAsia="zh-CN"/>
              </w:rPr>
              <w:t>名称</w:t>
            </w:r>
          </w:p>
        </w:tc>
        <w:tc>
          <w:tcPr>
            <w:tcW w:w="777" w:type="pct"/>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rPr>
              <w:t>监测</w:t>
            </w:r>
            <w:r>
              <w:rPr>
                <w:rFonts w:hint="default" w:ascii="Times New Roman" w:hAnsi="Times New Roman" w:cs="Times New Roman"/>
                <w:b/>
                <w:bCs w:val="0"/>
                <w:color w:val="auto"/>
                <w:sz w:val="21"/>
                <w:szCs w:val="21"/>
                <w:highlight w:val="none"/>
                <w:lang w:eastAsia="zh-CN"/>
              </w:rPr>
              <w:t>日期</w:t>
            </w:r>
          </w:p>
        </w:tc>
        <w:tc>
          <w:tcPr>
            <w:tcW w:w="805" w:type="pct"/>
            <w:noWrap w:val="0"/>
            <w:vAlign w:val="center"/>
          </w:tcPr>
          <w:p>
            <w:pPr>
              <w:snapToGrid w:val="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监测时间</w:t>
            </w:r>
          </w:p>
        </w:tc>
        <w:tc>
          <w:tcPr>
            <w:tcW w:w="807" w:type="pct"/>
            <w:gridSpan w:val="2"/>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工频电场强度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V/m</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c>
          <w:tcPr>
            <w:tcW w:w="807" w:type="pct"/>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工频磁感应强度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μT</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17</w:t>
            </w:r>
            <w:r>
              <w:rPr>
                <w:rFonts w:hint="default" w:ascii="Times New Roman" w:hAnsi="Times New Roman" w:cs="Times New Roman"/>
                <w:bCs/>
                <w:color w:val="auto"/>
                <w:sz w:val="21"/>
                <w:szCs w:val="21"/>
                <w:highlight w:val="none"/>
              </w:rPr>
              <w:t>#</w:t>
            </w:r>
          </w:p>
        </w:tc>
        <w:tc>
          <w:tcPr>
            <w:tcW w:w="1244"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永跃220kv升压站</w:t>
            </w:r>
            <w:r>
              <w:rPr>
                <w:rFonts w:hint="default" w:ascii="Times New Roman" w:hAnsi="Times New Roman" w:cs="Times New Roman"/>
                <w:bCs/>
                <w:color w:val="auto"/>
                <w:sz w:val="21"/>
                <w:szCs w:val="21"/>
                <w:highlight w:val="none"/>
                <w:lang w:eastAsia="zh-CN"/>
              </w:rPr>
              <w:t>厂界</w:t>
            </w:r>
            <w:r>
              <w:rPr>
                <w:rFonts w:hint="default" w:ascii="Times New Roman" w:hAnsi="Times New Roman" w:eastAsia="宋体" w:cs="Times New Roman"/>
                <w:bCs/>
                <w:color w:val="auto"/>
                <w:sz w:val="21"/>
                <w:szCs w:val="21"/>
                <w:highlight w:val="none"/>
                <w:lang w:val="en-US" w:eastAsia="zh-CN"/>
              </w:rPr>
              <w:t>东侧1</w:t>
            </w:r>
          </w:p>
        </w:tc>
        <w:tc>
          <w:tcPr>
            <w:tcW w:w="777" w:type="pct"/>
            <w:vMerge w:val="restart"/>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8月3日</w:t>
            </w: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08:05</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8.215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18</w:t>
            </w:r>
            <w:r>
              <w:rPr>
                <w:rFonts w:hint="default" w:ascii="Times New Roman" w:hAnsi="Times New Roman" w:cs="Times New Roman"/>
                <w:bCs/>
                <w:color w:val="auto"/>
                <w:sz w:val="21"/>
                <w:szCs w:val="21"/>
                <w:highlight w:val="none"/>
              </w:rPr>
              <w:t>#</w:t>
            </w:r>
          </w:p>
        </w:tc>
        <w:tc>
          <w:tcPr>
            <w:tcW w:w="1244"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永跃220kv升压站</w:t>
            </w:r>
            <w:r>
              <w:rPr>
                <w:rFonts w:hint="default" w:ascii="Times New Roman" w:hAnsi="Times New Roman" w:cs="Times New Roman"/>
                <w:bCs/>
                <w:color w:val="auto"/>
                <w:sz w:val="21"/>
                <w:szCs w:val="21"/>
                <w:highlight w:val="none"/>
                <w:lang w:eastAsia="zh-CN"/>
              </w:rPr>
              <w:t>厂界</w:t>
            </w:r>
            <w:r>
              <w:rPr>
                <w:rFonts w:hint="default" w:ascii="Times New Roman" w:hAnsi="Times New Roman" w:eastAsia="宋体" w:cs="Times New Roman"/>
                <w:bCs/>
                <w:color w:val="auto"/>
                <w:sz w:val="21"/>
                <w:szCs w:val="21"/>
                <w:highlight w:val="none"/>
                <w:lang w:val="en-US" w:eastAsia="zh-CN"/>
              </w:rPr>
              <w:t>东侧2#</w:t>
            </w:r>
          </w:p>
        </w:tc>
        <w:tc>
          <w:tcPr>
            <w:tcW w:w="777"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08:18</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8.568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19</w:t>
            </w:r>
            <w:r>
              <w:rPr>
                <w:rFonts w:hint="default" w:ascii="Times New Roman" w:hAnsi="Times New Roman" w:cs="Times New Roman"/>
                <w:bCs/>
                <w:color w:val="auto"/>
                <w:sz w:val="21"/>
                <w:szCs w:val="21"/>
                <w:highlight w:val="none"/>
              </w:rPr>
              <w:t>#</w:t>
            </w:r>
          </w:p>
        </w:tc>
        <w:tc>
          <w:tcPr>
            <w:tcW w:w="1244"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永跃220kv升压站</w:t>
            </w:r>
            <w:r>
              <w:rPr>
                <w:rFonts w:hint="default" w:ascii="Times New Roman" w:hAnsi="Times New Roman" w:cs="Times New Roman"/>
                <w:bCs/>
                <w:color w:val="auto"/>
                <w:sz w:val="21"/>
                <w:szCs w:val="21"/>
                <w:highlight w:val="none"/>
                <w:lang w:eastAsia="zh-CN"/>
              </w:rPr>
              <w:t>厂界</w:t>
            </w:r>
            <w:r>
              <w:rPr>
                <w:rFonts w:hint="default" w:ascii="Times New Roman" w:hAnsi="Times New Roman" w:eastAsia="宋体" w:cs="Times New Roman"/>
                <w:bCs/>
                <w:color w:val="auto"/>
                <w:sz w:val="21"/>
                <w:szCs w:val="21"/>
                <w:highlight w:val="none"/>
                <w:lang w:val="en-US" w:eastAsia="zh-CN"/>
              </w:rPr>
              <w:t>南侧1</w:t>
            </w:r>
          </w:p>
        </w:tc>
        <w:tc>
          <w:tcPr>
            <w:tcW w:w="777"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08:29</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8.754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20</w:t>
            </w:r>
            <w:r>
              <w:rPr>
                <w:rFonts w:hint="default" w:ascii="Times New Roman" w:hAnsi="Times New Roman" w:cs="Times New Roman"/>
                <w:bCs/>
                <w:color w:val="auto"/>
                <w:sz w:val="21"/>
                <w:szCs w:val="21"/>
                <w:highlight w:val="none"/>
              </w:rPr>
              <w:t>#</w:t>
            </w:r>
          </w:p>
        </w:tc>
        <w:tc>
          <w:tcPr>
            <w:tcW w:w="1244"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永跃220kv升压站</w:t>
            </w:r>
            <w:r>
              <w:rPr>
                <w:rFonts w:hint="default" w:ascii="Times New Roman" w:hAnsi="Times New Roman" w:cs="Times New Roman"/>
                <w:bCs/>
                <w:color w:val="auto"/>
                <w:sz w:val="21"/>
                <w:szCs w:val="21"/>
                <w:highlight w:val="none"/>
                <w:lang w:eastAsia="zh-CN"/>
              </w:rPr>
              <w:t>厂界</w:t>
            </w:r>
            <w:r>
              <w:rPr>
                <w:rFonts w:hint="default" w:ascii="Times New Roman" w:hAnsi="Times New Roman" w:eastAsia="宋体" w:cs="Times New Roman"/>
                <w:bCs/>
                <w:color w:val="auto"/>
                <w:sz w:val="21"/>
                <w:szCs w:val="21"/>
                <w:highlight w:val="none"/>
                <w:lang w:val="en-US" w:eastAsia="zh-CN"/>
              </w:rPr>
              <w:t>南侧2</w:t>
            </w:r>
          </w:p>
        </w:tc>
        <w:tc>
          <w:tcPr>
            <w:tcW w:w="777"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08:41</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9.276</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21</w:t>
            </w:r>
            <w:r>
              <w:rPr>
                <w:rFonts w:hint="default" w:ascii="Times New Roman" w:hAnsi="Times New Roman" w:cs="Times New Roman"/>
                <w:bCs/>
                <w:color w:val="auto"/>
                <w:sz w:val="21"/>
                <w:szCs w:val="21"/>
                <w:highlight w:val="none"/>
              </w:rPr>
              <w:t>#</w:t>
            </w:r>
          </w:p>
        </w:tc>
        <w:tc>
          <w:tcPr>
            <w:tcW w:w="1244"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永跃220kv升压站</w:t>
            </w:r>
            <w:r>
              <w:rPr>
                <w:rFonts w:hint="default" w:ascii="Times New Roman" w:hAnsi="Times New Roman" w:cs="Times New Roman"/>
                <w:bCs/>
                <w:color w:val="auto"/>
                <w:sz w:val="21"/>
                <w:szCs w:val="21"/>
                <w:highlight w:val="none"/>
                <w:lang w:eastAsia="zh-CN"/>
              </w:rPr>
              <w:t>厂界</w:t>
            </w:r>
            <w:r>
              <w:rPr>
                <w:rFonts w:hint="default" w:ascii="Times New Roman" w:hAnsi="Times New Roman" w:eastAsia="宋体" w:cs="Times New Roman"/>
                <w:bCs/>
                <w:color w:val="auto"/>
                <w:sz w:val="21"/>
                <w:szCs w:val="21"/>
                <w:highlight w:val="none"/>
                <w:lang w:val="en-US" w:eastAsia="zh-CN"/>
              </w:rPr>
              <w:t>西侧1</w:t>
            </w:r>
          </w:p>
        </w:tc>
        <w:tc>
          <w:tcPr>
            <w:tcW w:w="777"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08:52</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8.255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22</w:t>
            </w:r>
            <w:r>
              <w:rPr>
                <w:rFonts w:hint="default" w:ascii="Times New Roman" w:hAnsi="Times New Roman" w:cs="Times New Roman"/>
                <w:bCs/>
                <w:color w:val="auto"/>
                <w:sz w:val="21"/>
                <w:szCs w:val="21"/>
                <w:highlight w:val="none"/>
              </w:rPr>
              <w:t>#</w:t>
            </w:r>
          </w:p>
        </w:tc>
        <w:tc>
          <w:tcPr>
            <w:tcW w:w="1244"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永跃220kv升压站</w:t>
            </w:r>
            <w:r>
              <w:rPr>
                <w:rFonts w:hint="default" w:ascii="Times New Roman" w:hAnsi="Times New Roman" w:cs="Times New Roman"/>
                <w:bCs/>
                <w:color w:val="auto"/>
                <w:sz w:val="21"/>
                <w:szCs w:val="21"/>
                <w:highlight w:val="none"/>
                <w:lang w:eastAsia="zh-CN"/>
              </w:rPr>
              <w:t>厂界</w:t>
            </w:r>
            <w:r>
              <w:rPr>
                <w:rFonts w:hint="default" w:ascii="Times New Roman" w:hAnsi="Times New Roman" w:eastAsia="宋体" w:cs="Times New Roman"/>
                <w:bCs/>
                <w:color w:val="auto"/>
                <w:sz w:val="21"/>
                <w:szCs w:val="21"/>
                <w:highlight w:val="none"/>
                <w:lang w:val="en-US" w:eastAsia="zh-CN"/>
              </w:rPr>
              <w:t>西侧2</w:t>
            </w:r>
          </w:p>
        </w:tc>
        <w:tc>
          <w:tcPr>
            <w:tcW w:w="777"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09:05</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9.302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23</w:t>
            </w:r>
            <w:r>
              <w:rPr>
                <w:rFonts w:hint="default" w:ascii="Times New Roman" w:hAnsi="Times New Roman" w:cs="Times New Roman"/>
                <w:bCs/>
                <w:color w:val="auto"/>
                <w:sz w:val="21"/>
                <w:szCs w:val="21"/>
                <w:highlight w:val="none"/>
              </w:rPr>
              <w:t>#</w:t>
            </w:r>
          </w:p>
        </w:tc>
        <w:tc>
          <w:tcPr>
            <w:tcW w:w="1244"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永跃220kv升压站</w:t>
            </w:r>
            <w:r>
              <w:rPr>
                <w:rFonts w:hint="default" w:ascii="Times New Roman" w:hAnsi="Times New Roman" w:cs="Times New Roman"/>
                <w:bCs/>
                <w:color w:val="auto"/>
                <w:sz w:val="21"/>
                <w:szCs w:val="21"/>
                <w:highlight w:val="none"/>
                <w:lang w:eastAsia="zh-CN"/>
              </w:rPr>
              <w:t>厂界</w:t>
            </w:r>
            <w:r>
              <w:rPr>
                <w:rFonts w:hint="default" w:ascii="Times New Roman" w:hAnsi="Times New Roman" w:eastAsia="宋体" w:cs="Times New Roman"/>
                <w:bCs/>
                <w:color w:val="auto"/>
                <w:sz w:val="21"/>
                <w:szCs w:val="21"/>
                <w:highlight w:val="none"/>
                <w:lang w:val="en-US" w:eastAsia="zh-CN"/>
              </w:rPr>
              <w:t>北侧1</w:t>
            </w:r>
          </w:p>
        </w:tc>
        <w:tc>
          <w:tcPr>
            <w:tcW w:w="777"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09:16</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9.044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24</w:t>
            </w:r>
            <w:r>
              <w:rPr>
                <w:rFonts w:hint="default" w:ascii="Times New Roman" w:hAnsi="Times New Roman" w:cs="Times New Roman"/>
                <w:bCs/>
                <w:color w:val="auto"/>
                <w:sz w:val="21"/>
                <w:szCs w:val="21"/>
                <w:highlight w:val="none"/>
              </w:rPr>
              <w:t>#</w:t>
            </w:r>
          </w:p>
        </w:tc>
        <w:tc>
          <w:tcPr>
            <w:tcW w:w="1244"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永跃220kv升压站</w:t>
            </w:r>
            <w:r>
              <w:rPr>
                <w:rFonts w:hint="default" w:ascii="Times New Roman" w:hAnsi="Times New Roman" w:cs="Times New Roman"/>
                <w:bCs/>
                <w:color w:val="auto"/>
                <w:sz w:val="21"/>
                <w:szCs w:val="21"/>
                <w:highlight w:val="none"/>
                <w:lang w:eastAsia="zh-CN"/>
              </w:rPr>
              <w:t>厂界</w:t>
            </w:r>
            <w:r>
              <w:rPr>
                <w:rFonts w:hint="default" w:ascii="Times New Roman" w:hAnsi="Times New Roman" w:eastAsia="宋体" w:cs="Times New Roman"/>
                <w:bCs/>
                <w:color w:val="auto"/>
                <w:sz w:val="21"/>
                <w:szCs w:val="21"/>
                <w:highlight w:val="none"/>
                <w:lang w:val="en-US" w:eastAsia="zh-CN"/>
              </w:rPr>
              <w:t>北侧2</w:t>
            </w:r>
          </w:p>
        </w:tc>
        <w:tc>
          <w:tcPr>
            <w:tcW w:w="777"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09:28</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9.028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386" w:type="pct"/>
            <w:gridSpan w:val="5"/>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《电磁环境控制限值》（GB 8702-2014）</w:t>
            </w:r>
          </w:p>
        </w:tc>
        <w:tc>
          <w:tcPr>
            <w:tcW w:w="806"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4000</w:t>
            </w:r>
          </w:p>
        </w:tc>
        <w:tc>
          <w:tcPr>
            <w:tcW w:w="807"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100</w:t>
            </w:r>
          </w:p>
        </w:tc>
      </w:tr>
    </w:tbl>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rPr>
          <w:rFonts w:hint="eastAsia"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rPr>
        <w:t>表</w:t>
      </w:r>
      <w:r>
        <w:rPr>
          <w:rFonts w:hint="default" w:ascii="Times New Roman" w:hAnsi="Times New Roman" w:eastAsia="宋体" w:cs="Times New Roman"/>
          <w:b/>
          <w:bCs/>
          <w:snapToGrid/>
          <w:color w:val="auto"/>
          <w:kern w:val="0"/>
          <w:sz w:val="24"/>
          <w:szCs w:val="24"/>
          <w:highlight w:val="none"/>
          <w:lang w:val="en-US" w:eastAsia="zh-CN" w:bidi="ar"/>
        </w:rPr>
        <w:t>4.3-</w:t>
      </w:r>
      <w:r>
        <w:rPr>
          <w:rFonts w:hint="default" w:ascii="Times New Roman" w:hAnsi="Times New Roman"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eastAsia" w:ascii="Times New Roman" w:hAnsi="Times New Roman" w:cs="Times New Roman"/>
          <w:b/>
          <w:color w:val="auto"/>
          <w:sz w:val="24"/>
          <w:szCs w:val="24"/>
          <w:highlight w:val="none"/>
          <w:lang w:val="en-US" w:eastAsia="zh-CN"/>
        </w:rPr>
        <w:t>输电线路</w:t>
      </w:r>
      <w:r>
        <w:rPr>
          <w:rFonts w:hint="default" w:ascii="Times New Roman" w:hAnsi="Times New Roman" w:cs="Times New Roman"/>
          <w:b/>
          <w:color w:val="auto"/>
          <w:sz w:val="24"/>
          <w:szCs w:val="24"/>
          <w:highlight w:val="none"/>
          <w:lang w:val="en-US" w:eastAsia="zh-CN"/>
        </w:rPr>
        <w:t>电磁辐射</w:t>
      </w:r>
      <w:r>
        <w:rPr>
          <w:rFonts w:hint="default" w:ascii="Times New Roman" w:hAnsi="Times New Roman" w:cs="Times New Roman"/>
          <w:b/>
          <w:color w:val="auto"/>
          <w:sz w:val="24"/>
          <w:szCs w:val="24"/>
          <w:highlight w:val="none"/>
        </w:rPr>
        <w:t>监测数据表</w:t>
      </w:r>
      <w:r>
        <w:rPr>
          <w:rFonts w:hint="eastAsia" w:ascii="Times New Roman" w:hAnsi="Times New Roman" w:cs="Times New Roman"/>
          <w:b/>
          <w:color w:val="auto"/>
          <w:sz w:val="24"/>
          <w:szCs w:val="24"/>
          <w:highlight w:val="none"/>
          <w:lang w:val="en-US" w:eastAsia="zh-CN"/>
        </w:rPr>
        <w:t>1</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609"/>
        <w:gridCol w:w="1239"/>
        <w:gridCol w:w="1532"/>
        <w:gridCol w:w="2"/>
        <w:gridCol w:w="1534"/>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67" w:type="dxa"/>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eastAsia" w:ascii="Times New Roman" w:hAnsi="Times New Roman" w:cs="Times New Roman"/>
                <w:b/>
                <w:bCs w:val="0"/>
                <w:color w:val="auto"/>
                <w:sz w:val="21"/>
                <w:szCs w:val="21"/>
                <w:highlight w:val="none"/>
                <w:lang w:eastAsia="zh-CN"/>
              </w:rPr>
              <w:t>点位编号</w:t>
            </w:r>
          </w:p>
        </w:tc>
        <w:tc>
          <w:tcPr>
            <w:tcW w:w="2622" w:type="dxa"/>
            <w:noWrap w:val="0"/>
            <w:vAlign w:val="center"/>
          </w:tcPr>
          <w:p>
            <w:pPr>
              <w:snapToGrid w:val="0"/>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点位</w:t>
            </w:r>
            <w:r>
              <w:rPr>
                <w:rFonts w:hint="eastAsia" w:ascii="Times New Roman" w:hAnsi="Times New Roman" w:cs="Times New Roman"/>
                <w:b/>
                <w:bCs w:val="0"/>
                <w:color w:val="auto"/>
                <w:sz w:val="21"/>
                <w:szCs w:val="21"/>
                <w:highlight w:val="none"/>
                <w:lang w:eastAsia="zh-CN"/>
              </w:rPr>
              <w:t>名称</w:t>
            </w:r>
          </w:p>
        </w:tc>
        <w:tc>
          <w:tcPr>
            <w:tcW w:w="651" w:type="pct"/>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rPr>
              <w:t>监测</w:t>
            </w:r>
            <w:r>
              <w:rPr>
                <w:rFonts w:hint="default" w:ascii="Times New Roman" w:hAnsi="Times New Roman" w:cs="Times New Roman"/>
                <w:b/>
                <w:bCs w:val="0"/>
                <w:color w:val="auto"/>
                <w:sz w:val="21"/>
                <w:szCs w:val="21"/>
                <w:highlight w:val="none"/>
                <w:lang w:eastAsia="zh-CN"/>
              </w:rPr>
              <w:t>日期</w:t>
            </w:r>
          </w:p>
        </w:tc>
        <w:tc>
          <w:tcPr>
            <w:tcW w:w="805" w:type="pct"/>
            <w:noWrap w:val="0"/>
            <w:vAlign w:val="center"/>
          </w:tcPr>
          <w:p>
            <w:pPr>
              <w:snapToGrid w:val="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监测时间</w:t>
            </w:r>
          </w:p>
        </w:tc>
        <w:tc>
          <w:tcPr>
            <w:tcW w:w="807" w:type="pct"/>
            <w:gridSpan w:val="2"/>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工频电场强度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V/m</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c>
          <w:tcPr>
            <w:tcW w:w="807" w:type="pct"/>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工频磁感应强度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μT</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25</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新建500kv汇集站500kv高压出线端1</w:t>
            </w:r>
          </w:p>
        </w:tc>
        <w:tc>
          <w:tcPr>
            <w:tcW w:w="651" w:type="pct"/>
            <w:vMerge w:val="restart"/>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8月1日</w:t>
            </w: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09:50</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9.017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26</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10:02</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9.162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27</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新建500kv汇集站500kv高压出线端3</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10:14</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8.854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28</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新建500kv汇集站500kv高压出线端4</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10:28</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8.817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29</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新建500kv汇集站500kv高压出线端5</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10:41</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8.705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30</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新建500kv汇集站500kv高压出线端6</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10:55</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8.771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31</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新建500kv汇集站500kv高压出线端7</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11:06</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8.780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32</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新建500kv汇集站500kv高压出线端8</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11:17</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8.680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0.192</w:t>
            </w:r>
            <w:r>
              <w:rPr>
                <w:rFonts w:hint="eastAsia" w:ascii="Times New Roman" w:hAnsi="Times New Roman" w:eastAsia="宋体" w:cs="Times New Roman"/>
                <w:bCs/>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33</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新建500kv汇集站500kv高压出线端9</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11:29</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8.586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34</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新建500kv汇集站500kv高压出线端10</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11:41</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8.529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35</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新建500kv汇集站500kv高压出线端11</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11:54</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9.399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36</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新建500kv汇集站500kv高压出线端12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12:03</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8.779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37</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新建500kv汇集站500kv高压出线端13</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12:15</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8.862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38</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新建500kv汇集站500kv高压出线端14</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12:26</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9.398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39</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新建500kv汇集站500kv高压出线端15</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12:40</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8.480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w:t>
            </w:r>
            <w:r>
              <w:rPr>
                <w:rFonts w:hint="eastAsia" w:ascii="Times New Roman" w:hAnsi="Times New Roman" w:eastAsia="宋体" w:cs="Times New Roman"/>
                <w:bCs/>
                <w:color w:val="auto"/>
                <w:sz w:val="21"/>
                <w:szCs w:val="21"/>
                <w:highlight w:val="no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40</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新建500kv汇集站500kv高压出线端16</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12:52</w:t>
            </w:r>
          </w:p>
        </w:tc>
        <w:tc>
          <w:tcPr>
            <w:tcW w:w="807" w:type="pct"/>
            <w:gridSpan w:val="2"/>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8.155 </w:t>
            </w:r>
          </w:p>
        </w:tc>
        <w:tc>
          <w:tcPr>
            <w:tcW w:w="807"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41</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新建500kv汇集站500kv高压出线端17</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13:04</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8.753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0.185</w:t>
            </w:r>
            <w:r>
              <w:rPr>
                <w:rFonts w:hint="eastAsia" w:ascii="Times New Roman" w:hAnsi="Times New Roman" w:eastAsia="宋体" w:cs="Times New Roman"/>
                <w:bCs/>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42</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新建500kv汇集站500kv高压出线端18</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13:15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8.678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43</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新建500kv汇集站500kv高压出线端19</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13:27</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8.008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44</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新建500kv汇集站500kv高压出线端20</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13:38</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8.541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45</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新建500kv汇集站500kv高压出线端21</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13:50</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8.791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46</w:t>
            </w:r>
            <w:r>
              <w:rPr>
                <w:rFonts w:hint="default" w:ascii="Times New Roman" w:hAnsi="Times New Roman" w:cs="Times New Roman"/>
                <w:bCs/>
                <w:color w:val="auto"/>
                <w:sz w:val="21"/>
                <w:szCs w:val="21"/>
                <w:highlight w:val="none"/>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新建500kv汇集站500kv高压出线端22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14:00</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8.238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386" w:type="pct"/>
            <w:gridSpan w:val="5"/>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《电磁环境控制限值》（GB 8702-2014）</w:t>
            </w:r>
          </w:p>
        </w:tc>
        <w:tc>
          <w:tcPr>
            <w:tcW w:w="806"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4000</w:t>
            </w:r>
          </w:p>
        </w:tc>
        <w:tc>
          <w:tcPr>
            <w:tcW w:w="807"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100</w:t>
            </w:r>
          </w:p>
        </w:tc>
      </w:tr>
    </w:tbl>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rPr>
          <w:rFonts w:hint="eastAsia"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rPr>
        <w:t>表</w:t>
      </w:r>
      <w:r>
        <w:rPr>
          <w:rFonts w:hint="default" w:ascii="Times New Roman" w:hAnsi="Times New Roman" w:eastAsia="宋体" w:cs="Times New Roman"/>
          <w:b/>
          <w:bCs/>
          <w:snapToGrid/>
          <w:color w:val="auto"/>
          <w:kern w:val="0"/>
          <w:sz w:val="24"/>
          <w:szCs w:val="24"/>
          <w:highlight w:val="none"/>
          <w:lang w:val="en-US" w:eastAsia="zh-CN" w:bidi="ar"/>
        </w:rPr>
        <w:t>4.3-</w:t>
      </w:r>
      <w:r>
        <w:rPr>
          <w:rFonts w:hint="default" w:ascii="Times New Roman" w:hAnsi="Times New Roman"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eastAsia" w:ascii="Times New Roman" w:hAnsi="Times New Roman" w:cs="Times New Roman"/>
          <w:b/>
          <w:color w:val="auto"/>
          <w:sz w:val="24"/>
          <w:szCs w:val="24"/>
          <w:highlight w:val="none"/>
          <w:lang w:val="en-US" w:eastAsia="zh-CN"/>
        </w:rPr>
        <w:t>输电线路</w:t>
      </w:r>
      <w:r>
        <w:rPr>
          <w:rFonts w:hint="default" w:ascii="Times New Roman" w:hAnsi="Times New Roman" w:cs="Times New Roman"/>
          <w:b/>
          <w:color w:val="auto"/>
          <w:sz w:val="24"/>
          <w:szCs w:val="24"/>
          <w:highlight w:val="none"/>
          <w:lang w:val="en-US" w:eastAsia="zh-CN"/>
        </w:rPr>
        <w:t>电磁辐射</w:t>
      </w:r>
      <w:r>
        <w:rPr>
          <w:rFonts w:hint="default" w:ascii="Times New Roman" w:hAnsi="Times New Roman" w:cs="Times New Roman"/>
          <w:b/>
          <w:color w:val="auto"/>
          <w:sz w:val="24"/>
          <w:szCs w:val="24"/>
          <w:highlight w:val="none"/>
        </w:rPr>
        <w:t>监测数据表</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609"/>
        <w:gridCol w:w="1239"/>
        <w:gridCol w:w="1532"/>
        <w:gridCol w:w="2"/>
        <w:gridCol w:w="1534"/>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67" w:type="dxa"/>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eastAsia" w:ascii="Times New Roman" w:hAnsi="Times New Roman" w:cs="Times New Roman"/>
                <w:b/>
                <w:bCs w:val="0"/>
                <w:color w:val="auto"/>
                <w:sz w:val="21"/>
                <w:szCs w:val="21"/>
                <w:highlight w:val="none"/>
                <w:lang w:eastAsia="zh-CN"/>
              </w:rPr>
              <w:t>点位编号</w:t>
            </w:r>
          </w:p>
        </w:tc>
        <w:tc>
          <w:tcPr>
            <w:tcW w:w="2622" w:type="dxa"/>
            <w:noWrap w:val="0"/>
            <w:vAlign w:val="center"/>
          </w:tcPr>
          <w:p>
            <w:pPr>
              <w:snapToGrid w:val="0"/>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点位</w:t>
            </w:r>
            <w:r>
              <w:rPr>
                <w:rFonts w:hint="eastAsia" w:ascii="Times New Roman" w:hAnsi="Times New Roman" w:cs="Times New Roman"/>
                <w:b/>
                <w:bCs w:val="0"/>
                <w:color w:val="auto"/>
                <w:sz w:val="21"/>
                <w:szCs w:val="21"/>
                <w:highlight w:val="none"/>
                <w:lang w:eastAsia="zh-CN"/>
              </w:rPr>
              <w:t>名称</w:t>
            </w:r>
          </w:p>
        </w:tc>
        <w:tc>
          <w:tcPr>
            <w:tcW w:w="651" w:type="pct"/>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rPr>
              <w:t>监测</w:t>
            </w:r>
            <w:r>
              <w:rPr>
                <w:rFonts w:hint="default" w:ascii="Times New Roman" w:hAnsi="Times New Roman" w:cs="Times New Roman"/>
                <w:b/>
                <w:bCs w:val="0"/>
                <w:color w:val="auto"/>
                <w:sz w:val="21"/>
                <w:szCs w:val="21"/>
                <w:highlight w:val="none"/>
                <w:lang w:eastAsia="zh-CN"/>
              </w:rPr>
              <w:t>日期</w:t>
            </w:r>
          </w:p>
        </w:tc>
        <w:tc>
          <w:tcPr>
            <w:tcW w:w="805" w:type="pct"/>
            <w:noWrap w:val="0"/>
            <w:vAlign w:val="center"/>
          </w:tcPr>
          <w:p>
            <w:pPr>
              <w:snapToGrid w:val="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监测时间</w:t>
            </w:r>
          </w:p>
        </w:tc>
        <w:tc>
          <w:tcPr>
            <w:tcW w:w="807" w:type="pct"/>
            <w:gridSpan w:val="2"/>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工频电场强度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V/m</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c>
          <w:tcPr>
            <w:tcW w:w="807" w:type="pct"/>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工频磁感应强度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μT</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47</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高压入线端1</w:t>
            </w:r>
          </w:p>
        </w:tc>
        <w:tc>
          <w:tcPr>
            <w:tcW w:w="651" w:type="pct"/>
            <w:vMerge w:val="restart"/>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8月2日</w:t>
            </w: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09:41</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8.470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48</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09:52</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8.491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49</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高压入线端3</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10:03</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8.255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0.192</w:t>
            </w:r>
            <w:r>
              <w:rPr>
                <w:rFonts w:hint="eastAsia" w:ascii="Times New Roman" w:hAnsi="Times New Roman" w:eastAsia="宋体" w:cs="Times New Roman"/>
                <w:bCs/>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50</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高压入线端4</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10:14</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8.006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51</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高压入线端5</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10:26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8.584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52</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高压入线端6</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10:39</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8.731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53</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高压入线端7</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10:51</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8.564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54</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高压入线端8</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11:02</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8.956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55</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高压入线端9</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11:14</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8.969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56</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高压入线端10</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11:27</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8.067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57</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高压入线端11</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11:40</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8.604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58</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高压入线端12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11:53</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8.061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59</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高压入线端13</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12:04</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8.684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60</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高压入线端14</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12:16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8.732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61</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高压入线端15</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12:28</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8.678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62</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高压入线端16</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12:40</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8.426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63</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高压入线端17</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12:51</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8.947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64</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高压入线端18</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14:57</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8.639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0.187</w:t>
            </w:r>
            <w:r>
              <w:rPr>
                <w:rFonts w:hint="eastAsia" w:ascii="Times New Roman" w:hAnsi="Times New Roman" w:eastAsia="宋体" w:cs="Times New Roman"/>
                <w:bCs/>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65</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高压入线端19</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15:09</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8.636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66</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高压入线端20</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15:20</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8.858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67</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高压入线端21</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15:34</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8.169 </w:t>
            </w:r>
          </w:p>
        </w:tc>
        <w:tc>
          <w:tcPr>
            <w:tcW w:w="807" w:type="pct"/>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i w:val="0"/>
                <w:iCs w:val="0"/>
                <w:color w:val="auto"/>
                <w:kern w:val="0"/>
                <w:sz w:val="24"/>
                <w:szCs w:val="24"/>
                <w:highlight w:val="none"/>
                <w:u w:val="none"/>
                <w:lang w:val="en-US" w:eastAsia="zh-CN" w:bidi="ar"/>
              </w:rPr>
              <w:t>0.1991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68</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500kv国富变电站</w:t>
            </w:r>
            <w:r>
              <w:rPr>
                <w:rFonts w:hint="default" w:ascii="Times New Roman" w:hAnsi="Times New Roman" w:eastAsia="宋体" w:cs="Times New Roman"/>
                <w:bCs/>
                <w:color w:val="auto"/>
                <w:sz w:val="21"/>
                <w:szCs w:val="21"/>
                <w:highlight w:val="none"/>
                <w:lang w:val="en-US" w:eastAsia="zh-CN"/>
              </w:rPr>
              <w:t>高压入线端22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15:45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8.421 </w:t>
            </w:r>
          </w:p>
        </w:tc>
        <w:tc>
          <w:tcPr>
            <w:tcW w:w="807" w:type="pct"/>
            <w:noWrap w:val="0"/>
            <w:vAlign w:val="center"/>
          </w:tcPr>
          <w:p>
            <w:pPr>
              <w:keepNext w:val="0"/>
              <w:keepLines w:val="0"/>
              <w:widowControl/>
              <w:suppressLineNumbers w:val="0"/>
              <w:jc w:val="right"/>
              <w:textAlignment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i w:val="0"/>
                <w:iCs w:val="0"/>
                <w:color w:val="auto"/>
                <w:kern w:val="0"/>
                <w:sz w:val="24"/>
                <w:szCs w:val="24"/>
                <w:highlight w:val="none"/>
                <w:u w:val="none"/>
                <w:lang w:val="en-US" w:eastAsia="zh-CN" w:bidi="ar"/>
              </w:rPr>
              <w:t>0.1856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386" w:type="pct"/>
            <w:gridSpan w:val="5"/>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《电磁环境控制限值》（GB 8702-2014）</w:t>
            </w:r>
          </w:p>
        </w:tc>
        <w:tc>
          <w:tcPr>
            <w:tcW w:w="806"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4000</w:t>
            </w:r>
          </w:p>
        </w:tc>
        <w:tc>
          <w:tcPr>
            <w:tcW w:w="807"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100</w:t>
            </w:r>
          </w:p>
        </w:tc>
      </w:tr>
    </w:tbl>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rPr>
          <w:rFonts w:hint="eastAsia"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rPr>
        <w:t>表</w:t>
      </w:r>
      <w:r>
        <w:rPr>
          <w:rFonts w:hint="default" w:ascii="Times New Roman" w:hAnsi="Times New Roman" w:eastAsia="宋体" w:cs="Times New Roman"/>
          <w:b/>
          <w:bCs/>
          <w:snapToGrid/>
          <w:color w:val="auto"/>
          <w:kern w:val="0"/>
          <w:sz w:val="24"/>
          <w:szCs w:val="24"/>
          <w:highlight w:val="none"/>
          <w:lang w:val="en-US" w:eastAsia="zh-CN" w:bidi="ar"/>
        </w:rPr>
        <w:t>4.3-</w:t>
      </w:r>
      <w:r>
        <w:rPr>
          <w:rFonts w:hint="default" w:ascii="Times New Roman" w:hAnsi="Times New Roman" w:cs="Times New Roman"/>
          <w:b/>
          <w:color w:val="auto"/>
          <w:sz w:val="24"/>
          <w:szCs w:val="24"/>
          <w:highlight w:val="none"/>
          <w:lang w:val="en-US" w:eastAsia="zh-CN"/>
        </w:rPr>
        <w:t>7</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eastAsia" w:ascii="Times New Roman" w:hAnsi="Times New Roman" w:cs="Times New Roman"/>
          <w:b/>
          <w:color w:val="auto"/>
          <w:sz w:val="24"/>
          <w:szCs w:val="24"/>
          <w:highlight w:val="none"/>
          <w:lang w:val="en-US" w:eastAsia="zh-CN"/>
        </w:rPr>
        <w:t>输电线路</w:t>
      </w:r>
      <w:r>
        <w:rPr>
          <w:rFonts w:hint="default" w:ascii="Times New Roman" w:hAnsi="Times New Roman" w:cs="Times New Roman"/>
          <w:b/>
          <w:color w:val="auto"/>
          <w:sz w:val="24"/>
          <w:szCs w:val="24"/>
          <w:highlight w:val="none"/>
          <w:lang w:val="en-US" w:eastAsia="zh-CN"/>
        </w:rPr>
        <w:t>电磁辐射</w:t>
      </w:r>
      <w:r>
        <w:rPr>
          <w:rFonts w:hint="default" w:ascii="Times New Roman" w:hAnsi="Times New Roman" w:cs="Times New Roman"/>
          <w:b/>
          <w:color w:val="auto"/>
          <w:sz w:val="24"/>
          <w:szCs w:val="24"/>
          <w:highlight w:val="none"/>
        </w:rPr>
        <w:t>监测数据表</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609"/>
        <w:gridCol w:w="1239"/>
        <w:gridCol w:w="1532"/>
        <w:gridCol w:w="2"/>
        <w:gridCol w:w="1534"/>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58" w:type="pct"/>
            <w:noWrap w:val="0"/>
            <w:vAlign w:val="center"/>
          </w:tcPr>
          <w:p>
            <w:pPr>
              <w:snapToGrid w:val="0"/>
              <w:jc w:val="center"/>
              <w:rPr>
                <w:rFonts w:hint="default" w:ascii="Times New Roman" w:hAnsi="Times New Roman" w:eastAsia="宋体" w:cs="Times New Roman"/>
                <w:b/>
                <w:bCs w:val="0"/>
                <w:color w:val="auto"/>
                <w:kern w:val="2"/>
                <w:sz w:val="21"/>
                <w:szCs w:val="21"/>
                <w:highlight w:val="none"/>
                <w:lang w:val="en-US" w:eastAsia="zh-CN" w:bidi="ar-SA"/>
              </w:rPr>
            </w:pPr>
            <w:r>
              <w:rPr>
                <w:rFonts w:hint="eastAsia" w:ascii="Times New Roman" w:hAnsi="Times New Roman" w:cs="Times New Roman"/>
                <w:b/>
                <w:bCs w:val="0"/>
                <w:color w:val="auto"/>
                <w:sz w:val="21"/>
                <w:szCs w:val="21"/>
                <w:highlight w:val="none"/>
                <w:lang w:eastAsia="zh-CN"/>
              </w:rPr>
              <w:t>点位编号</w:t>
            </w:r>
          </w:p>
        </w:tc>
        <w:tc>
          <w:tcPr>
            <w:tcW w:w="1371" w:type="pct"/>
            <w:noWrap w:val="0"/>
            <w:vAlign w:val="center"/>
          </w:tcPr>
          <w:p>
            <w:pPr>
              <w:snapToGrid w:val="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cs="Times New Roman"/>
                <w:b/>
                <w:bCs w:val="0"/>
                <w:color w:val="auto"/>
                <w:sz w:val="21"/>
                <w:szCs w:val="21"/>
                <w:highlight w:val="none"/>
              </w:rPr>
              <w:t>点位</w:t>
            </w:r>
            <w:r>
              <w:rPr>
                <w:rFonts w:hint="eastAsia" w:ascii="Times New Roman" w:hAnsi="Times New Roman" w:cs="Times New Roman"/>
                <w:b/>
                <w:bCs w:val="0"/>
                <w:color w:val="auto"/>
                <w:sz w:val="21"/>
                <w:szCs w:val="21"/>
                <w:highlight w:val="none"/>
                <w:lang w:eastAsia="zh-CN"/>
              </w:rPr>
              <w:t>名称</w:t>
            </w:r>
          </w:p>
        </w:tc>
        <w:tc>
          <w:tcPr>
            <w:tcW w:w="651" w:type="pct"/>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rPr>
              <w:t>监测</w:t>
            </w:r>
            <w:r>
              <w:rPr>
                <w:rFonts w:hint="default" w:ascii="Times New Roman" w:hAnsi="Times New Roman" w:cs="Times New Roman"/>
                <w:b/>
                <w:bCs w:val="0"/>
                <w:color w:val="auto"/>
                <w:sz w:val="21"/>
                <w:szCs w:val="21"/>
                <w:highlight w:val="none"/>
                <w:lang w:eastAsia="zh-CN"/>
              </w:rPr>
              <w:t>日期</w:t>
            </w:r>
          </w:p>
        </w:tc>
        <w:tc>
          <w:tcPr>
            <w:tcW w:w="805" w:type="pct"/>
            <w:noWrap w:val="0"/>
            <w:vAlign w:val="center"/>
          </w:tcPr>
          <w:p>
            <w:pPr>
              <w:snapToGrid w:val="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监测时间</w:t>
            </w:r>
          </w:p>
        </w:tc>
        <w:tc>
          <w:tcPr>
            <w:tcW w:w="807" w:type="pct"/>
            <w:gridSpan w:val="2"/>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工频电场强度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V/m</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c>
          <w:tcPr>
            <w:tcW w:w="807" w:type="pct"/>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工频磁感应强度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μT</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69</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永跃220kv升压站220kv出线端1</w:t>
            </w:r>
          </w:p>
        </w:tc>
        <w:tc>
          <w:tcPr>
            <w:tcW w:w="651" w:type="pct"/>
            <w:vMerge w:val="restart"/>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8月2日</w:t>
            </w: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16:20</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9.158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70</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16:31</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8.544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71</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永跃220kv升压站220kv出线端3</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16:42</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8.924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72</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永跃220kv升压站220kv出线端4</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16:55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8.967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73</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永跃220kv升压站220kv出线端5</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17:05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8.548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74</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永跃220kv升压站220kv出线端6</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17:16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9.095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75</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永跃220kv升压站220kv出线端7</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17:28</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8.672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76</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永跃220kv升压站220kv出线端8</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17:39</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9.311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77</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永跃220kv升压站220kv出线端9</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17:52</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8.885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78</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永跃220kv升压站220kv出线端10</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18:02</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9.273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79</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永跃220kv升压站220kv出线端11</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18:13</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9.325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80</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永跃220kv升压站220kv出线端12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18:25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8.935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81</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永跃220kv升压站220kv出线端13</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18:36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8.787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82</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永跃220kv升压站220kv出线端14</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18:48</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8.781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83</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永跃220kv升压站220kv出线端15</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19:00</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9.202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84</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永跃220kv升压站220kv出线端16</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19:12</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8.558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85</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永跃220kv升压站220kv出线端17</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19:25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8.729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2"/>
                <w:szCs w:val="22"/>
                <w:highlight w:val="none"/>
                <w:u w:val="none"/>
                <w:lang w:val="en-US" w:eastAsia="zh-CN" w:bidi="ar"/>
              </w:rPr>
              <w:t>86</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永跃220kv升压站220kv出线端18</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19:36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8.768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386" w:type="pct"/>
            <w:gridSpan w:val="5"/>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《电磁环境控制限值》（GB 8702-2014）</w:t>
            </w:r>
          </w:p>
        </w:tc>
        <w:tc>
          <w:tcPr>
            <w:tcW w:w="806"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4000</w:t>
            </w:r>
          </w:p>
        </w:tc>
        <w:tc>
          <w:tcPr>
            <w:tcW w:w="807"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100</w:t>
            </w:r>
          </w:p>
        </w:tc>
      </w:tr>
    </w:tbl>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rPr>
          <w:rFonts w:hint="eastAsia"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rPr>
        <w:t>表</w:t>
      </w:r>
      <w:r>
        <w:rPr>
          <w:rFonts w:hint="default" w:ascii="Times New Roman" w:hAnsi="Times New Roman" w:eastAsia="宋体" w:cs="Times New Roman"/>
          <w:b/>
          <w:bCs/>
          <w:snapToGrid/>
          <w:color w:val="auto"/>
          <w:kern w:val="0"/>
          <w:sz w:val="24"/>
          <w:szCs w:val="24"/>
          <w:highlight w:val="none"/>
          <w:lang w:val="en-US" w:eastAsia="zh-CN" w:bidi="ar"/>
        </w:rPr>
        <w:t>4.3-</w:t>
      </w:r>
      <w:r>
        <w:rPr>
          <w:rFonts w:hint="default" w:ascii="Times New Roman" w:hAnsi="Times New Roman" w:cs="Times New Roman"/>
          <w:b/>
          <w:color w:val="auto"/>
          <w:sz w:val="24"/>
          <w:szCs w:val="24"/>
          <w:highlight w:val="none"/>
          <w:lang w:val="en-US" w:eastAsia="zh-CN"/>
        </w:rPr>
        <w:t>8</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eastAsia" w:ascii="Times New Roman" w:hAnsi="Times New Roman" w:cs="Times New Roman"/>
          <w:b/>
          <w:color w:val="auto"/>
          <w:sz w:val="24"/>
          <w:szCs w:val="24"/>
          <w:highlight w:val="none"/>
          <w:lang w:val="en-US" w:eastAsia="zh-CN"/>
        </w:rPr>
        <w:t>输电线路</w:t>
      </w:r>
      <w:r>
        <w:rPr>
          <w:rFonts w:hint="default" w:ascii="Times New Roman" w:hAnsi="Times New Roman" w:cs="Times New Roman"/>
          <w:b/>
          <w:color w:val="auto"/>
          <w:sz w:val="24"/>
          <w:szCs w:val="24"/>
          <w:highlight w:val="none"/>
          <w:lang w:val="en-US" w:eastAsia="zh-CN"/>
        </w:rPr>
        <w:t>电磁辐射</w:t>
      </w:r>
      <w:r>
        <w:rPr>
          <w:rFonts w:hint="default" w:ascii="Times New Roman" w:hAnsi="Times New Roman" w:cs="Times New Roman"/>
          <w:b/>
          <w:color w:val="auto"/>
          <w:sz w:val="24"/>
          <w:szCs w:val="24"/>
          <w:highlight w:val="none"/>
        </w:rPr>
        <w:t>监测数据表</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609"/>
        <w:gridCol w:w="1239"/>
        <w:gridCol w:w="1532"/>
        <w:gridCol w:w="2"/>
        <w:gridCol w:w="1534"/>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558" w:type="pct"/>
            <w:noWrap w:val="0"/>
            <w:vAlign w:val="center"/>
          </w:tcPr>
          <w:p>
            <w:pPr>
              <w:snapToGrid w:val="0"/>
              <w:jc w:val="center"/>
              <w:rPr>
                <w:rFonts w:hint="default" w:ascii="Times New Roman" w:hAnsi="Times New Roman" w:eastAsia="宋体" w:cs="Times New Roman"/>
                <w:b/>
                <w:bCs w:val="0"/>
                <w:color w:val="auto"/>
                <w:kern w:val="2"/>
                <w:sz w:val="21"/>
                <w:szCs w:val="21"/>
                <w:highlight w:val="none"/>
                <w:lang w:val="en-US" w:eastAsia="zh-CN" w:bidi="ar-SA"/>
              </w:rPr>
            </w:pPr>
            <w:r>
              <w:rPr>
                <w:rFonts w:hint="eastAsia" w:ascii="Times New Roman" w:hAnsi="Times New Roman" w:cs="Times New Roman"/>
                <w:b/>
                <w:bCs w:val="0"/>
                <w:color w:val="auto"/>
                <w:sz w:val="21"/>
                <w:szCs w:val="21"/>
                <w:highlight w:val="none"/>
                <w:lang w:eastAsia="zh-CN"/>
              </w:rPr>
              <w:t>点位编号</w:t>
            </w:r>
          </w:p>
        </w:tc>
        <w:tc>
          <w:tcPr>
            <w:tcW w:w="1371" w:type="pct"/>
            <w:noWrap w:val="0"/>
            <w:vAlign w:val="center"/>
          </w:tcPr>
          <w:p>
            <w:pPr>
              <w:snapToGrid w:val="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cs="Times New Roman"/>
                <w:b/>
                <w:bCs w:val="0"/>
                <w:color w:val="auto"/>
                <w:sz w:val="21"/>
                <w:szCs w:val="21"/>
                <w:highlight w:val="none"/>
              </w:rPr>
              <w:t>点位</w:t>
            </w:r>
            <w:r>
              <w:rPr>
                <w:rFonts w:hint="eastAsia" w:ascii="Times New Roman" w:hAnsi="Times New Roman" w:cs="Times New Roman"/>
                <w:b/>
                <w:bCs w:val="0"/>
                <w:color w:val="auto"/>
                <w:sz w:val="21"/>
                <w:szCs w:val="21"/>
                <w:highlight w:val="none"/>
                <w:lang w:eastAsia="zh-CN"/>
              </w:rPr>
              <w:t>名称</w:t>
            </w:r>
          </w:p>
        </w:tc>
        <w:tc>
          <w:tcPr>
            <w:tcW w:w="651" w:type="pct"/>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rPr>
              <w:t>监测</w:t>
            </w:r>
            <w:r>
              <w:rPr>
                <w:rFonts w:hint="default" w:ascii="Times New Roman" w:hAnsi="Times New Roman" w:cs="Times New Roman"/>
                <w:b/>
                <w:bCs w:val="0"/>
                <w:color w:val="auto"/>
                <w:sz w:val="21"/>
                <w:szCs w:val="21"/>
                <w:highlight w:val="none"/>
                <w:lang w:eastAsia="zh-CN"/>
              </w:rPr>
              <w:t>日期</w:t>
            </w:r>
          </w:p>
        </w:tc>
        <w:tc>
          <w:tcPr>
            <w:tcW w:w="805" w:type="pct"/>
            <w:noWrap w:val="0"/>
            <w:vAlign w:val="center"/>
          </w:tcPr>
          <w:p>
            <w:pPr>
              <w:snapToGrid w:val="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监测时间</w:t>
            </w:r>
          </w:p>
        </w:tc>
        <w:tc>
          <w:tcPr>
            <w:tcW w:w="807" w:type="pct"/>
            <w:gridSpan w:val="2"/>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工频电场强度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V/m</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c>
          <w:tcPr>
            <w:tcW w:w="807" w:type="pct"/>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工频磁感应强度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μT</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87</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新建500kv汇集站220kv入线端1</w:t>
            </w:r>
          </w:p>
        </w:tc>
        <w:tc>
          <w:tcPr>
            <w:tcW w:w="651" w:type="pct"/>
            <w:vMerge w:val="restart"/>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8月1日</w:t>
            </w: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16:18</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8.951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0.197</w:t>
            </w:r>
            <w:r>
              <w:rPr>
                <w:rFonts w:hint="eastAsia" w:ascii="Times New Roman" w:hAnsi="Times New Roman" w:eastAsia="宋体" w:cs="Times New Roman"/>
                <w:bCs/>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88</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16:30</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8.170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89</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新建500kv汇集站220kv入线端3</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16:41</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8.219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90</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新建500kv汇集站220kv入线端4</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16:55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8.279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0.195</w:t>
            </w:r>
            <w:r>
              <w:rPr>
                <w:rFonts w:hint="eastAsia" w:ascii="Times New Roman" w:hAnsi="Times New Roman" w:eastAsia="宋体" w:cs="Times New Roman"/>
                <w:bCs/>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91</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新建500kv汇集站220kv入线端5</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17:06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8.556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92</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新建500kv汇集站220kv入线端6</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17:16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8.435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93</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新建500kv汇集站220kv入线端7</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17:28</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8.090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94</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新建500kv汇集站220kv入线端8</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17:31</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8.961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95</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新建500kv汇集站220kv入线端9</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17:45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8.938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96</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新建500kv汇集站220kv入线端10</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17:55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8.686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97</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新建500kv汇集站220kv入线端11</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18:06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8.794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98</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新建500kv汇集站220kv入线端12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18:17</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8.815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99</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新建500kv汇集站220kv入线端13</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18:29</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8.561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100</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新建500kv汇集站220kv入线端14</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18:43</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8.263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101</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新建500kv汇集站220kv入线端15</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18:53</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8.593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102</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新建500kv汇集站220kv入线端16</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19:04</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8.554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103</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新建500kv汇集站220kv入线端17</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19:16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8.231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104</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新建500kv汇集站220kv入线端18</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19:28</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8.719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386" w:type="pct"/>
            <w:gridSpan w:val="5"/>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《电磁环境控制限值》（GB 8702-2014）</w:t>
            </w:r>
          </w:p>
        </w:tc>
        <w:tc>
          <w:tcPr>
            <w:tcW w:w="806"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4000</w:t>
            </w:r>
          </w:p>
        </w:tc>
        <w:tc>
          <w:tcPr>
            <w:tcW w:w="807"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100</w:t>
            </w:r>
          </w:p>
        </w:tc>
      </w:tr>
    </w:tbl>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rPr>
          <w:rFonts w:hint="eastAsia"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rPr>
        <w:t>表</w:t>
      </w:r>
      <w:r>
        <w:rPr>
          <w:rFonts w:hint="default" w:ascii="Times New Roman" w:hAnsi="Times New Roman" w:eastAsia="宋体" w:cs="Times New Roman"/>
          <w:b/>
          <w:bCs/>
          <w:snapToGrid/>
          <w:color w:val="auto"/>
          <w:kern w:val="0"/>
          <w:sz w:val="24"/>
          <w:szCs w:val="24"/>
          <w:highlight w:val="none"/>
          <w:lang w:val="en-US" w:eastAsia="zh-CN" w:bidi="ar"/>
        </w:rPr>
        <w:t>4.3-</w:t>
      </w:r>
      <w:r>
        <w:rPr>
          <w:rFonts w:hint="default" w:ascii="Times New Roman" w:hAnsi="Times New Roman" w:cs="Times New Roman"/>
          <w:b/>
          <w:color w:val="auto"/>
          <w:sz w:val="24"/>
          <w:szCs w:val="24"/>
          <w:highlight w:val="none"/>
          <w:lang w:val="en-US" w:eastAsia="zh-CN"/>
        </w:rPr>
        <w:t>9</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eastAsia" w:ascii="Times New Roman" w:hAnsi="Times New Roman" w:cs="Times New Roman"/>
          <w:b/>
          <w:color w:val="auto"/>
          <w:sz w:val="24"/>
          <w:szCs w:val="24"/>
          <w:highlight w:val="none"/>
          <w:lang w:val="en-US" w:eastAsia="zh-CN"/>
        </w:rPr>
        <w:t>输电线路</w:t>
      </w:r>
      <w:r>
        <w:rPr>
          <w:rFonts w:hint="default" w:ascii="Times New Roman" w:hAnsi="Times New Roman" w:cs="Times New Roman"/>
          <w:b/>
          <w:color w:val="auto"/>
          <w:sz w:val="24"/>
          <w:szCs w:val="24"/>
          <w:highlight w:val="none"/>
          <w:lang w:val="en-US" w:eastAsia="zh-CN"/>
        </w:rPr>
        <w:t>电磁辐射</w:t>
      </w:r>
      <w:r>
        <w:rPr>
          <w:rFonts w:hint="default" w:ascii="Times New Roman" w:hAnsi="Times New Roman" w:cs="Times New Roman"/>
          <w:b/>
          <w:color w:val="auto"/>
          <w:sz w:val="24"/>
          <w:szCs w:val="24"/>
          <w:highlight w:val="none"/>
        </w:rPr>
        <w:t>监测数据表</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609"/>
        <w:gridCol w:w="1239"/>
        <w:gridCol w:w="1532"/>
        <w:gridCol w:w="2"/>
        <w:gridCol w:w="1534"/>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snapToGrid w:val="0"/>
              <w:jc w:val="center"/>
              <w:rPr>
                <w:rFonts w:hint="default" w:ascii="Times New Roman" w:hAnsi="Times New Roman" w:eastAsia="宋体" w:cs="Times New Roman"/>
                <w:b/>
                <w:bCs w:val="0"/>
                <w:color w:val="auto"/>
                <w:kern w:val="2"/>
                <w:sz w:val="21"/>
                <w:szCs w:val="21"/>
                <w:highlight w:val="none"/>
                <w:lang w:val="en-US" w:eastAsia="zh-CN" w:bidi="ar-SA"/>
              </w:rPr>
            </w:pPr>
            <w:r>
              <w:rPr>
                <w:rFonts w:hint="eastAsia" w:ascii="Times New Roman" w:hAnsi="Times New Roman" w:cs="Times New Roman"/>
                <w:b/>
                <w:bCs w:val="0"/>
                <w:color w:val="auto"/>
                <w:sz w:val="21"/>
                <w:szCs w:val="21"/>
                <w:highlight w:val="none"/>
                <w:lang w:eastAsia="zh-CN"/>
              </w:rPr>
              <w:t>点位编号</w:t>
            </w:r>
          </w:p>
        </w:tc>
        <w:tc>
          <w:tcPr>
            <w:tcW w:w="1371" w:type="pct"/>
            <w:noWrap w:val="0"/>
            <w:vAlign w:val="center"/>
          </w:tcPr>
          <w:p>
            <w:pPr>
              <w:snapToGrid w:val="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cs="Times New Roman"/>
                <w:b/>
                <w:bCs w:val="0"/>
                <w:color w:val="auto"/>
                <w:sz w:val="21"/>
                <w:szCs w:val="21"/>
                <w:highlight w:val="none"/>
              </w:rPr>
              <w:t>点位</w:t>
            </w:r>
            <w:r>
              <w:rPr>
                <w:rFonts w:hint="eastAsia" w:ascii="Times New Roman" w:hAnsi="Times New Roman" w:cs="Times New Roman"/>
                <w:b/>
                <w:bCs w:val="0"/>
                <w:color w:val="auto"/>
                <w:sz w:val="21"/>
                <w:szCs w:val="21"/>
                <w:highlight w:val="none"/>
                <w:lang w:eastAsia="zh-CN"/>
              </w:rPr>
              <w:t>名称</w:t>
            </w:r>
          </w:p>
        </w:tc>
        <w:tc>
          <w:tcPr>
            <w:tcW w:w="651" w:type="pct"/>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rPr>
              <w:t>监测</w:t>
            </w:r>
            <w:r>
              <w:rPr>
                <w:rFonts w:hint="default" w:ascii="Times New Roman" w:hAnsi="Times New Roman" w:cs="Times New Roman"/>
                <w:b/>
                <w:bCs w:val="0"/>
                <w:color w:val="auto"/>
                <w:sz w:val="21"/>
                <w:szCs w:val="21"/>
                <w:highlight w:val="none"/>
                <w:lang w:eastAsia="zh-CN"/>
              </w:rPr>
              <w:t>日期</w:t>
            </w:r>
          </w:p>
        </w:tc>
        <w:tc>
          <w:tcPr>
            <w:tcW w:w="805" w:type="pct"/>
            <w:noWrap w:val="0"/>
            <w:vAlign w:val="center"/>
          </w:tcPr>
          <w:p>
            <w:pPr>
              <w:snapToGrid w:val="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监测时间</w:t>
            </w:r>
          </w:p>
        </w:tc>
        <w:tc>
          <w:tcPr>
            <w:tcW w:w="807" w:type="pct"/>
            <w:gridSpan w:val="2"/>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工频电场强度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V/m</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c>
          <w:tcPr>
            <w:tcW w:w="807" w:type="pct"/>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工频磁感应强度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μT</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105</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跨越220千伏升压站-国富变线路1</w:t>
            </w:r>
          </w:p>
        </w:tc>
        <w:tc>
          <w:tcPr>
            <w:tcW w:w="651" w:type="pct"/>
            <w:vMerge w:val="restart"/>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8月3日</w:t>
            </w: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10:15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8.262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106</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跨越220千伏升压站-国富变线路2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10:26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8.812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107</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跨越220千伏升压站-国富变线路3</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10:38</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8.138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108</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跨越220千伏升压站-国富变线路4</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10:48</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8.204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109</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跨越220千伏升压站-国富变线路5</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10:59</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8.685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110</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跨越220千伏升压站-国富变线路6</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11:12</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8.260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111</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跨越220千伏升压站-国富变线路7</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11:25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8.673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112</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跨越220千伏升压站-国富变线路8</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11:37</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8.425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113</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跨越220千伏升压站-国富变线路9</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11:48</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8.800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386" w:type="pct"/>
            <w:gridSpan w:val="5"/>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《电磁环境控制限值》（GB 8702-2014）</w:t>
            </w:r>
          </w:p>
        </w:tc>
        <w:tc>
          <w:tcPr>
            <w:tcW w:w="806"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4000</w:t>
            </w:r>
          </w:p>
        </w:tc>
        <w:tc>
          <w:tcPr>
            <w:tcW w:w="807"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100</w:t>
            </w:r>
          </w:p>
        </w:tc>
      </w:tr>
    </w:tbl>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rPr>
          <w:rFonts w:hint="eastAsia"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rPr>
        <w:t>表</w:t>
      </w:r>
      <w:r>
        <w:rPr>
          <w:rFonts w:hint="default" w:ascii="Times New Roman" w:hAnsi="Times New Roman" w:eastAsia="宋体" w:cs="Times New Roman"/>
          <w:b/>
          <w:bCs/>
          <w:snapToGrid/>
          <w:color w:val="auto"/>
          <w:kern w:val="0"/>
          <w:sz w:val="24"/>
          <w:szCs w:val="24"/>
          <w:highlight w:val="none"/>
          <w:lang w:val="en-US" w:eastAsia="zh-CN" w:bidi="ar"/>
        </w:rPr>
        <w:t>4.3-</w:t>
      </w:r>
      <w:r>
        <w:rPr>
          <w:rFonts w:hint="default" w:ascii="Times New Roman" w:hAnsi="Times New Roman" w:cs="Times New Roman"/>
          <w:b/>
          <w:color w:val="auto"/>
          <w:sz w:val="24"/>
          <w:szCs w:val="24"/>
          <w:highlight w:val="none"/>
          <w:lang w:val="en-US" w:eastAsia="zh-CN"/>
        </w:rPr>
        <w:t>10</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 xml:space="preserve"> </w:t>
      </w:r>
      <w:r>
        <w:rPr>
          <w:rFonts w:hint="default" w:ascii="Times New Roman" w:hAnsi="Times New Roman" w:cs="Times New Roman"/>
          <w:b/>
          <w:color w:val="auto"/>
          <w:sz w:val="24"/>
          <w:szCs w:val="24"/>
          <w:highlight w:val="none"/>
          <w:lang w:val="en-US" w:eastAsia="zh-CN"/>
        </w:rPr>
        <w:t xml:space="preserve"> </w:t>
      </w:r>
      <w:r>
        <w:rPr>
          <w:rFonts w:hint="eastAsia" w:ascii="Times New Roman" w:hAnsi="Times New Roman" w:cs="Times New Roman"/>
          <w:b/>
          <w:color w:val="auto"/>
          <w:sz w:val="24"/>
          <w:szCs w:val="24"/>
          <w:highlight w:val="none"/>
          <w:lang w:val="en-US" w:eastAsia="zh-CN"/>
        </w:rPr>
        <w:t>输电线路</w:t>
      </w:r>
      <w:r>
        <w:rPr>
          <w:rFonts w:hint="default" w:ascii="Times New Roman" w:hAnsi="Times New Roman" w:cs="Times New Roman"/>
          <w:b/>
          <w:color w:val="auto"/>
          <w:sz w:val="24"/>
          <w:szCs w:val="24"/>
          <w:highlight w:val="none"/>
          <w:lang w:val="en-US" w:eastAsia="zh-CN"/>
        </w:rPr>
        <w:t>电磁辐射</w:t>
      </w:r>
      <w:r>
        <w:rPr>
          <w:rFonts w:hint="default" w:ascii="Times New Roman" w:hAnsi="Times New Roman" w:cs="Times New Roman"/>
          <w:b/>
          <w:color w:val="auto"/>
          <w:sz w:val="24"/>
          <w:szCs w:val="24"/>
          <w:highlight w:val="none"/>
        </w:rPr>
        <w:t>监测数据表</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609"/>
        <w:gridCol w:w="1239"/>
        <w:gridCol w:w="1532"/>
        <w:gridCol w:w="2"/>
        <w:gridCol w:w="1534"/>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eastAsia="zh-CN"/>
              </w:rPr>
              <w:t>序号</w:t>
            </w:r>
          </w:p>
        </w:tc>
        <w:tc>
          <w:tcPr>
            <w:tcW w:w="1371" w:type="pct"/>
            <w:noWrap w:val="0"/>
            <w:vAlign w:val="center"/>
          </w:tcPr>
          <w:p>
            <w:pPr>
              <w:snapToGrid w:val="0"/>
              <w:jc w:val="center"/>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监测点位</w:t>
            </w:r>
          </w:p>
        </w:tc>
        <w:tc>
          <w:tcPr>
            <w:tcW w:w="651" w:type="pct"/>
            <w:noWrap w:val="0"/>
            <w:vAlign w:val="center"/>
          </w:tcPr>
          <w:p>
            <w:pPr>
              <w:snapToGrid w:val="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rPr>
              <w:t>监测</w:t>
            </w:r>
            <w:r>
              <w:rPr>
                <w:rFonts w:hint="default" w:ascii="Times New Roman" w:hAnsi="Times New Roman" w:cs="Times New Roman"/>
                <w:b/>
                <w:bCs w:val="0"/>
                <w:color w:val="auto"/>
                <w:sz w:val="21"/>
                <w:szCs w:val="21"/>
                <w:highlight w:val="none"/>
                <w:lang w:eastAsia="zh-CN"/>
              </w:rPr>
              <w:t>日期</w:t>
            </w:r>
          </w:p>
        </w:tc>
        <w:tc>
          <w:tcPr>
            <w:tcW w:w="805" w:type="pct"/>
            <w:noWrap w:val="0"/>
            <w:vAlign w:val="center"/>
          </w:tcPr>
          <w:p>
            <w:pPr>
              <w:snapToGrid w:val="0"/>
              <w:jc w:val="center"/>
              <w:rPr>
                <w:rFonts w:hint="default" w:ascii="Times New Roman" w:hAnsi="Times New Roman" w:cs="Times New Roman"/>
                <w:b/>
                <w:bCs/>
                <w:color w:val="auto"/>
                <w:sz w:val="21"/>
                <w:szCs w:val="21"/>
                <w:highlight w:val="none"/>
                <w:lang w:val="en-US"/>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监测时间</w:t>
            </w:r>
          </w:p>
        </w:tc>
        <w:tc>
          <w:tcPr>
            <w:tcW w:w="807" w:type="pct"/>
            <w:gridSpan w:val="2"/>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工频电场强度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V/m</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c>
          <w:tcPr>
            <w:tcW w:w="807" w:type="pct"/>
            <w:noWrap w:val="0"/>
            <w:vAlign w:val="center"/>
          </w:tcPr>
          <w:p>
            <w:pPr>
              <w:snapToGrid w:val="0"/>
              <w:jc w:val="cente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pPr>
            <w:r>
              <w:rPr>
                <w:rFonts w:hint="default" w:ascii="Times New Roman" w:hAnsi="Times New Roman" w:eastAsia="宋体" w:cs="Times New Roman"/>
                <w:b/>
                <w:bCs w:val="0"/>
                <w:snapToGrid w:val="0"/>
                <w:color w:val="auto"/>
                <w:spacing w:val="0"/>
                <w:w w:val="100"/>
                <w:kern w:val="0"/>
                <w:sz w:val="21"/>
                <w:szCs w:val="21"/>
                <w:highlight w:val="none"/>
                <w:lang w:val="en-US" w:eastAsia="zh-CN" w:bidi="ar-SA"/>
              </w:rPr>
              <w:t>工频磁感应强度</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r>
              <w:rPr>
                <w:rFonts w:hint="default" w:ascii="Times New Roman" w:hAnsi="Times New Roman" w:cs="Times New Roman"/>
                <w:b/>
                <w:bCs w:val="0"/>
                <w:color w:val="auto"/>
                <w:sz w:val="24"/>
                <w:highlight w:val="none"/>
              </w:rPr>
              <w:t>μT</w:t>
            </w:r>
            <w:r>
              <w:rPr>
                <w:rFonts w:hint="default" w:ascii="Times New Roman" w:hAnsi="Times New Roman" w:cs="Times New Roman"/>
                <w:b/>
                <w:bCs w:val="0"/>
                <w:snapToGrid w:val="0"/>
                <w:color w:val="auto"/>
                <w:spacing w:val="0"/>
                <w:w w:val="100"/>
                <w:kern w:val="0"/>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114</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前王家屯北侧220kv输电线路1</w:t>
            </w:r>
          </w:p>
        </w:tc>
        <w:tc>
          <w:tcPr>
            <w:tcW w:w="651" w:type="pct"/>
            <w:vMerge w:val="restart"/>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8月3日</w:t>
            </w: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13:04</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8.621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115</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前王家屯北侧220kv输电线路2</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13:16</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8.913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116</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前王家屯北侧220kv输电线路3</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13:29</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8.647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117</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前王家屯北侧220kv输电线路4</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13:41</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8.773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118</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前王家屯北侧220kv输电线路5</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13:52</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8.149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119</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前王家屯北侧220kv输电线路6</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14:04</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8.925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120</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前王家屯北侧220kv输电线路7</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14:15</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8.581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121</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前王家屯北侧220kv输电线路8</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14:28</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8.431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8" w:type="pct"/>
            <w:noWrap w:val="0"/>
            <w:vAlign w:val="center"/>
          </w:tcPr>
          <w:p>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2"/>
                <w:szCs w:val="22"/>
                <w:highlight w:val="none"/>
                <w:u w:val="none"/>
                <w:lang w:val="en-US" w:eastAsia="zh-CN" w:bidi="ar"/>
              </w:rPr>
              <w:t>122</w:t>
            </w:r>
            <w:r>
              <w:rPr>
                <w:rFonts w:hint="eastAsia" w:ascii="Times New Roman" w:hAnsi="Times New Roman" w:eastAsia="宋体" w:cs="Times New Roman"/>
                <w:i w:val="0"/>
                <w:iCs w:val="0"/>
                <w:color w:val="auto"/>
                <w:kern w:val="0"/>
                <w:sz w:val="22"/>
                <w:szCs w:val="22"/>
                <w:highlight w:val="none"/>
                <w:u w:val="none"/>
                <w:lang w:val="en-US" w:eastAsia="zh-CN" w:bidi="ar"/>
              </w:rPr>
              <w:t>#</w:t>
            </w:r>
          </w:p>
        </w:tc>
        <w:tc>
          <w:tcPr>
            <w:tcW w:w="137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前王家屯北侧220kv输电线路9</w:t>
            </w:r>
          </w:p>
        </w:tc>
        <w:tc>
          <w:tcPr>
            <w:tcW w:w="651" w:type="pct"/>
            <w:vMerge w:val="continue"/>
            <w:noWrap w:val="0"/>
            <w:vAlign w:val="center"/>
          </w:tcPr>
          <w:p>
            <w:pPr>
              <w:snapToGrid w:val="0"/>
              <w:jc w:val="center"/>
              <w:rPr>
                <w:rFonts w:hint="default" w:ascii="Times New Roman" w:hAnsi="Times New Roman" w:cs="Times New Roman"/>
                <w:color w:val="auto"/>
                <w:kern w:val="0"/>
                <w:sz w:val="21"/>
                <w:szCs w:val="21"/>
                <w:highlight w:val="none"/>
                <w:lang w:val="en-US" w:eastAsia="zh-CN" w:bidi="ar-SA"/>
              </w:rPr>
            </w:pPr>
          </w:p>
        </w:tc>
        <w:tc>
          <w:tcPr>
            <w:tcW w:w="80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14:39</w:t>
            </w:r>
          </w:p>
        </w:tc>
        <w:tc>
          <w:tcPr>
            <w:tcW w:w="807" w:type="pct"/>
            <w:gridSpan w:val="2"/>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 xml:space="preserve">8.076 </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386" w:type="pct"/>
            <w:gridSpan w:val="5"/>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《电磁环境控制限值》（GB 8702-2014）</w:t>
            </w:r>
          </w:p>
        </w:tc>
        <w:tc>
          <w:tcPr>
            <w:tcW w:w="806"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4000</w:t>
            </w:r>
          </w:p>
        </w:tc>
        <w:tc>
          <w:tcPr>
            <w:tcW w:w="807" w:type="pct"/>
            <w:noWrap w:val="0"/>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100</w:t>
            </w:r>
          </w:p>
        </w:tc>
      </w:tr>
    </w:tbl>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4.3.6    评价及结论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新建500kV汇 集 站 站 界 工 频 电 场 强 度 为 8.031~9.776V/m ，  工 频 磁 感 应 强 度 为 0.1938~0.2036µT。</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国富500kv变电站站 界 工 频 电 场 强 度 为 8.081~9.194V/m ，  工 频 磁 感 应 强 度 为 0.1831~0.2004µT。</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永跃220kv升压站站 界 工 频 电 场 强 度 为 8.215~9.302V/m ，  工 频 磁 感 应 强 度 为 0.1883~0.2048µT。</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交流输电线路敏感目标的工频电场强度为8.006- 9.399V/m，工频磁感应强度为 0.1834~0.2049µT。</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本项目电磁环境现状满足4kV/m 的工频电场强度公众曝露控制限值要求和 100μT 的工频磁感应强度公众曝露控制限值要求 。</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54" w:name="_Toc23472"/>
      <w:r>
        <w:rPr>
          <w:rFonts w:hint="default" w:ascii="Times New Roman" w:hAnsi="Times New Roman" w:eastAsia="宋体" w:cs="Times New Roman"/>
          <w:snapToGrid/>
          <w:sz w:val="32"/>
          <w:lang w:val="en-US" w:eastAsia="zh-CN" w:bidi="ar-SA"/>
        </w:rPr>
        <w:t>4.4    声环境</w:t>
      </w:r>
      <w:bookmarkEnd w:id="54"/>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4.4.1    监测因子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距离地面 1.2m 高度处的等效连续 A 声级。</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4.4.2    监测点位、监测频次</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本次监测包括汇集站站界监测(站外评价范围内无声环境敏感目标)以及交流输电线 路评价范围内敏感目标监测。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（1）新建500kv汇集站、国富500kv变电站厂界噪声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监测点位：在新建500kv汇集站、国富500kv变电站东、南、西、北厂界外1m处各设1个监测点位，共8个监测点位；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监测频次：连续监测2天，每天昼间、夜间各监测1次。</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（2）前王家屯段输电线路噪声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监测点位：在前王家屯段输电线路处设1组监测点位，拟建输电线路中心线正下方及前王家屯侧外延40米范围内每间隔5m设1个监测点位共计9个监测点位。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监测频次：连续监测2天，每天昼间、夜间各监测1次。</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（3）敏感点噪声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监测点位：在前王家屯设1个监测点位；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监测频次：连续监测2天，每天昼间、夜间各监测1次。</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监测点位见图7、图8、图9</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4.4.4    监测时间</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监测时间与电磁环境现状监测同步。</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4.4.3   监测方法、监测仪器</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（1）监测方法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1）《声环境质量标准》(GB3096-2008)；</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2）《工业企业厂界环境噪声排放标准》(GB12348-2008)。</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（2）分析仪器与方法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分析仪器与方法参见表 4.4- 1。</w:t>
      </w:r>
    </w:p>
    <w:p>
      <w:pPr>
        <w:keepNext w:val="0"/>
        <w:keepLines w:val="0"/>
        <w:widowControl/>
        <w:suppressLineNumbers w:val="0"/>
        <w:kinsoku/>
        <w:autoSpaceDE/>
        <w:autoSpaceDN/>
        <w:adjustRightInd/>
        <w:snapToGrid/>
        <w:spacing w:line="360" w:lineRule="auto"/>
        <w:jc w:val="center"/>
        <w:textAlignment w:val="auto"/>
        <w:rPr>
          <w:rFonts w:hint="default" w:ascii="Times New Roman" w:hAnsi="Times New Roman" w:eastAsia="宋体" w:cs="Times New Roman"/>
          <w:b/>
          <w:bCs/>
          <w:snapToGrid/>
          <w:color w:val="auto"/>
          <w:kern w:val="0"/>
          <w:sz w:val="24"/>
          <w:szCs w:val="24"/>
          <w:highlight w:val="none"/>
          <w:lang w:val="en-US" w:eastAsia="zh-CN" w:bidi="ar"/>
        </w:rPr>
      </w:pPr>
      <w:r>
        <w:rPr>
          <w:rFonts w:hint="eastAsia" w:ascii="Times New Roman" w:hAnsi="Times New Roman" w:eastAsia="宋体" w:cs="Times New Roman"/>
          <w:b/>
          <w:bCs/>
          <w:snapToGrid/>
          <w:color w:val="auto"/>
          <w:kern w:val="0"/>
          <w:sz w:val="24"/>
          <w:szCs w:val="24"/>
          <w:highlight w:val="none"/>
          <w:lang w:val="en-US" w:eastAsia="zh-CN" w:bidi="ar"/>
        </w:rPr>
        <w:t>表 4.4- 1                  分析仪器与方法一览表</w:t>
      </w:r>
    </w:p>
    <w:tbl>
      <w:tblPr>
        <w:tblStyle w:val="12"/>
        <w:tblW w:w="50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003"/>
        <w:gridCol w:w="2161"/>
        <w:gridCol w:w="1728"/>
        <w:gridCol w:w="2827"/>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3"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类别</w:t>
            </w:r>
          </w:p>
        </w:tc>
        <w:tc>
          <w:tcPr>
            <w:tcW w:w="529"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1141"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分析方法名称</w:t>
            </w:r>
          </w:p>
        </w:tc>
        <w:tc>
          <w:tcPr>
            <w:tcW w:w="913"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方法标准号</w:t>
            </w:r>
          </w:p>
        </w:tc>
        <w:tc>
          <w:tcPr>
            <w:tcW w:w="1493"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分析仪器及编号</w:t>
            </w:r>
          </w:p>
        </w:tc>
        <w:tc>
          <w:tcPr>
            <w:tcW w:w="578" w:type="pct"/>
            <w:tcBorders>
              <w:tl2br w:val="nil"/>
              <w:tr2bl w:val="nil"/>
            </w:tcBorders>
            <w:noWrap w:val="0"/>
            <w:tcMar>
              <w:left w:w="11" w:type="dxa"/>
              <w:right w:w="11" w:type="dxa"/>
            </w:tcMar>
            <w:vAlign w:val="center"/>
          </w:tcPr>
          <w:p>
            <w:pPr>
              <w:snapToGrid w:val="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3" w:type="pct"/>
            <w:vMerge w:val="restart"/>
            <w:tcBorders>
              <w:tl2br w:val="nil"/>
              <w:tr2bl w:val="nil"/>
            </w:tcBorders>
            <w:noWrap w:val="0"/>
            <w:tcMar>
              <w:left w:w="11" w:type="dxa"/>
              <w:right w:w="11" w:type="dxa"/>
            </w:tcMar>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噪声</w:t>
            </w:r>
          </w:p>
        </w:tc>
        <w:tc>
          <w:tcPr>
            <w:tcW w:w="529" w:type="pct"/>
            <w:tcBorders>
              <w:tl2br w:val="nil"/>
              <w:tr2bl w:val="nil"/>
            </w:tcBorders>
            <w:noWrap w:val="0"/>
            <w:tcMar>
              <w:left w:w="11" w:type="dxa"/>
              <w:right w:w="11" w:type="dxa"/>
            </w:tcMar>
            <w:vAlign w:val="center"/>
          </w:tcPr>
          <w:p>
            <w:pPr>
              <w:pStyle w:val="23"/>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等效连续A声级</w:t>
            </w:r>
          </w:p>
        </w:tc>
        <w:tc>
          <w:tcPr>
            <w:tcW w:w="1141" w:type="pct"/>
            <w:tcBorders>
              <w:tl2br w:val="nil"/>
              <w:tr2bl w:val="nil"/>
            </w:tcBorders>
            <w:noWrap w:val="0"/>
            <w:tcMar>
              <w:left w:w="11" w:type="dxa"/>
              <w:right w:w="11" w:type="dxa"/>
            </w:tcMar>
            <w:vAlign w:val="center"/>
          </w:tcPr>
          <w:p>
            <w:pPr>
              <w:pStyle w:val="23"/>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highlight w:val="none"/>
                <w:lang w:val="en-US" w:eastAsia="zh-CN"/>
              </w:rPr>
              <w:t>声环境质量标准</w:t>
            </w:r>
          </w:p>
        </w:tc>
        <w:tc>
          <w:tcPr>
            <w:tcW w:w="913" w:type="pct"/>
            <w:tcBorders>
              <w:tl2br w:val="nil"/>
              <w:tr2bl w:val="nil"/>
            </w:tcBorders>
            <w:noWrap w:val="0"/>
            <w:tcMar>
              <w:left w:w="11" w:type="dxa"/>
              <w:right w:w="11" w:type="dxa"/>
            </w:tcMar>
            <w:vAlign w:val="center"/>
          </w:tcPr>
          <w:p>
            <w:pPr>
              <w:pStyle w:val="23"/>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snapToGrid w:val="0"/>
                <w:color w:val="auto"/>
                <w:kern w:val="0"/>
                <w:sz w:val="21"/>
                <w:szCs w:val="21"/>
                <w:highlight w:val="none"/>
                <w:lang w:val="en-US" w:eastAsia="zh-CN" w:bidi="ar-SA"/>
              </w:rPr>
              <w:t>GB3096-2008</w:t>
            </w:r>
          </w:p>
        </w:tc>
        <w:tc>
          <w:tcPr>
            <w:tcW w:w="1493" w:type="pct"/>
            <w:tcBorders>
              <w:tl2br w:val="nil"/>
              <w:tr2bl w:val="nil"/>
            </w:tcBorders>
            <w:noWrap w:val="0"/>
            <w:tcMar>
              <w:left w:w="11" w:type="dxa"/>
              <w:right w:w="11" w:type="dxa"/>
            </w:tcMar>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AWA5680</w:t>
            </w:r>
          </w:p>
          <w:p>
            <w:pPr>
              <w:spacing w:line="24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多功能声级计</w:t>
            </w:r>
          </w:p>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highlight w:val="none"/>
                <w:lang w:val="en-US" w:eastAsia="zh-CN"/>
              </w:rPr>
              <w:t>052368</w:t>
            </w:r>
          </w:p>
        </w:tc>
        <w:tc>
          <w:tcPr>
            <w:tcW w:w="578" w:type="pct"/>
            <w:tcBorders>
              <w:tl2br w:val="nil"/>
              <w:tr2bl w:val="nil"/>
            </w:tcBorders>
            <w:noWrap w:val="0"/>
            <w:tcMar>
              <w:left w:w="11" w:type="dxa"/>
              <w:right w:w="11" w:type="dxa"/>
            </w:tcMar>
            <w:vAlign w:val="center"/>
          </w:tcPr>
          <w:p>
            <w:pPr>
              <w:jc w:val="center"/>
              <w:rPr>
                <w:rFonts w:hint="default" w:ascii="Times New Roman" w:hAnsi="Times New Roman" w:eastAsia="宋体" w:cs="Times New Roman"/>
                <w:color w:val="auto"/>
                <w:sz w:val="21"/>
                <w:szCs w:val="21"/>
              </w:rPr>
            </w:pPr>
            <w:r>
              <w:rPr>
                <w:color w:val="auto"/>
                <w:szCs w:val="21"/>
              </w:rPr>
              <w:t>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43" w:type="pct"/>
            <w:vMerge w:val="continue"/>
            <w:tcBorders>
              <w:tl2br w:val="nil"/>
              <w:tr2bl w:val="nil"/>
            </w:tcBorders>
            <w:noWrap w:val="0"/>
            <w:tcMar>
              <w:left w:w="11" w:type="dxa"/>
              <w:right w:w="11" w:type="dxa"/>
            </w:tcMar>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529" w:type="pct"/>
            <w:tcBorders>
              <w:tl2br w:val="nil"/>
              <w:tr2bl w:val="nil"/>
            </w:tcBorders>
            <w:noWrap w:val="0"/>
            <w:tcMar>
              <w:left w:w="11" w:type="dxa"/>
              <w:right w:w="11" w:type="dxa"/>
            </w:tcMar>
            <w:vAlign w:val="center"/>
          </w:tcPr>
          <w:p>
            <w:pPr>
              <w:pStyle w:val="23"/>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snapToGrid w:val="0"/>
                <w:color w:val="000000"/>
                <w:spacing w:val="0"/>
                <w:w w:val="100"/>
                <w:kern w:val="0"/>
                <w:sz w:val="21"/>
                <w:szCs w:val="21"/>
                <w:highlight w:val="none"/>
                <w:lang w:val="en-US" w:eastAsia="zh-CN" w:bidi="ar-SA"/>
              </w:rPr>
              <w:t>线路噪声</w:t>
            </w:r>
          </w:p>
        </w:tc>
        <w:tc>
          <w:tcPr>
            <w:tcW w:w="1141" w:type="pct"/>
            <w:tcBorders>
              <w:tl2br w:val="nil"/>
              <w:tr2bl w:val="nil"/>
            </w:tcBorders>
            <w:noWrap w:val="0"/>
            <w:tcMar>
              <w:left w:w="11" w:type="dxa"/>
              <w:right w:w="11" w:type="dxa"/>
            </w:tcMar>
            <w:vAlign w:val="center"/>
          </w:tcPr>
          <w:p>
            <w:pPr>
              <w:pStyle w:val="23"/>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kern w:val="0"/>
                <w:szCs w:val="21"/>
              </w:rPr>
              <w:t>高压架空输电线路噪声 高压架空输电线路可听噪声测量方法</w:t>
            </w:r>
          </w:p>
        </w:tc>
        <w:tc>
          <w:tcPr>
            <w:tcW w:w="913" w:type="pct"/>
            <w:tcBorders>
              <w:tl2br w:val="nil"/>
              <w:tr2bl w:val="nil"/>
            </w:tcBorders>
            <w:noWrap w:val="0"/>
            <w:tcMar>
              <w:left w:w="11" w:type="dxa"/>
              <w:right w:w="11" w:type="dxa"/>
            </w:tcMar>
            <w:vAlign w:val="center"/>
          </w:tcPr>
          <w:p>
            <w:pPr>
              <w:pStyle w:val="23"/>
              <w:spacing w:line="240" w:lineRule="auto"/>
              <w:jc w:val="center"/>
              <w:rPr>
                <w:rFonts w:hint="eastAsia" w:ascii="Times New Roman" w:hAnsi="Times New Roman" w:cs="Times New Roman"/>
                <w:snapToGrid w:val="0"/>
                <w:color w:val="auto"/>
                <w:kern w:val="0"/>
                <w:sz w:val="21"/>
                <w:szCs w:val="21"/>
                <w:highlight w:val="none"/>
                <w:lang w:val="en-US" w:eastAsia="zh-CN" w:bidi="ar-SA"/>
              </w:rPr>
            </w:pPr>
            <w:r>
              <w:rPr>
                <w:rFonts w:hint="eastAsia" w:ascii="Times New Roman" w:hAnsi="Times New Roman"/>
                <w:kern w:val="0"/>
                <w:szCs w:val="21"/>
              </w:rPr>
              <w:t>DL/T</w:t>
            </w:r>
            <w:r>
              <w:rPr>
                <w:rFonts w:hint="eastAsia" w:ascii="Times New Roman" w:hAnsi="Times New Roman"/>
                <w:kern w:val="0"/>
                <w:szCs w:val="21"/>
                <w:lang w:val="en-US" w:eastAsia="zh-CN"/>
              </w:rPr>
              <w:t xml:space="preserve"> </w:t>
            </w:r>
            <w:r>
              <w:rPr>
                <w:rFonts w:hint="eastAsia" w:ascii="Times New Roman" w:hAnsi="Times New Roman"/>
                <w:kern w:val="0"/>
                <w:szCs w:val="21"/>
              </w:rPr>
              <w:t>501-2017</w:t>
            </w:r>
          </w:p>
        </w:tc>
        <w:tc>
          <w:tcPr>
            <w:tcW w:w="1493" w:type="pct"/>
            <w:tcBorders>
              <w:tl2br w:val="nil"/>
              <w:tr2bl w:val="nil"/>
            </w:tcBorders>
            <w:noWrap w:val="0"/>
            <w:tcMar>
              <w:left w:w="11" w:type="dxa"/>
              <w:right w:w="11" w:type="dxa"/>
            </w:tcMar>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AWA5680</w:t>
            </w:r>
          </w:p>
          <w:p>
            <w:pPr>
              <w:spacing w:line="24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多功能声级计</w:t>
            </w:r>
          </w:p>
          <w:p>
            <w:pPr>
              <w:spacing w:line="240" w:lineRule="exact"/>
              <w:jc w:val="center"/>
              <w:rPr>
                <w:rFonts w:hint="eastAsia"/>
                <w:color w:val="auto"/>
                <w:kern w:val="0"/>
                <w:szCs w:val="21"/>
                <w:lang w:val="en-US" w:eastAsia="zh-CN"/>
              </w:rPr>
            </w:pPr>
            <w:r>
              <w:rPr>
                <w:rFonts w:hint="eastAsia" w:ascii="Times New Roman" w:hAnsi="Times New Roman" w:eastAsia="宋体" w:cs="Times New Roman"/>
                <w:color w:val="auto"/>
                <w:sz w:val="21"/>
                <w:szCs w:val="21"/>
                <w:highlight w:val="none"/>
                <w:lang w:val="en-US" w:eastAsia="zh-CN"/>
              </w:rPr>
              <w:t>052368</w:t>
            </w:r>
          </w:p>
        </w:tc>
        <w:tc>
          <w:tcPr>
            <w:tcW w:w="578" w:type="pct"/>
            <w:tcBorders>
              <w:tl2br w:val="nil"/>
              <w:tr2bl w:val="nil"/>
            </w:tcBorders>
            <w:noWrap w:val="0"/>
            <w:tcMar>
              <w:left w:w="11" w:type="dxa"/>
              <w:right w:w="11" w:type="dxa"/>
            </w:tcMar>
            <w:vAlign w:val="center"/>
          </w:tcPr>
          <w:p>
            <w:pPr>
              <w:pStyle w:val="23"/>
              <w:spacing w:line="240" w:lineRule="auto"/>
              <w:jc w:val="center"/>
              <w:rPr>
                <w:color w:val="auto"/>
                <w:szCs w:val="21"/>
              </w:rPr>
            </w:pPr>
            <w:r>
              <w:rPr>
                <w:rFonts w:hint="default" w:ascii="Times New Roman" w:hAnsi="Times New Roman" w:eastAsia="宋体" w:cs="Times New Roman"/>
                <w:spacing w:val="0"/>
                <w:w w:val="100"/>
                <w:sz w:val="21"/>
                <w:szCs w:val="21"/>
                <w:highlight w:val="none"/>
                <w:lang w:val="en-US" w:eastAsia="zh-CN"/>
              </w:rPr>
              <w:t>20dB（A）</w:t>
            </w:r>
          </w:p>
        </w:tc>
      </w:tr>
    </w:tbl>
    <w:p>
      <w:pPr>
        <w:pageBreakBefore w:val="0"/>
        <w:widowControl w:val="0"/>
        <w:kinsoku/>
        <w:autoSpaceDE/>
        <w:autoSpaceDN/>
        <w:bidi w:val="0"/>
        <w:adjustRightInd w:val="0"/>
        <w:snapToGrid w:val="0"/>
        <w:spacing w:line="360" w:lineRule="auto"/>
        <w:jc w:val="both"/>
        <w:textAlignment w:val="auto"/>
        <w:outlineLvl w:val="2"/>
        <w:rPr>
          <w:rFonts w:hint="eastAsia" w:ascii="Times New Roman" w:hAnsi="Times New Roman" w:eastAsia="宋体" w:cs="Times New Roman"/>
          <w:caps w:val="0"/>
          <w:smallCaps w:val="0"/>
          <w:snapToGrid/>
          <w:color w:val="auto"/>
          <w:spacing w:val="0"/>
          <w:w w:val="100"/>
          <w:kern w:val="0"/>
          <w:sz w:val="28"/>
          <w:szCs w:val="28"/>
          <w:highlight w:val="none"/>
          <w:lang w:val="en-US" w:eastAsia="zh-CN" w:bidi="ar-SA"/>
        </w:rPr>
      </w:pPr>
      <w:bookmarkStart w:id="55" w:name="_bookmark93"/>
      <w:bookmarkEnd w:id="55"/>
      <w:bookmarkStart w:id="56" w:name="_Toc8546"/>
      <w:bookmarkStart w:id="57" w:name="_Toc31924"/>
      <w:bookmarkStart w:id="58" w:name="_Toc3439"/>
      <w:bookmarkStart w:id="59" w:name="_Toc32429"/>
      <w:bookmarkStart w:id="60" w:name="_Toc13518"/>
      <w:r>
        <w:rPr>
          <w:rFonts w:hint="default" w:ascii="Times New Roman" w:hAnsi="Times New Roman" w:eastAsia="宋体" w:cs="Times New Roman"/>
          <w:caps w:val="0"/>
          <w:smallCaps w:val="0"/>
          <w:snapToGrid/>
          <w:color w:val="auto"/>
          <w:spacing w:val="0"/>
          <w:w w:val="100"/>
          <w:kern w:val="0"/>
          <w:sz w:val="28"/>
          <w:szCs w:val="28"/>
          <w:highlight w:val="none"/>
          <w:lang w:val="en-US" w:eastAsia="zh-CN" w:bidi="ar-SA"/>
        </w:rPr>
        <w:t>4.4.</w:t>
      </w:r>
      <w:r>
        <w:rPr>
          <w:rFonts w:hint="eastAsia" w:ascii="Times New Roman" w:hAnsi="Times New Roman" w:eastAsia="宋体" w:cs="Times New Roman"/>
          <w:caps w:val="0"/>
          <w:smallCaps w:val="0"/>
          <w:snapToGrid/>
          <w:color w:val="auto"/>
          <w:spacing w:val="0"/>
          <w:w w:val="100"/>
          <w:kern w:val="0"/>
          <w:sz w:val="28"/>
          <w:szCs w:val="28"/>
          <w:highlight w:val="none"/>
          <w:lang w:val="en-US" w:eastAsia="zh-CN" w:bidi="ar-SA"/>
        </w:rPr>
        <w:t>4</w:t>
      </w:r>
      <w:r>
        <w:rPr>
          <w:rFonts w:hint="default" w:ascii="Times New Roman" w:hAnsi="Times New Roman" w:eastAsia="宋体" w:cs="Times New Roman"/>
          <w:caps w:val="0"/>
          <w:smallCaps w:val="0"/>
          <w:snapToGrid/>
          <w:color w:val="auto"/>
          <w:spacing w:val="0"/>
          <w:w w:val="100"/>
          <w:kern w:val="0"/>
          <w:sz w:val="28"/>
          <w:szCs w:val="28"/>
          <w:highlight w:val="none"/>
          <w:lang w:val="en-US" w:eastAsia="zh-CN" w:bidi="ar-SA"/>
        </w:rPr>
        <w:t xml:space="preserve">    监测结果</w:t>
      </w:r>
      <w:bookmarkEnd w:id="56"/>
      <w:bookmarkEnd w:id="57"/>
      <w:bookmarkEnd w:id="58"/>
      <w:bookmarkEnd w:id="59"/>
      <w:bookmarkEnd w:id="60"/>
    </w:p>
    <w:p>
      <w:pPr>
        <w:pageBreakBefore w:val="0"/>
        <w:widowControl w:val="0"/>
        <w:kinsoku/>
        <w:autoSpaceDE/>
        <w:autoSpaceDN/>
        <w:bidi w:val="0"/>
        <w:adjustRightInd w:val="0"/>
        <w:snapToGrid w:val="0"/>
        <w:spacing w:line="360" w:lineRule="auto"/>
        <w:jc w:val="both"/>
        <w:textAlignment w:val="auto"/>
        <w:rPr>
          <w:rFonts w:hint="eastAsia" w:ascii="Times New Roman" w:hAnsi="Times New Roman" w:eastAsia="宋体" w:cs="Times New Roman"/>
          <w:caps w:val="0"/>
          <w:smallCaps w:val="0"/>
          <w:snapToGrid/>
          <w:color w:val="auto"/>
          <w:spacing w:val="0"/>
          <w:w w:val="100"/>
          <w:kern w:val="0"/>
          <w:sz w:val="28"/>
          <w:szCs w:val="28"/>
          <w:highlight w:val="none"/>
          <w:lang w:val="en-US" w:eastAsia="zh-CN" w:bidi="ar-SA"/>
        </w:rPr>
      </w:pPr>
      <w:r>
        <w:rPr>
          <w:rFonts w:hint="eastAsia" w:ascii="Times New Roman" w:hAnsi="Times New Roman" w:eastAsia="宋体" w:cs="Times New Roman"/>
          <w:caps w:val="0"/>
          <w:smallCaps w:val="0"/>
          <w:snapToGrid/>
          <w:color w:val="auto"/>
          <w:spacing w:val="0"/>
          <w:w w:val="100"/>
          <w:kern w:val="0"/>
          <w:sz w:val="28"/>
          <w:szCs w:val="28"/>
          <w:highlight w:val="none"/>
          <w:lang w:val="en-US" w:eastAsia="zh-CN" w:bidi="ar-SA"/>
        </w:rPr>
        <w:t>各监测点监测结果见表 4.4-2。</w:t>
      </w:r>
    </w:p>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textAlignment w:val="auto"/>
        <w:rPr>
          <w:rFonts w:hint="default" w:ascii="Times New Roman" w:hAnsi="Times New Roman" w:cs="Times New Roman"/>
          <w:b/>
          <w:color w:val="auto"/>
          <w:sz w:val="24"/>
          <w:szCs w:val="24"/>
          <w:lang w:eastAsia="zh-CN"/>
        </w:rPr>
      </w:pPr>
      <w:r>
        <w:rPr>
          <w:rFonts w:hint="default" w:ascii="Times New Roman" w:hAnsi="Times New Roman" w:cs="Times New Roman"/>
          <w:b/>
          <w:color w:val="auto"/>
          <w:sz w:val="24"/>
          <w:szCs w:val="24"/>
        </w:rPr>
        <w:t>表</w:t>
      </w:r>
      <w:r>
        <w:rPr>
          <w:rFonts w:hint="eastAsia" w:ascii="Times New Roman" w:hAnsi="Times New Roman" w:cs="Times New Roman"/>
          <w:b/>
          <w:color w:val="auto"/>
          <w:sz w:val="24"/>
          <w:szCs w:val="24"/>
          <w:lang w:val="en-US" w:eastAsia="zh-CN"/>
        </w:rPr>
        <w:t>4.4-2</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en-US" w:eastAsia="zh-CN"/>
        </w:rPr>
        <w:t>500kv汇集站厂界</w:t>
      </w:r>
      <w:r>
        <w:rPr>
          <w:rFonts w:hint="default" w:ascii="Times New Roman" w:hAnsi="Times New Roman" w:cs="Times New Roman"/>
          <w:b/>
          <w:color w:val="auto"/>
          <w:sz w:val="24"/>
          <w:szCs w:val="24"/>
          <w:lang w:eastAsia="zh-CN"/>
        </w:rPr>
        <w:t>噪声</w:t>
      </w:r>
      <w:r>
        <w:rPr>
          <w:rFonts w:hint="default" w:ascii="Times New Roman" w:hAnsi="Times New Roman" w:cs="Times New Roman"/>
          <w:b/>
          <w:color w:val="auto"/>
          <w:sz w:val="24"/>
          <w:szCs w:val="24"/>
        </w:rPr>
        <w:t>监测数据表</w:t>
      </w:r>
      <w:r>
        <w:rPr>
          <w:rFonts w:hint="default" w:ascii="Times New Roman" w:hAnsi="Times New Roman" w:cs="Times New Roman"/>
          <w:b/>
          <w:color w:val="auto"/>
          <w:sz w:val="24"/>
          <w:szCs w:val="24"/>
          <w:lang w:eastAsia="zh-CN"/>
        </w:rPr>
        <w:t xml:space="preserve">         </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eastAsia="zh-CN"/>
        </w:rPr>
        <w:t xml:space="preserve">  </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en-US" w:eastAsia="zh-CN"/>
        </w:rPr>
        <w:t xml:space="preserve"> 单位：</w:t>
      </w:r>
      <w:r>
        <w:rPr>
          <w:rFonts w:hint="default" w:ascii="Times New Roman" w:hAnsi="Times New Roman" w:cs="Times New Roman"/>
          <w:b/>
          <w:color w:val="auto"/>
          <w:sz w:val="24"/>
          <w:szCs w:val="24"/>
        </w:rPr>
        <w:t>dB（A）</w:t>
      </w:r>
    </w:p>
    <w:tbl>
      <w:tblPr>
        <w:tblStyle w:val="12"/>
        <w:tblW w:w="48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4"/>
        <w:gridCol w:w="1267"/>
        <w:gridCol w:w="1388"/>
        <w:gridCol w:w="1455"/>
        <w:gridCol w:w="1452"/>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8" w:type="pct"/>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监测点位</w:t>
            </w:r>
          </w:p>
        </w:tc>
        <w:tc>
          <w:tcPr>
            <w:tcW w:w="679" w:type="pct"/>
            <w:noWrap w:val="0"/>
            <w:vAlign w:val="center"/>
          </w:tcPr>
          <w:p>
            <w:pPr>
              <w:snapToGrid w:val="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rPr>
              <w:t>监测</w:t>
            </w:r>
            <w:r>
              <w:rPr>
                <w:rFonts w:hint="default" w:ascii="Times New Roman" w:hAnsi="Times New Roman" w:cs="Times New Roman"/>
                <w:b/>
                <w:bCs w:val="0"/>
                <w:color w:val="auto"/>
                <w:sz w:val="21"/>
                <w:szCs w:val="21"/>
                <w:lang w:eastAsia="zh-CN"/>
              </w:rPr>
              <w:t>日期</w:t>
            </w:r>
          </w:p>
        </w:tc>
        <w:tc>
          <w:tcPr>
            <w:tcW w:w="1526" w:type="pct"/>
            <w:gridSpan w:val="2"/>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昼间</w:t>
            </w:r>
          </w:p>
        </w:tc>
        <w:tc>
          <w:tcPr>
            <w:tcW w:w="1534" w:type="pct"/>
            <w:gridSpan w:val="2"/>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8" w:type="pct"/>
            <w:noWrap w:val="0"/>
            <w:vAlign w:val="center"/>
          </w:tcPr>
          <w:p>
            <w:pPr>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东侧）</w:t>
            </w:r>
          </w:p>
        </w:tc>
        <w:tc>
          <w:tcPr>
            <w:tcW w:w="679" w:type="pct"/>
            <w:vMerge w:val="restart"/>
            <w:noWrap w:val="0"/>
            <w:vAlign w:val="center"/>
          </w:tcPr>
          <w:p>
            <w:pPr>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8月1日</w:t>
            </w:r>
          </w:p>
        </w:tc>
        <w:tc>
          <w:tcPr>
            <w:tcW w:w="74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08:42</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50.1</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22:02</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8" w:type="pct"/>
            <w:noWrap w:val="0"/>
            <w:vAlign w:val="center"/>
          </w:tcPr>
          <w:p>
            <w:pPr>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南侧）</w:t>
            </w:r>
          </w:p>
        </w:tc>
        <w:tc>
          <w:tcPr>
            <w:tcW w:w="679" w:type="pct"/>
            <w:vMerge w:val="continue"/>
            <w:noWrap w:val="0"/>
            <w:vAlign w:val="center"/>
          </w:tcPr>
          <w:p>
            <w:pPr>
              <w:snapToGrid w:val="0"/>
              <w:jc w:val="center"/>
              <w:rPr>
                <w:rFonts w:hint="default" w:ascii="Times New Roman" w:hAnsi="Times New Roman" w:cs="Times New Roman"/>
                <w:bCs/>
                <w:color w:val="auto"/>
                <w:sz w:val="21"/>
                <w:szCs w:val="21"/>
              </w:rPr>
            </w:pPr>
          </w:p>
        </w:tc>
        <w:tc>
          <w:tcPr>
            <w:tcW w:w="74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08:59</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52.0</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22:15</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8" w:type="pct"/>
            <w:noWrap w:val="0"/>
            <w:vAlign w:val="center"/>
          </w:tcPr>
          <w:p>
            <w:pPr>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西侧）</w:t>
            </w:r>
          </w:p>
        </w:tc>
        <w:tc>
          <w:tcPr>
            <w:tcW w:w="679" w:type="pct"/>
            <w:vMerge w:val="continue"/>
            <w:noWrap w:val="0"/>
            <w:vAlign w:val="center"/>
          </w:tcPr>
          <w:p>
            <w:pPr>
              <w:snapToGrid w:val="0"/>
              <w:jc w:val="center"/>
              <w:rPr>
                <w:rFonts w:hint="default" w:ascii="Times New Roman" w:hAnsi="Times New Roman" w:cs="Times New Roman"/>
                <w:bCs/>
                <w:color w:val="auto"/>
                <w:sz w:val="21"/>
                <w:szCs w:val="21"/>
              </w:rPr>
            </w:pPr>
          </w:p>
        </w:tc>
        <w:tc>
          <w:tcPr>
            <w:tcW w:w="74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09:14</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51.3</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22:27</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8" w:type="pct"/>
            <w:noWrap w:val="0"/>
            <w:vAlign w:val="center"/>
          </w:tcPr>
          <w:p>
            <w:pPr>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北侧）</w:t>
            </w:r>
          </w:p>
        </w:tc>
        <w:tc>
          <w:tcPr>
            <w:tcW w:w="679" w:type="pct"/>
            <w:vMerge w:val="continue"/>
            <w:noWrap w:val="0"/>
            <w:vAlign w:val="center"/>
          </w:tcPr>
          <w:p>
            <w:pPr>
              <w:snapToGrid w:val="0"/>
              <w:jc w:val="center"/>
              <w:rPr>
                <w:rFonts w:hint="default" w:ascii="Times New Roman" w:hAnsi="Times New Roman" w:cs="Times New Roman"/>
                <w:bCs/>
                <w:color w:val="auto"/>
                <w:sz w:val="21"/>
                <w:szCs w:val="21"/>
              </w:rPr>
            </w:pPr>
          </w:p>
        </w:tc>
        <w:tc>
          <w:tcPr>
            <w:tcW w:w="74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09:30</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52.3</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22:41</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8" w:type="pc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bCs/>
                <w:color w:val="auto"/>
                <w:sz w:val="21"/>
                <w:szCs w:val="21"/>
              </w:rPr>
              <w:t>1#（</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东侧）</w:t>
            </w:r>
          </w:p>
        </w:tc>
        <w:tc>
          <w:tcPr>
            <w:tcW w:w="679" w:type="pct"/>
            <w:vMerge w:val="restar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8月2日</w:t>
            </w:r>
          </w:p>
        </w:tc>
        <w:tc>
          <w:tcPr>
            <w:tcW w:w="74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08:31</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49.2</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22:01</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8" w:type="pc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bCs/>
                <w:color w:val="auto"/>
                <w:sz w:val="21"/>
                <w:szCs w:val="21"/>
              </w:rPr>
              <w:t>2#（</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南侧）</w:t>
            </w:r>
          </w:p>
        </w:tc>
        <w:tc>
          <w:tcPr>
            <w:tcW w:w="679"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74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08:44</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52.1</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22:13</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8" w:type="pc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bCs/>
                <w:color w:val="auto"/>
                <w:sz w:val="21"/>
                <w:szCs w:val="21"/>
              </w:rPr>
              <w:t>3#（</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西侧）</w:t>
            </w:r>
          </w:p>
        </w:tc>
        <w:tc>
          <w:tcPr>
            <w:tcW w:w="679"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74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08:59</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50.9</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22:26</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58" w:type="pc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bCs/>
                <w:color w:val="auto"/>
                <w:sz w:val="21"/>
                <w:szCs w:val="21"/>
              </w:rPr>
              <w:t>4#（</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北侧）</w:t>
            </w:r>
          </w:p>
        </w:tc>
        <w:tc>
          <w:tcPr>
            <w:tcW w:w="679"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74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09:12</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52.6</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22:38</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38" w:type="pct"/>
            <w:gridSpan w:val="2"/>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sz w:val="21"/>
                <w:szCs w:val="21"/>
                <w:highlight w:val="none"/>
                <w:lang w:val="en-US" w:eastAsia="zh-CN"/>
              </w:rPr>
              <w:t>声环境质量标准</w:t>
            </w:r>
            <w:r>
              <w:rPr>
                <w:rFonts w:hint="default" w:ascii="Times New Roman" w:hAnsi="Times New Roman" w:eastAsia="宋体" w:cs="Times New Roman"/>
                <w:color w:val="auto"/>
                <w:kern w:val="0"/>
                <w:sz w:val="21"/>
                <w:szCs w:val="21"/>
                <w:lang w:val="en-US" w:eastAsia="zh-CN" w:bidi="ar-SA"/>
              </w:rPr>
              <w:t>》（GB3096-2008）</w:t>
            </w:r>
            <w:r>
              <w:rPr>
                <w:rFonts w:hint="default" w:ascii="Times New Roman" w:hAnsi="Times New Roman" w:cs="Times New Roman"/>
                <w:bCs/>
                <w:color w:val="auto"/>
                <w:szCs w:val="21"/>
                <w:lang w:eastAsia="zh-CN"/>
              </w:rPr>
              <w:t>表</w:t>
            </w:r>
            <w:r>
              <w:rPr>
                <w:rFonts w:hint="default" w:ascii="Times New Roman" w:hAnsi="Times New Roman" w:cs="Times New Roman"/>
                <w:bCs/>
                <w:color w:val="auto"/>
                <w:szCs w:val="21"/>
                <w:lang w:val="en-US" w:eastAsia="zh-CN"/>
              </w:rPr>
              <w:t>1环境噪声值2类区标准</w:t>
            </w:r>
          </w:p>
        </w:tc>
        <w:tc>
          <w:tcPr>
            <w:tcW w:w="1526" w:type="pct"/>
            <w:gridSpan w:val="2"/>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60</w:t>
            </w:r>
          </w:p>
        </w:tc>
        <w:tc>
          <w:tcPr>
            <w:tcW w:w="1534" w:type="pct"/>
            <w:gridSpan w:val="2"/>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50</w:t>
            </w:r>
          </w:p>
        </w:tc>
      </w:tr>
    </w:tbl>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rPr>
          <w:rFonts w:hint="default" w:ascii="Times New Roman" w:hAnsi="Times New Roman" w:cs="Times New Roman"/>
          <w:b/>
          <w:color w:val="auto"/>
          <w:sz w:val="24"/>
          <w:szCs w:val="24"/>
          <w:lang w:eastAsia="zh-CN"/>
        </w:rPr>
      </w:pPr>
      <w:r>
        <w:rPr>
          <w:rFonts w:hint="default" w:ascii="Times New Roman" w:hAnsi="Times New Roman" w:cs="Times New Roman"/>
          <w:b/>
          <w:color w:val="auto"/>
          <w:sz w:val="24"/>
          <w:szCs w:val="24"/>
        </w:rPr>
        <w:t>表</w:t>
      </w:r>
      <w:r>
        <w:rPr>
          <w:rFonts w:hint="eastAsia" w:ascii="Times New Roman" w:hAnsi="Times New Roman" w:cs="Times New Roman"/>
          <w:b/>
          <w:color w:val="auto"/>
          <w:sz w:val="24"/>
          <w:szCs w:val="24"/>
          <w:lang w:val="en-US" w:eastAsia="zh-CN"/>
        </w:rPr>
        <w:t>4.4-3</w:t>
      </w:r>
      <w:r>
        <w:rPr>
          <w:rFonts w:hint="default" w:ascii="Times New Roman" w:hAnsi="Times New Roman" w:cs="Times New Roman"/>
          <w:b/>
          <w:color w:val="auto"/>
          <w:sz w:val="24"/>
          <w:szCs w:val="24"/>
        </w:rPr>
        <w:t xml:space="preserve">         </w:t>
      </w:r>
      <w:r>
        <w:rPr>
          <w:rFonts w:hint="eastAsia"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rPr>
        <w:t xml:space="preserve"> </w:t>
      </w:r>
      <w:r>
        <w:rPr>
          <w:rFonts w:hint="eastAsia"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en-US" w:eastAsia="zh-CN"/>
        </w:rPr>
        <w:t>500kv国富变电站厂界</w:t>
      </w:r>
      <w:r>
        <w:rPr>
          <w:rFonts w:hint="default" w:ascii="Times New Roman" w:hAnsi="Times New Roman" w:cs="Times New Roman"/>
          <w:b/>
          <w:color w:val="auto"/>
          <w:sz w:val="24"/>
          <w:szCs w:val="24"/>
          <w:lang w:eastAsia="zh-CN"/>
        </w:rPr>
        <w:t>噪声</w:t>
      </w:r>
      <w:r>
        <w:rPr>
          <w:rFonts w:hint="default" w:ascii="Times New Roman" w:hAnsi="Times New Roman" w:cs="Times New Roman"/>
          <w:b/>
          <w:color w:val="auto"/>
          <w:sz w:val="24"/>
          <w:szCs w:val="24"/>
        </w:rPr>
        <w:t>监测数据表</w:t>
      </w:r>
      <w:r>
        <w:rPr>
          <w:rFonts w:hint="default" w:ascii="Times New Roman" w:hAnsi="Times New Roman" w:cs="Times New Roman"/>
          <w:b/>
          <w:color w:val="auto"/>
          <w:sz w:val="24"/>
          <w:szCs w:val="24"/>
          <w:lang w:eastAsia="zh-CN"/>
        </w:rPr>
        <w:t xml:space="preserve">       </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eastAsia="zh-CN"/>
        </w:rPr>
        <w:t xml:space="preserve">  </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en-US" w:eastAsia="zh-CN"/>
        </w:rPr>
        <w:t xml:space="preserve"> 单位：</w:t>
      </w:r>
      <w:r>
        <w:rPr>
          <w:rFonts w:hint="default" w:ascii="Times New Roman" w:hAnsi="Times New Roman" w:cs="Times New Roman"/>
          <w:b/>
          <w:color w:val="auto"/>
          <w:sz w:val="24"/>
          <w:szCs w:val="24"/>
        </w:rPr>
        <w:t>dB（A）</w:t>
      </w:r>
    </w:p>
    <w:tbl>
      <w:tblPr>
        <w:tblStyle w:val="12"/>
        <w:tblW w:w="48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1133"/>
        <w:gridCol w:w="1388"/>
        <w:gridCol w:w="1455"/>
        <w:gridCol w:w="1452"/>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30" w:type="pct"/>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监测点位</w:t>
            </w:r>
          </w:p>
        </w:tc>
        <w:tc>
          <w:tcPr>
            <w:tcW w:w="608" w:type="pct"/>
            <w:noWrap w:val="0"/>
            <w:vAlign w:val="center"/>
          </w:tcPr>
          <w:p>
            <w:pPr>
              <w:snapToGrid w:val="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rPr>
              <w:t>监测</w:t>
            </w:r>
            <w:r>
              <w:rPr>
                <w:rFonts w:hint="default" w:ascii="Times New Roman" w:hAnsi="Times New Roman" w:cs="Times New Roman"/>
                <w:b/>
                <w:bCs w:val="0"/>
                <w:color w:val="auto"/>
                <w:sz w:val="21"/>
                <w:szCs w:val="21"/>
                <w:lang w:eastAsia="zh-CN"/>
              </w:rPr>
              <w:t>日期</w:t>
            </w:r>
          </w:p>
        </w:tc>
        <w:tc>
          <w:tcPr>
            <w:tcW w:w="1526" w:type="pct"/>
            <w:gridSpan w:val="2"/>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昼间</w:t>
            </w:r>
          </w:p>
        </w:tc>
        <w:tc>
          <w:tcPr>
            <w:tcW w:w="1534" w:type="pct"/>
            <w:gridSpan w:val="2"/>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30" w:type="pct"/>
            <w:noWrap w:val="0"/>
            <w:vAlign w:val="center"/>
          </w:tcPr>
          <w:p>
            <w:pPr>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东侧）</w:t>
            </w:r>
          </w:p>
        </w:tc>
        <w:tc>
          <w:tcPr>
            <w:tcW w:w="608" w:type="pct"/>
            <w:vMerge w:val="restart"/>
            <w:noWrap w:val="0"/>
            <w:vAlign w:val="center"/>
          </w:tcPr>
          <w:p>
            <w:pPr>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8月1日</w:t>
            </w:r>
          </w:p>
        </w:tc>
        <w:tc>
          <w:tcPr>
            <w:tcW w:w="74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09:55</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52.8</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23:07</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30" w:type="pct"/>
            <w:noWrap w:val="0"/>
            <w:vAlign w:val="center"/>
          </w:tcPr>
          <w:p>
            <w:pPr>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6</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南侧）</w:t>
            </w:r>
          </w:p>
        </w:tc>
        <w:tc>
          <w:tcPr>
            <w:tcW w:w="608" w:type="pct"/>
            <w:vMerge w:val="continue"/>
            <w:noWrap w:val="0"/>
            <w:vAlign w:val="center"/>
          </w:tcPr>
          <w:p>
            <w:pPr>
              <w:snapToGrid w:val="0"/>
              <w:jc w:val="center"/>
              <w:rPr>
                <w:rFonts w:hint="default" w:ascii="Times New Roman" w:hAnsi="Times New Roman" w:cs="Times New Roman"/>
                <w:bCs/>
                <w:color w:val="auto"/>
                <w:sz w:val="21"/>
                <w:szCs w:val="21"/>
              </w:rPr>
            </w:pPr>
          </w:p>
        </w:tc>
        <w:tc>
          <w:tcPr>
            <w:tcW w:w="74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10:09</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50.2</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23:20</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30" w:type="pct"/>
            <w:noWrap w:val="0"/>
            <w:vAlign w:val="center"/>
          </w:tcPr>
          <w:p>
            <w:pPr>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7</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西侧）</w:t>
            </w:r>
          </w:p>
        </w:tc>
        <w:tc>
          <w:tcPr>
            <w:tcW w:w="608" w:type="pct"/>
            <w:vMerge w:val="continue"/>
            <w:noWrap w:val="0"/>
            <w:vAlign w:val="center"/>
          </w:tcPr>
          <w:p>
            <w:pPr>
              <w:snapToGrid w:val="0"/>
              <w:jc w:val="center"/>
              <w:rPr>
                <w:rFonts w:hint="default" w:ascii="Times New Roman" w:hAnsi="Times New Roman" w:cs="Times New Roman"/>
                <w:bCs/>
                <w:color w:val="auto"/>
                <w:sz w:val="21"/>
                <w:szCs w:val="21"/>
              </w:rPr>
            </w:pPr>
          </w:p>
        </w:tc>
        <w:tc>
          <w:tcPr>
            <w:tcW w:w="74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10:21</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49.4</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23:33</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30" w:type="pct"/>
            <w:noWrap w:val="0"/>
            <w:vAlign w:val="center"/>
          </w:tcPr>
          <w:p>
            <w:pPr>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8</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北侧）</w:t>
            </w:r>
          </w:p>
        </w:tc>
        <w:tc>
          <w:tcPr>
            <w:tcW w:w="608" w:type="pct"/>
            <w:vMerge w:val="continue"/>
            <w:tcBorders>
              <w:bottom w:val="nil"/>
            </w:tcBorders>
            <w:noWrap w:val="0"/>
            <w:vAlign w:val="center"/>
          </w:tcPr>
          <w:p>
            <w:pPr>
              <w:snapToGrid w:val="0"/>
              <w:jc w:val="center"/>
              <w:rPr>
                <w:rFonts w:hint="default" w:ascii="Times New Roman" w:hAnsi="Times New Roman" w:cs="Times New Roman"/>
                <w:bCs/>
                <w:color w:val="auto"/>
                <w:sz w:val="21"/>
                <w:szCs w:val="21"/>
              </w:rPr>
            </w:pPr>
          </w:p>
        </w:tc>
        <w:tc>
          <w:tcPr>
            <w:tcW w:w="74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10:36</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51.6</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23:45-</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30" w:type="pc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东侧）</w:t>
            </w:r>
          </w:p>
        </w:tc>
        <w:tc>
          <w:tcPr>
            <w:tcW w:w="608" w:type="pct"/>
            <w:vMerge w:val="restar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8月2日</w:t>
            </w:r>
          </w:p>
        </w:tc>
        <w:tc>
          <w:tcPr>
            <w:tcW w:w="74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09:45</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49.3</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22:57</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30" w:type="pc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bCs/>
                <w:color w:val="auto"/>
                <w:sz w:val="21"/>
                <w:szCs w:val="21"/>
                <w:lang w:val="en-US" w:eastAsia="zh-CN"/>
              </w:rPr>
              <w:t>6</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南侧）</w:t>
            </w:r>
          </w:p>
        </w:tc>
        <w:tc>
          <w:tcPr>
            <w:tcW w:w="608"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74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09:58</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52.9</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23:10</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30" w:type="pc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bCs/>
                <w:color w:val="auto"/>
                <w:sz w:val="21"/>
                <w:szCs w:val="21"/>
                <w:lang w:val="en-US" w:eastAsia="zh-CN"/>
              </w:rPr>
              <w:t>7</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西侧）</w:t>
            </w:r>
          </w:p>
        </w:tc>
        <w:tc>
          <w:tcPr>
            <w:tcW w:w="608"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74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10:13</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49.5</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23:24</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30" w:type="pc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bCs/>
                <w:color w:val="auto"/>
                <w:sz w:val="21"/>
                <w:szCs w:val="21"/>
                <w:lang w:val="en-US" w:eastAsia="zh-CN"/>
              </w:rPr>
              <w:t>8</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汇集站</w:t>
            </w:r>
            <w:r>
              <w:rPr>
                <w:rFonts w:hint="default" w:ascii="Times New Roman" w:hAnsi="Times New Roman" w:cs="Times New Roman"/>
                <w:bCs/>
                <w:color w:val="auto"/>
                <w:sz w:val="21"/>
                <w:szCs w:val="21"/>
                <w:lang w:eastAsia="zh-CN"/>
              </w:rPr>
              <w:t>厂界</w:t>
            </w:r>
            <w:r>
              <w:rPr>
                <w:rFonts w:hint="default" w:ascii="Times New Roman" w:hAnsi="Times New Roman" w:cs="Times New Roman"/>
                <w:bCs/>
                <w:color w:val="auto"/>
                <w:sz w:val="21"/>
                <w:szCs w:val="21"/>
              </w:rPr>
              <w:t>北侧）</w:t>
            </w:r>
          </w:p>
        </w:tc>
        <w:tc>
          <w:tcPr>
            <w:tcW w:w="608"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745"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10:26</w:t>
            </w:r>
          </w:p>
        </w:tc>
        <w:tc>
          <w:tcPr>
            <w:tcW w:w="781"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51.4</w:t>
            </w:r>
          </w:p>
        </w:tc>
        <w:tc>
          <w:tcPr>
            <w:tcW w:w="77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23:36</w:t>
            </w:r>
          </w:p>
        </w:tc>
        <w:tc>
          <w:tcPr>
            <w:tcW w:w="755"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38" w:type="pct"/>
            <w:gridSpan w:val="2"/>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sz w:val="21"/>
                <w:szCs w:val="21"/>
                <w:highlight w:val="none"/>
                <w:lang w:val="en-US" w:eastAsia="zh-CN"/>
              </w:rPr>
              <w:t>声环境质量标准</w:t>
            </w:r>
            <w:r>
              <w:rPr>
                <w:rFonts w:hint="default" w:ascii="Times New Roman" w:hAnsi="Times New Roman" w:eastAsia="宋体" w:cs="Times New Roman"/>
                <w:color w:val="auto"/>
                <w:kern w:val="0"/>
                <w:sz w:val="21"/>
                <w:szCs w:val="21"/>
                <w:lang w:val="en-US" w:eastAsia="zh-CN" w:bidi="ar-SA"/>
              </w:rPr>
              <w:t>》（GB3096-2008）</w:t>
            </w:r>
            <w:r>
              <w:rPr>
                <w:rFonts w:hint="default" w:ascii="Times New Roman" w:hAnsi="Times New Roman" w:cs="Times New Roman"/>
                <w:bCs/>
                <w:color w:val="auto"/>
                <w:szCs w:val="21"/>
                <w:lang w:eastAsia="zh-CN"/>
              </w:rPr>
              <w:t>表</w:t>
            </w:r>
            <w:r>
              <w:rPr>
                <w:rFonts w:hint="default" w:ascii="Times New Roman" w:hAnsi="Times New Roman" w:cs="Times New Roman"/>
                <w:bCs/>
                <w:color w:val="auto"/>
                <w:szCs w:val="21"/>
                <w:lang w:val="en-US" w:eastAsia="zh-CN"/>
              </w:rPr>
              <w:t>1环境噪声值2类区标准</w:t>
            </w:r>
          </w:p>
        </w:tc>
        <w:tc>
          <w:tcPr>
            <w:tcW w:w="1526" w:type="pct"/>
            <w:gridSpan w:val="2"/>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60</w:t>
            </w:r>
          </w:p>
        </w:tc>
        <w:tc>
          <w:tcPr>
            <w:tcW w:w="1534" w:type="pct"/>
            <w:gridSpan w:val="2"/>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50</w:t>
            </w:r>
          </w:p>
        </w:tc>
      </w:tr>
    </w:tbl>
    <w:p>
      <w:pPr>
        <w:pStyle w:val="11"/>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jc w:val="center"/>
        <w:textAlignment w:val="auto"/>
        <w:rPr>
          <w:rFonts w:hint="default" w:ascii="Times New Roman" w:hAnsi="Times New Roman" w:cs="Times New Roman"/>
          <w:b/>
          <w:color w:val="auto"/>
          <w:sz w:val="24"/>
          <w:szCs w:val="24"/>
          <w:lang w:eastAsia="zh-CN"/>
        </w:rPr>
      </w:pPr>
      <w:r>
        <w:rPr>
          <w:rFonts w:hint="default" w:ascii="Times New Roman" w:hAnsi="Times New Roman" w:cs="Times New Roman"/>
          <w:b/>
          <w:color w:val="auto"/>
          <w:sz w:val="24"/>
          <w:szCs w:val="24"/>
        </w:rPr>
        <w:t>表</w:t>
      </w:r>
      <w:r>
        <w:rPr>
          <w:rFonts w:hint="eastAsia" w:ascii="Times New Roman" w:hAnsi="Times New Roman" w:cs="Times New Roman"/>
          <w:b/>
          <w:color w:val="auto"/>
          <w:sz w:val="24"/>
          <w:szCs w:val="24"/>
          <w:lang w:val="en-US" w:eastAsia="zh-CN"/>
        </w:rPr>
        <w:t>4.4-4</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en-US" w:eastAsia="zh-CN"/>
        </w:rPr>
        <w:t xml:space="preserve">     </w:t>
      </w:r>
      <w:r>
        <w:rPr>
          <w:rFonts w:hint="default" w:ascii="Times New Roman" w:hAnsi="Times New Roman" w:eastAsia="宋体" w:cs="Times New Roman"/>
          <w:b/>
          <w:bCs/>
          <w:color w:val="auto"/>
          <w:kern w:val="2"/>
          <w:sz w:val="24"/>
          <w:szCs w:val="24"/>
          <w:highlight w:val="none"/>
          <w:lang w:val="en-US" w:eastAsia="zh-CN" w:bidi="ar-SA"/>
        </w:rPr>
        <w:t>输电线路噪声</w:t>
      </w:r>
      <w:r>
        <w:rPr>
          <w:rFonts w:hint="default" w:ascii="Times New Roman" w:hAnsi="Times New Roman" w:eastAsia="宋体" w:cs="Times New Roman"/>
          <w:b/>
          <w:bCs/>
          <w:color w:val="auto"/>
          <w:sz w:val="24"/>
          <w:szCs w:val="24"/>
          <w:lang w:eastAsia="zh-CN"/>
        </w:rPr>
        <w:t>噪声</w:t>
      </w:r>
      <w:r>
        <w:rPr>
          <w:rFonts w:hint="default" w:ascii="Times New Roman" w:hAnsi="Times New Roman" w:eastAsia="宋体" w:cs="Times New Roman"/>
          <w:b/>
          <w:bCs/>
          <w:color w:val="auto"/>
          <w:sz w:val="24"/>
          <w:szCs w:val="24"/>
        </w:rPr>
        <w:t>监测数据表</w:t>
      </w:r>
      <w:r>
        <w:rPr>
          <w:rFonts w:hint="default" w:ascii="Times New Roman" w:hAnsi="Times New Roman" w:eastAsia="宋体" w:cs="Times New Roman"/>
          <w:b/>
          <w:bCs/>
          <w:color w:val="auto"/>
          <w:sz w:val="24"/>
          <w:szCs w:val="24"/>
          <w:lang w:eastAsia="zh-CN"/>
        </w:rPr>
        <w:t xml:space="preserve"> </w:t>
      </w:r>
      <w:r>
        <w:rPr>
          <w:rFonts w:hint="default" w:ascii="Times New Roman" w:hAnsi="Times New Roman" w:cs="Times New Roman"/>
          <w:b/>
          <w:color w:val="auto"/>
          <w:sz w:val="24"/>
          <w:szCs w:val="24"/>
          <w:lang w:eastAsia="zh-CN"/>
        </w:rPr>
        <w:t xml:space="preserve">        </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eastAsia="zh-CN"/>
        </w:rPr>
        <w:t xml:space="preserve">  </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en-US" w:eastAsia="zh-CN"/>
        </w:rPr>
        <w:t>单位：</w:t>
      </w:r>
      <w:r>
        <w:rPr>
          <w:rFonts w:hint="default" w:ascii="Times New Roman" w:hAnsi="Times New Roman" w:cs="Times New Roman"/>
          <w:b/>
          <w:color w:val="auto"/>
          <w:sz w:val="24"/>
          <w:szCs w:val="24"/>
        </w:rPr>
        <w:t>dB（A）</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1212"/>
        <w:gridCol w:w="1216"/>
        <w:gridCol w:w="1220"/>
        <w:gridCol w:w="1216"/>
        <w:gridCol w:w="1216"/>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vMerge w:val="restart"/>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监测点位</w:t>
            </w:r>
          </w:p>
        </w:tc>
        <w:tc>
          <w:tcPr>
            <w:tcW w:w="1917" w:type="pct"/>
            <w:gridSpan w:val="3"/>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昼间</w:t>
            </w:r>
          </w:p>
        </w:tc>
        <w:tc>
          <w:tcPr>
            <w:tcW w:w="1927" w:type="pct"/>
            <w:gridSpan w:val="3"/>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vMerge w:val="continue"/>
            <w:noWrap w:val="0"/>
            <w:vAlign w:val="center"/>
          </w:tcPr>
          <w:p>
            <w:pPr>
              <w:snapToGrid w:val="0"/>
              <w:jc w:val="center"/>
              <w:rPr>
                <w:rFonts w:hint="default" w:ascii="Times New Roman" w:hAnsi="Times New Roman" w:cs="Times New Roman"/>
                <w:b/>
                <w:bCs w:val="0"/>
                <w:color w:val="auto"/>
                <w:sz w:val="21"/>
                <w:szCs w:val="21"/>
              </w:rPr>
            </w:pPr>
          </w:p>
        </w:tc>
        <w:tc>
          <w:tcPr>
            <w:tcW w:w="1276" w:type="pct"/>
            <w:gridSpan w:val="2"/>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监测</w:t>
            </w:r>
            <w:r>
              <w:rPr>
                <w:rFonts w:hint="eastAsia" w:ascii="Times New Roman" w:hAnsi="Times New Roman" w:cs="Times New Roman"/>
                <w:b/>
                <w:bCs w:val="0"/>
                <w:color w:val="auto"/>
                <w:sz w:val="21"/>
                <w:szCs w:val="21"/>
                <w:lang w:eastAsia="zh-CN"/>
              </w:rPr>
              <w:t>时间</w:t>
            </w:r>
          </w:p>
        </w:tc>
        <w:tc>
          <w:tcPr>
            <w:tcW w:w="640" w:type="pct"/>
            <w:noWrap w:val="0"/>
            <w:vAlign w:val="center"/>
          </w:tcPr>
          <w:p>
            <w:pPr>
              <w:snapToGrid w:val="0"/>
              <w:jc w:val="center"/>
              <w:rPr>
                <w:rFonts w:hint="eastAsia"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eastAsia="zh-CN"/>
              </w:rPr>
              <w:t>监测结果</w:t>
            </w:r>
          </w:p>
        </w:tc>
        <w:tc>
          <w:tcPr>
            <w:tcW w:w="1278" w:type="pct"/>
            <w:gridSpan w:val="2"/>
            <w:noWrap w:val="0"/>
            <w:vAlign w:val="center"/>
          </w:tcPr>
          <w:p>
            <w:pPr>
              <w:snapToGrid w:val="0"/>
              <w:jc w:val="center"/>
              <w:rPr>
                <w:rFonts w:hint="eastAsia"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eastAsia="zh-CN"/>
              </w:rPr>
              <w:t>监测时间</w:t>
            </w:r>
          </w:p>
        </w:tc>
        <w:tc>
          <w:tcPr>
            <w:tcW w:w="649" w:type="pct"/>
            <w:noWrap w:val="0"/>
            <w:vAlign w:val="center"/>
          </w:tcPr>
          <w:p>
            <w:pPr>
              <w:snapToGrid w:val="0"/>
              <w:jc w:val="center"/>
              <w:rPr>
                <w:rFonts w:hint="eastAsia"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9</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cs="Times New Roman"/>
                <w:bCs/>
                <w:color w:val="auto"/>
                <w:sz w:val="21"/>
                <w:szCs w:val="21"/>
                <w:lang w:val="en-US"/>
              </w:rPr>
            </w:pPr>
            <w:r>
              <w:rPr>
                <w:rFonts w:hint="default" w:ascii="Times New Roman" w:hAnsi="Times New Roman" w:eastAsia="宋体" w:cs="Times New Roman"/>
                <w:color w:val="auto"/>
                <w:kern w:val="2"/>
                <w:sz w:val="21"/>
                <w:szCs w:val="21"/>
                <w:highlight w:val="none"/>
                <w:lang w:val="en-US" w:eastAsia="zh-CN" w:bidi="ar-SA"/>
              </w:rPr>
              <w:t>输电线路处0m）</w:t>
            </w:r>
          </w:p>
        </w:tc>
        <w:tc>
          <w:tcPr>
            <w:tcW w:w="637" w:type="pct"/>
            <w:vMerge w:val="restart"/>
            <w:noWrap w:val="0"/>
            <w:vAlign w:val="center"/>
          </w:tcPr>
          <w:p>
            <w:pPr>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8月1日</w:t>
            </w: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11:04</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50.4</w:t>
            </w:r>
          </w:p>
        </w:tc>
        <w:tc>
          <w:tcPr>
            <w:tcW w:w="639" w:type="pct"/>
            <w:vMerge w:val="restar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8月2日</w:t>
            </w: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00:06</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10</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输电线路处5m）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11:08</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49.8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00:10</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11</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输电线路处10m）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11:13</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50.1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00:15</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12</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输电线路处15m）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11:18</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50.9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00:19</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13</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输电线路处20m）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11:22</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49.3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00:24</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14</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输电线路处25m）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11:26</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51.1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00:28</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输电线路处30m）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11:31</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51.8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00:32</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16</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输电线路处35m）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11:35</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49.9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00:37</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17</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输电线路处40m）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11:39</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51.8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00:44</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9</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输电线路处0m）</w:t>
            </w:r>
          </w:p>
        </w:tc>
        <w:tc>
          <w:tcPr>
            <w:tcW w:w="637" w:type="pct"/>
            <w:vMerge w:val="restar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bCs/>
                <w:color w:val="auto"/>
                <w:sz w:val="21"/>
                <w:szCs w:val="21"/>
                <w:highlight w:val="none"/>
                <w:lang w:val="en-US" w:eastAsia="zh-CN"/>
              </w:rPr>
              <w:t>8月2日</w:t>
            </w: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10:42</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49.4 </w:t>
            </w:r>
          </w:p>
        </w:tc>
        <w:tc>
          <w:tcPr>
            <w:tcW w:w="639" w:type="pct"/>
            <w:vMerge w:val="restar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8月3日</w:t>
            </w: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00:02</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10</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输电线路处5m）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10:46</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50.2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00:07</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11</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输电线路处10m）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10:51</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49.4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00:12</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12</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输电线路处15m）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10:55</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50.6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00:16</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13</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输电线路处20m）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10:59</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50.3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00:20</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14</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输电线路处25m）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11:03</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49.9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00:25</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输电线路处30m）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11:08</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49.4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00:29</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16</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输电线路处35m）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11:12</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50.1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00:34</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5" w:type="pc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17</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kern w:val="2"/>
                <w:sz w:val="21"/>
                <w:szCs w:val="21"/>
                <w:highlight w:val="none"/>
                <w:lang w:val="en-US" w:eastAsia="zh-CN" w:bidi="ar-SA"/>
              </w:rPr>
              <w:t>前王家屯段</w:t>
            </w:r>
          </w:p>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输电线路处40m）</w:t>
            </w:r>
          </w:p>
        </w:tc>
        <w:tc>
          <w:tcPr>
            <w:tcW w:w="637" w:type="pct"/>
            <w:vMerge w:val="continue"/>
            <w:noWrap w:val="0"/>
            <w:vAlign w:val="center"/>
          </w:tcPr>
          <w:p>
            <w:pPr>
              <w:snapToGrid w:val="0"/>
              <w:jc w:val="center"/>
              <w:rPr>
                <w:rFonts w:hint="default" w:ascii="Times New Roman" w:hAnsi="Times New Roman" w:cs="Times New Roman"/>
                <w:color w:val="auto"/>
                <w:kern w:val="0"/>
                <w:sz w:val="21"/>
                <w:szCs w:val="21"/>
                <w:lang w:val="en-US" w:eastAsia="zh-CN" w:bidi="ar-SA"/>
              </w:rPr>
            </w:pP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11:17</w:t>
            </w:r>
          </w:p>
        </w:tc>
        <w:tc>
          <w:tcPr>
            <w:tcW w:w="1225"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49.8 </w:t>
            </w:r>
          </w:p>
        </w:tc>
        <w:tc>
          <w:tcPr>
            <w:tcW w:w="639" w:type="pct"/>
            <w:vMerge w:val="continue"/>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00:38</w:t>
            </w:r>
          </w:p>
        </w:tc>
        <w:tc>
          <w:tcPr>
            <w:tcW w:w="1243" w:type="dxa"/>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 xml:space="preserve">42.6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7"/>
            <w:noWrap w:val="0"/>
            <w:vAlign w:val="center"/>
          </w:tcPr>
          <w:p>
            <w:pPr>
              <w:snapToGrid w:val="0"/>
              <w:jc w:val="both"/>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Cs w:val="21"/>
                <w:lang w:eastAsia="zh-CN"/>
              </w:rPr>
              <w:t>《声环境质量标准》（</w:t>
            </w:r>
            <w:r>
              <w:rPr>
                <w:rFonts w:hint="default" w:ascii="Times New Roman" w:hAnsi="Times New Roman" w:cs="Times New Roman"/>
                <w:bCs/>
                <w:color w:val="auto"/>
                <w:szCs w:val="21"/>
                <w:lang w:val="en-US" w:eastAsia="zh-CN"/>
              </w:rPr>
              <w:t>GB3096-2008</w:t>
            </w:r>
            <w:r>
              <w:rPr>
                <w:rFonts w:hint="default" w:ascii="Times New Roman" w:hAnsi="Times New Roman" w:cs="Times New Roman"/>
                <w:bCs/>
                <w:color w:val="auto"/>
                <w:szCs w:val="21"/>
                <w:lang w:eastAsia="zh-CN"/>
              </w:rPr>
              <w:t>）表</w:t>
            </w:r>
            <w:r>
              <w:rPr>
                <w:rFonts w:hint="default" w:ascii="Times New Roman" w:hAnsi="Times New Roman" w:cs="Times New Roman"/>
                <w:bCs/>
                <w:color w:val="auto"/>
                <w:szCs w:val="21"/>
                <w:lang w:val="en-US" w:eastAsia="zh-CN"/>
              </w:rPr>
              <w:t>1环境噪声值1类区标准</w:t>
            </w:r>
            <w:r>
              <w:rPr>
                <w:rFonts w:hint="eastAsia" w:ascii="Times New Roman" w:hAnsi="Times New Roman" w:cs="Times New Roman"/>
                <w:color w:val="auto"/>
                <w:kern w:val="0"/>
                <w:sz w:val="21"/>
                <w:szCs w:val="21"/>
                <w:lang w:val="en-US" w:eastAsia="zh-CN" w:bidi="ar-SA"/>
              </w:rPr>
              <w:t>，昼间：55，夜间：45。</w:t>
            </w:r>
          </w:p>
        </w:tc>
      </w:tr>
    </w:tbl>
    <w:p>
      <w:pPr>
        <w:pStyle w:val="7"/>
        <w:keepNext w:val="0"/>
        <w:keepLines w:val="0"/>
        <w:pageBreakBefore w:val="0"/>
        <w:widowControl w:val="0"/>
        <w:kinsoku/>
        <w:wordWrap/>
        <w:overflowPunct/>
        <w:topLinePunct w:val="0"/>
        <w:autoSpaceDE/>
        <w:autoSpaceDN/>
        <w:bidi w:val="0"/>
        <w:adjustRightInd/>
        <w:snapToGrid w:val="0"/>
        <w:spacing w:before="156" w:beforeLines="50" w:line="240" w:lineRule="auto"/>
        <w:jc w:val="center"/>
        <w:textAlignment w:val="auto"/>
        <w:rPr>
          <w:rFonts w:hint="default" w:ascii="Times New Roman" w:hAnsi="Times New Roman" w:eastAsia="宋体" w:cs="Times New Roman"/>
          <w:b/>
          <w:bCs w:val="0"/>
          <w:color w:val="auto"/>
          <w:sz w:val="24"/>
          <w:szCs w:val="24"/>
        </w:rPr>
      </w:pPr>
      <w:r>
        <w:rPr>
          <w:rFonts w:hint="default" w:ascii="Times New Roman" w:hAnsi="Times New Roman" w:cs="Times New Roman"/>
          <w:b/>
          <w:color w:val="auto"/>
          <w:sz w:val="24"/>
          <w:szCs w:val="24"/>
        </w:rPr>
        <w:t>表</w:t>
      </w:r>
      <w:r>
        <w:rPr>
          <w:rFonts w:hint="eastAsia" w:ascii="Times New Roman" w:hAnsi="Times New Roman" w:cs="Times New Roman"/>
          <w:b/>
          <w:color w:val="auto"/>
          <w:sz w:val="24"/>
          <w:szCs w:val="24"/>
          <w:lang w:val="en-US" w:eastAsia="zh-CN"/>
        </w:rPr>
        <w:t>4.4-5</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val="en-US" w:eastAsia="zh-CN"/>
        </w:rPr>
        <w:t xml:space="preserve">    </w:t>
      </w:r>
      <w:r>
        <w:rPr>
          <w:rFonts w:hint="default" w:ascii="Times New Roman" w:hAnsi="Times New Roman" w:eastAsia="宋体" w:cs="Times New Roman"/>
          <w:b/>
          <w:bCs w:val="0"/>
          <w:color w:val="auto"/>
          <w:kern w:val="2"/>
          <w:sz w:val="24"/>
          <w:szCs w:val="24"/>
          <w:highlight w:val="none"/>
          <w:lang w:val="en-US" w:eastAsia="zh-CN" w:bidi="ar-SA"/>
        </w:rPr>
        <w:t>敏感点噪声</w:t>
      </w:r>
      <w:r>
        <w:rPr>
          <w:rFonts w:hint="default" w:ascii="Times New Roman" w:hAnsi="Times New Roman" w:eastAsia="宋体" w:cs="Times New Roman"/>
          <w:b/>
          <w:bCs w:val="0"/>
          <w:color w:val="auto"/>
          <w:sz w:val="24"/>
          <w:szCs w:val="24"/>
          <w:lang w:eastAsia="zh-CN"/>
        </w:rPr>
        <w:t>噪声</w:t>
      </w:r>
      <w:r>
        <w:rPr>
          <w:rFonts w:hint="default" w:ascii="Times New Roman" w:hAnsi="Times New Roman" w:eastAsia="宋体" w:cs="Times New Roman"/>
          <w:b/>
          <w:bCs w:val="0"/>
          <w:color w:val="auto"/>
          <w:sz w:val="24"/>
          <w:szCs w:val="24"/>
        </w:rPr>
        <w:t>监测数据表</w:t>
      </w:r>
      <w:r>
        <w:rPr>
          <w:rFonts w:hint="default" w:ascii="Times New Roman" w:hAnsi="Times New Roman" w:eastAsia="宋体" w:cs="Times New Roman"/>
          <w:b/>
          <w:bCs w:val="0"/>
          <w:color w:val="auto"/>
          <w:sz w:val="24"/>
          <w:szCs w:val="24"/>
          <w:lang w:eastAsia="zh-CN"/>
        </w:rPr>
        <w:t xml:space="preserve">         </w:t>
      </w:r>
      <w:r>
        <w:rPr>
          <w:rFonts w:hint="default" w:ascii="Times New Roman" w:hAnsi="Times New Roman" w:eastAsia="宋体" w:cs="Times New Roman"/>
          <w:b/>
          <w:bCs w:val="0"/>
          <w:color w:val="auto"/>
          <w:sz w:val="24"/>
          <w:szCs w:val="24"/>
        </w:rPr>
        <w:t xml:space="preserve"> </w:t>
      </w:r>
      <w:r>
        <w:rPr>
          <w:rFonts w:hint="default" w:ascii="Times New Roman" w:hAnsi="Times New Roman" w:eastAsia="宋体" w:cs="Times New Roman"/>
          <w:b/>
          <w:bCs w:val="0"/>
          <w:color w:val="auto"/>
          <w:sz w:val="24"/>
          <w:szCs w:val="24"/>
          <w:lang w:eastAsia="zh-CN"/>
        </w:rPr>
        <w:t xml:space="preserve">  </w:t>
      </w:r>
      <w:r>
        <w:rPr>
          <w:rFonts w:hint="default" w:ascii="Times New Roman" w:hAnsi="Times New Roman" w:eastAsia="宋体" w:cs="Times New Roman"/>
          <w:b/>
          <w:bCs w:val="0"/>
          <w:color w:val="auto"/>
          <w:sz w:val="24"/>
          <w:szCs w:val="24"/>
        </w:rPr>
        <w:t xml:space="preserve">   </w:t>
      </w:r>
      <w:r>
        <w:rPr>
          <w:rFonts w:hint="default" w:ascii="Times New Roman" w:hAnsi="Times New Roman" w:eastAsia="宋体" w:cs="Times New Roman"/>
          <w:b/>
          <w:bCs w:val="0"/>
          <w:color w:val="auto"/>
          <w:sz w:val="24"/>
          <w:szCs w:val="24"/>
          <w:lang w:val="en-US" w:eastAsia="zh-CN"/>
        </w:rPr>
        <w:t>单位：</w:t>
      </w:r>
      <w:r>
        <w:rPr>
          <w:rFonts w:hint="default" w:ascii="Times New Roman" w:hAnsi="Times New Roman" w:eastAsia="宋体" w:cs="Times New Roman"/>
          <w:b/>
          <w:bCs w:val="0"/>
          <w:color w:val="auto"/>
          <w:sz w:val="24"/>
          <w:szCs w:val="24"/>
        </w:rPr>
        <w:t>dB（A）</w:t>
      </w:r>
    </w:p>
    <w:tbl>
      <w:tblPr>
        <w:tblStyle w:val="1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1212"/>
        <w:gridCol w:w="1216"/>
        <w:gridCol w:w="1220"/>
        <w:gridCol w:w="1216"/>
        <w:gridCol w:w="1216"/>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4" w:type="pct"/>
            <w:vMerge w:val="restart"/>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监测点位</w:t>
            </w:r>
          </w:p>
        </w:tc>
        <w:tc>
          <w:tcPr>
            <w:tcW w:w="1917" w:type="pct"/>
            <w:gridSpan w:val="3"/>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昼间</w:t>
            </w:r>
          </w:p>
        </w:tc>
        <w:tc>
          <w:tcPr>
            <w:tcW w:w="1928" w:type="pct"/>
            <w:gridSpan w:val="3"/>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4" w:type="pct"/>
            <w:vMerge w:val="continue"/>
            <w:noWrap w:val="0"/>
            <w:vAlign w:val="center"/>
          </w:tcPr>
          <w:p>
            <w:pPr>
              <w:snapToGrid w:val="0"/>
              <w:jc w:val="center"/>
              <w:rPr>
                <w:rFonts w:hint="default" w:ascii="Times New Roman" w:hAnsi="Times New Roman" w:cs="Times New Roman"/>
                <w:b/>
                <w:bCs w:val="0"/>
                <w:color w:val="auto"/>
                <w:sz w:val="21"/>
                <w:szCs w:val="21"/>
              </w:rPr>
            </w:pPr>
          </w:p>
        </w:tc>
        <w:tc>
          <w:tcPr>
            <w:tcW w:w="1276" w:type="pct"/>
            <w:gridSpan w:val="2"/>
            <w:noWrap w:val="0"/>
            <w:vAlign w:val="center"/>
          </w:tcPr>
          <w:p>
            <w:pPr>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监测</w:t>
            </w:r>
            <w:r>
              <w:rPr>
                <w:rFonts w:hint="eastAsia" w:ascii="Times New Roman" w:hAnsi="Times New Roman" w:cs="Times New Roman"/>
                <w:b/>
                <w:bCs w:val="0"/>
                <w:color w:val="auto"/>
                <w:sz w:val="21"/>
                <w:szCs w:val="21"/>
                <w:lang w:eastAsia="zh-CN"/>
              </w:rPr>
              <w:t>时间</w:t>
            </w:r>
          </w:p>
        </w:tc>
        <w:tc>
          <w:tcPr>
            <w:tcW w:w="640" w:type="pct"/>
            <w:noWrap w:val="0"/>
            <w:vAlign w:val="center"/>
          </w:tcPr>
          <w:p>
            <w:pPr>
              <w:snapToGrid w:val="0"/>
              <w:jc w:val="center"/>
              <w:rPr>
                <w:rFonts w:hint="eastAsia"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eastAsia="zh-CN"/>
              </w:rPr>
              <w:t>监测结果</w:t>
            </w:r>
          </w:p>
        </w:tc>
        <w:tc>
          <w:tcPr>
            <w:tcW w:w="1278" w:type="pct"/>
            <w:gridSpan w:val="2"/>
            <w:noWrap w:val="0"/>
            <w:vAlign w:val="center"/>
          </w:tcPr>
          <w:p>
            <w:pPr>
              <w:snapToGrid w:val="0"/>
              <w:jc w:val="center"/>
              <w:rPr>
                <w:rFonts w:hint="eastAsia"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eastAsia="zh-CN"/>
              </w:rPr>
              <w:t>监测时间</w:t>
            </w:r>
          </w:p>
        </w:tc>
        <w:tc>
          <w:tcPr>
            <w:tcW w:w="650" w:type="pct"/>
            <w:noWrap w:val="0"/>
            <w:vAlign w:val="center"/>
          </w:tcPr>
          <w:p>
            <w:pPr>
              <w:snapToGrid w:val="0"/>
              <w:jc w:val="center"/>
              <w:rPr>
                <w:rFonts w:hint="eastAsia"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4" w:type="pct"/>
            <w:vMerge w:val="restart"/>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lang w:val="en-US" w:eastAsia="zh-CN"/>
              </w:rPr>
              <w:t>18</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前</w:t>
            </w:r>
            <w:r>
              <w:rPr>
                <w:rFonts w:hint="default" w:ascii="Times New Roman" w:hAnsi="Times New Roman" w:eastAsia="宋体" w:cs="Times New Roman"/>
                <w:color w:val="auto"/>
                <w:kern w:val="2"/>
                <w:sz w:val="21"/>
                <w:szCs w:val="21"/>
                <w:highlight w:val="none"/>
                <w:lang w:val="en-US" w:eastAsia="zh-CN" w:bidi="ar-SA"/>
              </w:rPr>
              <w:t>王家屯）</w:t>
            </w:r>
          </w:p>
        </w:tc>
        <w:tc>
          <w:tcPr>
            <w:tcW w:w="637" w:type="pct"/>
            <w:noWrap w:val="0"/>
            <w:vAlign w:val="center"/>
          </w:tcPr>
          <w:p>
            <w:pPr>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8月1日</w:t>
            </w: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13:42</w:t>
            </w:r>
          </w:p>
        </w:tc>
        <w:tc>
          <w:tcPr>
            <w:tcW w:w="640"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5</w:t>
            </w:r>
            <w:r>
              <w:rPr>
                <w:rFonts w:hint="eastAsia"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val="en-US" w:eastAsia="zh-CN"/>
              </w:rPr>
              <w:t>.0</w:t>
            </w: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8月2日</w:t>
            </w:r>
          </w:p>
        </w:tc>
        <w:tc>
          <w:tcPr>
            <w:tcW w:w="639"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00:06</w:t>
            </w:r>
          </w:p>
        </w:tc>
        <w:tc>
          <w:tcPr>
            <w:tcW w:w="650" w:type="pct"/>
            <w:noWrap w:val="0"/>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w:t>
            </w:r>
            <w:r>
              <w:rPr>
                <w:rFonts w:hint="eastAsia" w:ascii="Times New Roman" w:hAnsi="Times New Roman" w:cs="Times New Roman"/>
                <w:bCs/>
                <w:color w:val="auto"/>
                <w:sz w:val="21"/>
                <w:szCs w:val="21"/>
                <w:highlight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54" w:type="pct"/>
            <w:vMerge w:val="continue"/>
            <w:noWrap w:val="0"/>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p>
        </w:tc>
        <w:tc>
          <w:tcPr>
            <w:tcW w:w="637" w:type="pct"/>
            <w:noWrap w:val="0"/>
            <w:vAlign w:val="center"/>
          </w:tcPr>
          <w:p>
            <w:pPr>
              <w:snapToGrid w:val="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bCs/>
                <w:color w:val="auto"/>
                <w:sz w:val="21"/>
                <w:szCs w:val="21"/>
                <w:highlight w:val="none"/>
                <w:lang w:val="en-US" w:eastAsia="zh-CN"/>
              </w:rPr>
              <w:t>8月2日</w:t>
            </w: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13:16</w:t>
            </w:r>
          </w:p>
        </w:tc>
        <w:tc>
          <w:tcPr>
            <w:tcW w:w="640"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52.4</w:t>
            </w: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8月3日</w:t>
            </w:r>
          </w:p>
        </w:tc>
        <w:tc>
          <w:tcPr>
            <w:tcW w:w="639"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00:10</w:t>
            </w:r>
          </w:p>
        </w:tc>
        <w:tc>
          <w:tcPr>
            <w:tcW w:w="650" w:type="pct"/>
            <w:noWrap w:val="0"/>
            <w:vAlign w:val="center"/>
          </w:tcPr>
          <w:p>
            <w:pPr>
              <w:snapToGrid w:val="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7"/>
            <w:noWrap w:val="0"/>
            <w:vAlign w:val="center"/>
          </w:tcPr>
          <w:p>
            <w:pPr>
              <w:snapToGrid w:val="0"/>
              <w:jc w:val="both"/>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Cs w:val="21"/>
                <w:lang w:eastAsia="zh-CN"/>
              </w:rPr>
              <w:t>《声环境质量标准》（</w:t>
            </w:r>
            <w:r>
              <w:rPr>
                <w:rFonts w:hint="default" w:ascii="Times New Roman" w:hAnsi="Times New Roman" w:cs="Times New Roman"/>
                <w:bCs/>
                <w:color w:val="auto"/>
                <w:szCs w:val="21"/>
                <w:lang w:val="en-US" w:eastAsia="zh-CN"/>
              </w:rPr>
              <w:t>GB3096-2008</w:t>
            </w:r>
            <w:r>
              <w:rPr>
                <w:rFonts w:hint="default" w:ascii="Times New Roman" w:hAnsi="Times New Roman" w:cs="Times New Roman"/>
                <w:bCs/>
                <w:color w:val="auto"/>
                <w:szCs w:val="21"/>
                <w:lang w:eastAsia="zh-CN"/>
              </w:rPr>
              <w:t>）表</w:t>
            </w:r>
            <w:r>
              <w:rPr>
                <w:rFonts w:hint="default" w:ascii="Times New Roman" w:hAnsi="Times New Roman" w:cs="Times New Roman"/>
                <w:bCs/>
                <w:color w:val="auto"/>
                <w:szCs w:val="21"/>
                <w:lang w:val="en-US" w:eastAsia="zh-CN"/>
              </w:rPr>
              <w:t>1环境噪声值1类区标准</w:t>
            </w:r>
            <w:r>
              <w:rPr>
                <w:rFonts w:hint="eastAsia" w:ascii="Times New Roman" w:hAnsi="Times New Roman" w:cs="Times New Roman"/>
                <w:color w:val="auto"/>
                <w:kern w:val="0"/>
                <w:sz w:val="21"/>
                <w:szCs w:val="21"/>
                <w:lang w:val="en-US" w:eastAsia="zh-CN" w:bidi="ar-SA"/>
              </w:rPr>
              <w:t>，昼间：55，夜间：45。</w:t>
            </w:r>
          </w:p>
        </w:tc>
      </w:tr>
    </w:tbl>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4.4.5    评价及结论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500kV 汇集站站界噪声昼间为 49.2~52.6dB(A) ，夜间为 41~44.1dB(A) ，满足《声环境质 量标准》(GB3096-2008)2 类标准要求。</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国富500kv变电站站界噪声昼间为38~40dB(A) ，夜间为49.3~52.9dB(A) ，满足《声环境质 量标准》(GB3096-2008)2 类标准要求。</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交流输电线路敏感目标的噪声昼间49.3~51.8dB(A) ，夜间为 40.4~44dB(A) ，满足《声环 境质量标准》(GB3096-2008) 1 类标准要求。</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前王家屯监测点位环境噪声昼间51~52.4dB(A) ，夜间为 41.4~42.3dB(A) ，满足《声环 境质量标准》(GB3096-2008) 1 类标准要求。</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61" w:name="_Toc10382"/>
      <w:r>
        <w:rPr>
          <w:rFonts w:hint="default" w:ascii="Times New Roman" w:hAnsi="Times New Roman" w:eastAsia="宋体" w:cs="Times New Roman"/>
          <w:snapToGrid/>
          <w:sz w:val="32"/>
          <w:lang w:val="en-US" w:eastAsia="zh-CN" w:bidi="ar-SA"/>
        </w:rPr>
        <w:t>4.5    生态现状评价</w:t>
      </w:r>
      <w:bookmarkEnd w:id="61"/>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4.5.1    评价依据</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（1）《建设项目环境影响评价技术导则—总纲》(HJ2.1-2016) ；</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（2）《环境影响评价技术导则—生态影响》(HJ19-2022) ；</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（3）《黑龙江省重点保护野生植物名录》；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（4）《黑龙江省重点保护野生动物名录》；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（5）《黑龙江省饮用水水源保护条例》(2021 年 1 月 21 日) ；</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（6）《中华人民共和国野生植物保护条例》(国务院令 2017 年第 687 号)。</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（7）《中华人民共和国陆生野生动物保护实施条例》  (2016 年修订)；</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（8）《中华人民共和国自然保护区条例》  (国务院令第 687 号，2017 年修订) ；</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（9）《中华人民共和国湿地保护法》  (2022 年 6 月 1 日实施)。</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4.5.2    评价方法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4.5.2.1    生态环境调查方法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 调查手段</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按照 HJ19-2022《环境影响评价 技术导则 生态环境》要求，本评价采用现场调查和“3S”(遥感(RS)、全球定位系统(GPS)、 地理信息系统(GIS)) 技术相结合的方法进行评价区生态环境信息的获取和分析。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 遥感影像图制作</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 根据国家或相关行业标准，结合生态环境信息遥感图像解译的可解译程度，建 立科学的植被类型、植被覆盖度、土地利用现状、土壤侵蚀类型与强度分类系统；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 选取最佳时相的 SPOT5 卫星图像数据(时相为 2022 年 6 月，空间分辨率 0.5 米)， 对图像数据进行几何精校正、波段合成等处理，制作环境影响评价区卫星影像图；</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 以卫星影像图为信息源，根据确定的生态环境要素分类系统，结合前人的</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相关 工作成果，建立植被类型、土地利用现状、生态系统类型等要素的遥感解译标志，采用 人机交互相结合的解译方法，编制评价区植被类型、土地利用现状、生态系统类型等生 态环境系列图，解译图斑不小于4mm2；</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 采用专业制图软件ArcGIS10.3 进行图件数字化，并进行现状图面积空间统计；</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 根据专题图件和统计结果，总结环境影响评价区植被类型、植被覆盖度、土地 利用现状、生态系统类型等生态环境要素的空间分布特征。</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 现场调查</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通过对评价区实地调查，对遥感解译结果进行核对与补判，识别植物种类、记录植 被盖度和野外调查中发现的动物，并走访当地生态环境局、林业局、水利局等相关政府 部门了解掌握评价区野生动植物的分布状况。同时调查环境敏感点现状、评价区农业生 产等相关情况。</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4.5.2.2    现状图制作过程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根据遥感解译标志，在基础影像上进行各要素内容解译、提取的基础上，通过与底 图的套合，添加工程建设要素，经纬网、地名标注等，编制土地利用现状图、植被类型图和生态系统类型等系列专题图件。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4.5.2.3    生态系统评价方法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 植被覆盖度</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植被覆盖度可用于定量分析评价范围内的植被现状，基于遥感估算植被覆盖度可根 据区域特点和数据基础采用不同的方法，如植被指数法、回归模型、机器学习法等。植被指数法主要是通过对各像元中植被类型及分布特征的分析，建立植被指数与植 被覆盖度的转换关系，采用归一化指数 (NDVI) 估算植被覆盖度。</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 生物量</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生物量是指一定地段面积内某个时期生存着的活有机体的重量。不同生态系统的生 物量测定方法不同，可采用实测与估算相结合的方法。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地上生物量估算可采用植被指数法、异速生长方程等方法进行计算。基于植被指数 的生物量统计法是实地测量的生物量数据和遥感植被指数建立统计模型，在遥感数据的 基础上反演得到评价区域的生物量。</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 生产力</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生产力是生态系统的生物生产能力，反映生产有机质或积累能量的速率。群落 (或 生态系统) 初级生产力是单位面积、单位时间群落 (或生态系统) 中植物利用太阳能固 定的能量或生产的有机质的量。净初级生产力 (NPP) 是从固定的总能量或产生的有机 质总量中减去植物呼吸所消耗的量，直接反映了植被群落在自然环境条件下的生产能力，表征陆地生态系统的质量状况。</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4.5.3    评价等级和评价范围</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4.5.4    生态现状调查</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根据导则要求，本次生态现状调查以收集有效资料为主，辅以遥感调查和现场调查。主要调查内容包括评价区土地利用现状情况、植被现状和野生动植物现状。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4.5.4.1土地利用现状调查与评价</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本次通过遥感解译与现场调查相结合的方法，对评价区土地利用情况进行调查。 评价范围土地利用现状分类系统按照全国土地利用分类系统标准，采用卫星影像数据，通过 GPS 定位，建立地面解译标志和线路调查等方法，解译遥感影像，编绘土地利用现状图，在ArcGIS 10.8 软件支持下，进行数据采集、编辑、分析、编绘成图。在此基础上，分析评价范围土地利用现状。土地类型划分参照《土地利用现状分类》（GB/T 21010-2017）。</w:t>
      </w:r>
    </w:p>
    <w:p>
      <w:pPr>
        <w:pStyle w:val="5"/>
        <w:spacing w:before="133"/>
        <w:rPr>
          <w:rFonts w:hint="eastAsia" w:ascii="黑体" w:eastAsia="黑体"/>
        </w:rPr>
      </w:pPr>
      <w:r>
        <w:rPr>
          <w:rFonts w:hint="default"/>
          <w:lang w:val="en-US" w:eastAsia="zh-CN"/>
        </w:rPr>
        <w:drawing>
          <wp:inline distT="0" distB="0" distL="114300" distR="114300">
            <wp:extent cx="5909310" cy="4794885"/>
            <wp:effectExtent l="0" t="0" r="3810" b="5715"/>
            <wp:docPr id="18" name="图片 18" descr="167006160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0061607331"/>
                    <pic:cNvPicPr>
                      <a:picLocks noChangeAspect="1"/>
                    </pic:cNvPicPr>
                  </pic:nvPicPr>
                  <pic:blipFill>
                    <a:blip r:embed="rId65"/>
                    <a:stretch>
                      <a:fillRect/>
                    </a:stretch>
                  </pic:blipFill>
                  <pic:spPr>
                    <a:xfrm>
                      <a:off x="0" y="0"/>
                      <a:ext cx="5909310" cy="4794885"/>
                    </a:xfrm>
                    <a:prstGeom prst="rect">
                      <a:avLst/>
                    </a:prstGeom>
                  </pic:spPr>
                </pic:pic>
              </a:graphicData>
            </a:graphic>
          </wp:inline>
        </w:drawing>
      </w:r>
    </w:p>
    <w:p>
      <w:pPr>
        <w:pStyle w:val="5"/>
        <w:spacing w:before="133"/>
        <w:ind w:left="3113"/>
        <w:rPr>
          <w:rFonts w:hint="eastAsia" w:ascii="黑体" w:eastAsia="黑体"/>
        </w:rPr>
      </w:pPr>
      <w:r>
        <w:rPr>
          <w:rFonts w:hint="eastAsia" w:ascii="黑体" w:eastAsia="黑体"/>
        </w:rPr>
        <w:t xml:space="preserve">图 </w:t>
      </w:r>
      <w:r>
        <w:rPr>
          <w:rFonts w:ascii="Times New Roman" w:eastAsia="Times New Roman"/>
        </w:rPr>
        <w:t>4.</w:t>
      </w:r>
      <w:r>
        <w:rPr>
          <w:rFonts w:hint="eastAsia" w:ascii="Times New Roman" w:eastAsia="宋体"/>
          <w:lang w:val="en-US" w:eastAsia="zh-CN"/>
        </w:rPr>
        <w:t>5</w:t>
      </w:r>
      <w:r>
        <w:rPr>
          <w:rFonts w:ascii="Times New Roman" w:eastAsia="Times New Roman"/>
        </w:rPr>
        <w:t>-</w:t>
      </w:r>
      <w:r>
        <w:rPr>
          <w:rFonts w:hint="eastAsia" w:ascii="Times New Roman" w:eastAsia="宋体"/>
          <w:lang w:val="en-US" w:eastAsia="zh-CN"/>
        </w:rPr>
        <w:t>1</w:t>
      </w:r>
      <w:r>
        <w:rPr>
          <w:rFonts w:ascii="Times New Roman" w:eastAsia="Times New Roman"/>
        </w:rPr>
        <w:t xml:space="preserve"> </w:t>
      </w:r>
      <w:r>
        <w:rPr>
          <w:rFonts w:hint="eastAsia" w:ascii="黑体" w:eastAsia="黑体"/>
        </w:rPr>
        <w:t>本项目土地利用现状图</w:t>
      </w:r>
    </w:p>
    <w:p>
      <w:pPr>
        <w:numPr>
          <w:ilvl w:val="0"/>
          <w:numId w:val="0"/>
        </w:numPr>
      </w:pPr>
      <w:r>
        <w:drawing>
          <wp:inline distT="0" distB="0" distL="114300" distR="114300">
            <wp:extent cx="4366260" cy="6103620"/>
            <wp:effectExtent l="0" t="0" r="7620" b="762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66"/>
                    <a:stretch>
                      <a:fillRect/>
                    </a:stretch>
                  </pic:blipFill>
                  <pic:spPr>
                    <a:xfrm>
                      <a:off x="0" y="0"/>
                      <a:ext cx="4366260" cy="6103620"/>
                    </a:xfrm>
                    <a:prstGeom prst="rect">
                      <a:avLst/>
                    </a:prstGeom>
                    <a:noFill/>
                    <a:ln>
                      <a:noFill/>
                    </a:ln>
                  </pic:spPr>
                </pic:pic>
              </a:graphicData>
            </a:graphic>
          </wp:inline>
        </w:drawing>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图 4.5-2  本项目土地利用规划图</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4.5.4.2植被及植物多样性</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调查方法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本次植被及植物多样性调查工作采取资料收集、现场调查与遥感调查相结合的方法开展。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植被类型</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根据调查，评价区域内植被类型以草甸、人工林和农田植被为主。评价区植被类型及面积见下表。</w:t>
      </w:r>
    </w:p>
    <w:p>
      <w:pPr>
        <w:pStyle w:val="5"/>
        <w:tabs>
          <w:tab w:val="left" w:pos="4032"/>
        </w:tabs>
        <w:ind w:left="2873"/>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4.</w:t>
      </w:r>
      <w:r>
        <w:rPr>
          <w:rFonts w:hint="eastAsia" w:ascii="Times New Roman" w:eastAsia="宋体"/>
          <w:lang w:val="en-US" w:eastAsia="zh-CN"/>
        </w:rPr>
        <w:t>5</w:t>
      </w:r>
      <w:r>
        <w:rPr>
          <w:rFonts w:ascii="Times New Roman" w:eastAsia="Times New Roman"/>
        </w:rPr>
        <w:t>-2</w:t>
      </w:r>
      <w:r>
        <w:rPr>
          <w:rFonts w:ascii="Times New Roman" w:eastAsia="Times New Roman"/>
        </w:rPr>
        <w:tab/>
      </w:r>
      <w:r>
        <w:rPr>
          <w:rFonts w:hint="eastAsia" w:ascii="黑体" w:eastAsia="黑体"/>
        </w:rPr>
        <w:t>植物群落调查结果统计表</w:t>
      </w:r>
    </w:p>
    <w:tbl>
      <w:tblPr>
        <w:tblStyle w:val="12"/>
        <w:tblW w:w="0" w:type="auto"/>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8"/>
        <w:gridCol w:w="1417"/>
        <w:gridCol w:w="2897"/>
        <w:gridCol w:w="2046"/>
        <w:gridCol w:w="17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988" w:type="dxa"/>
            <w:vAlign w:val="center"/>
          </w:tcPr>
          <w:p>
            <w:pPr>
              <w:pStyle w:val="22"/>
              <w:ind w:left="283"/>
              <w:jc w:val="center"/>
              <w:rPr>
                <w:rFonts w:hint="eastAsia" w:ascii="宋体" w:hAnsi="宋体" w:eastAsia="宋体" w:cs="宋体"/>
                <w:sz w:val="24"/>
                <w:szCs w:val="24"/>
              </w:rPr>
            </w:pPr>
            <w:r>
              <w:rPr>
                <w:rFonts w:hint="eastAsia" w:ascii="宋体" w:hAnsi="宋体" w:eastAsia="宋体" w:cs="宋体"/>
                <w:sz w:val="24"/>
                <w:szCs w:val="24"/>
              </w:rPr>
              <w:t>序号</w:t>
            </w:r>
          </w:p>
        </w:tc>
        <w:tc>
          <w:tcPr>
            <w:tcW w:w="1417" w:type="dxa"/>
            <w:vAlign w:val="center"/>
          </w:tcPr>
          <w:p>
            <w:pPr>
              <w:pStyle w:val="22"/>
              <w:ind w:left="286"/>
              <w:jc w:val="center"/>
              <w:rPr>
                <w:rFonts w:hint="eastAsia" w:ascii="宋体" w:hAnsi="宋体" w:eastAsia="宋体" w:cs="宋体"/>
                <w:sz w:val="24"/>
                <w:szCs w:val="24"/>
              </w:rPr>
            </w:pPr>
            <w:r>
              <w:rPr>
                <w:rFonts w:hint="eastAsia" w:ascii="宋体" w:hAnsi="宋体" w:eastAsia="宋体" w:cs="宋体"/>
                <w:sz w:val="24"/>
                <w:szCs w:val="24"/>
              </w:rPr>
              <w:t>植被类型</w:t>
            </w:r>
          </w:p>
        </w:tc>
        <w:tc>
          <w:tcPr>
            <w:tcW w:w="2897" w:type="dxa"/>
            <w:vAlign w:val="center"/>
          </w:tcPr>
          <w:p>
            <w:pPr>
              <w:pStyle w:val="22"/>
              <w:ind w:left="548" w:right="543"/>
              <w:jc w:val="center"/>
              <w:rPr>
                <w:rFonts w:hint="eastAsia" w:ascii="宋体" w:hAnsi="宋体" w:eastAsia="宋体" w:cs="宋体"/>
                <w:sz w:val="24"/>
                <w:szCs w:val="24"/>
              </w:rPr>
            </w:pPr>
            <w:r>
              <w:rPr>
                <w:rFonts w:hint="eastAsia" w:ascii="宋体" w:hAnsi="宋体" w:eastAsia="宋体" w:cs="宋体"/>
                <w:sz w:val="24"/>
                <w:szCs w:val="24"/>
              </w:rPr>
              <w:t>分布区域</w:t>
            </w:r>
          </w:p>
        </w:tc>
        <w:tc>
          <w:tcPr>
            <w:tcW w:w="2046" w:type="dxa"/>
            <w:vAlign w:val="center"/>
          </w:tcPr>
          <w:p>
            <w:pPr>
              <w:pStyle w:val="22"/>
              <w:spacing w:before="20"/>
              <w:ind w:left="298" w:right="290"/>
              <w:jc w:val="center"/>
              <w:rPr>
                <w:rFonts w:hint="eastAsia" w:ascii="宋体" w:hAnsi="宋体" w:eastAsia="宋体" w:cs="宋体"/>
                <w:sz w:val="24"/>
                <w:szCs w:val="24"/>
              </w:rPr>
            </w:pPr>
            <w:r>
              <w:rPr>
                <w:rFonts w:hint="eastAsia" w:ascii="宋体" w:hAnsi="宋体" w:eastAsia="宋体" w:cs="宋体"/>
                <w:sz w:val="24"/>
                <w:szCs w:val="24"/>
              </w:rPr>
              <w:t>面积（hm</w:t>
            </w:r>
            <w:r>
              <w:rPr>
                <w:rFonts w:hint="eastAsia" w:ascii="宋体" w:hAnsi="宋体" w:eastAsia="宋体" w:cs="宋体"/>
                <w:position w:val="7"/>
                <w:sz w:val="24"/>
                <w:szCs w:val="24"/>
              </w:rPr>
              <w:t>2</w:t>
            </w:r>
            <w:r>
              <w:rPr>
                <w:rFonts w:hint="eastAsia" w:ascii="宋体" w:hAnsi="宋体" w:eastAsia="宋体" w:cs="宋体"/>
                <w:sz w:val="24"/>
                <w:szCs w:val="24"/>
              </w:rPr>
              <w:t>）</w:t>
            </w:r>
          </w:p>
        </w:tc>
        <w:tc>
          <w:tcPr>
            <w:tcW w:w="1712" w:type="dxa"/>
            <w:vAlign w:val="center"/>
          </w:tcPr>
          <w:p>
            <w:pPr>
              <w:pStyle w:val="22"/>
              <w:spacing w:before="20"/>
              <w:ind w:left="298" w:right="290"/>
              <w:jc w:val="center"/>
              <w:rPr>
                <w:rFonts w:hint="eastAsia" w:ascii="宋体" w:hAnsi="宋体" w:eastAsia="宋体" w:cs="宋体"/>
                <w:sz w:val="24"/>
                <w:szCs w:val="24"/>
              </w:rPr>
            </w:pPr>
            <w:r>
              <w:rPr>
                <w:rFonts w:hint="eastAsia" w:ascii="宋体" w:hAnsi="宋体" w:eastAsia="宋体" w:cs="宋体"/>
                <w:sz w:val="24"/>
                <w:szCs w:val="24"/>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88" w:type="dxa"/>
          </w:tcPr>
          <w:p>
            <w:pPr>
              <w:pStyle w:val="22"/>
              <w:spacing w:before="34"/>
              <w:ind w:left="10"/>
              <w:rPr>
                <w:rFonts w:hint="eastAsia" w:ascii="宋体" w:hAnsi="宋体" w:eastAsia="宋体" w:cs="宋体"/>
                <w:sz w:val="24"/>
                <w:szCs w:val="24"/>
              </w:rPr>
            </w:pPr>
            <w:r>
              <w:rPr>
                <w:rFonts w:hint="eastAsia" w:ascii="宋体" w:hAnsi="宋体" w:eastAsia="宋体" w:cs="宋体"/>
                <w:w w:val="99"/>
                <w:sz w:val="24"/>
                <w:szCs w:val="24"/>
              </w:rPr>
              <w:t>1</w:t>
            </w:r>
          </w:p>
        </w:tc>
        <w:tc>
          <w:tcPr>
            <w:tcW w:w="1417" w:type="dxa"/>
          </w:tcPr>
          <w:p>
            <w:pPr>
              <w:pStyle w:val="22"/>
              <w:spacing w:before="20"/>
              <w:ind w:left="161" w:right="155"/>
              <w:rPr>
                <w:rFonts w:hint="eastAsia" w:ascii="宋体" w:hAnsi="宋体" w:eastAsia="宋体" w:cs="宋体"/>
                <w:sz w:val="24"/>
                <w:szCs w:val="24"/>
              </w:rPr>
            </w:pPr>
            <w:r>
              <w:rPr>
                <w:rFonts w:hint="eastAsia" w:ascii="宋体" w:hAnsi="宋体" w:eastAsia="宋体" w:cs="宋体"/>
                <w:sz w:val="24"/>
                <w:szCs w:val="24"/>
              </w:rPr>
              <w:t>草甸</w:t>
            </w:r>
          </w:p>
        </w:tc>
        <w:tc>
          <w:tcPr>
            <w:tcW w:w="2897" w:type="dxa"/>
          </w:tcPr>
          <w:p>
            <w:pPr>
              <w:pStyle w:val="22"/>
              <w:spacing w:before="20"/>
              <w:ind w:left="548" w:right="543"/>
              <w:rPr>
                <w:rFonts w:hint="eastAsia" w:ascii="宋体" w:hAnsi="宋体" w:eastAsia="宋体" w:cs="宋体"/>
                <w:sz w:val="24"/>
                <w:szCs w:val="24"/>
              </w:rPr>
            </w:pPr>
            <w:r>
              <w:rPr>
                <w:rFonts w:hint="eastAsia" w:ascii="宋体" w:hAnsi="宋体" w:eastAsia="宋体" w:cs="宋体"/>
                <w:sz w:val="24"/>
                <w:szCs w:val="24"/>
              </w:rPr>
              <w:t>评价区北部和东北部</w:t>
            </w:r>
          </w:p>
        </w:tc>
        <w:tc>
          <w:tcPr>
            <w:tcW w:w="2046" w:type="dxa"/>
            <w:vAlign w:val="center"/>
          </w:tcPr>
          <w:p>
            <w:pPr>
              <w:pStyle w:val="22"/>
              <w:spacing w:before="34"/>
              <w:ind w:left="298" w:right="287"/>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 xml:space="preserve">798.29 </w:t>
            </w:r>
          </w:p>
        </w:tc>
        <w:tc>
          <w:tcPr>
            <w:tcW w:w="1712" w:type="dxa"/>
          </w:tcPr>
          <w:p>
            <w:pPr>
              <w:pStyle w:val="22"/>
              <w:spacing w:before="34"/>
              <w:ind w:left="298" w:right="287"/>
              <w:rPr>
                <w:rFonts w:hint="eastAsia" w:ascii="宋体" w:hAnsi="宋体" w:eastAsia="宋体" w:cs="宋体"/>
                <w:sz w:val="24"/>
                <w:szCs w:val="24"/>
              </w:rPr>
            </w:pPr>
            <w:r>
              <w:rPr>
                <w:rFonts w:hint="eastAsia" w:ascii="宋体" w:hAnsi="宋体" w:eastAsia="宋体" w:cs="宋体"/>
                <w:sz w:val="24"/>
                <w:szCs w:val="24"/>
              </w:rPr>
              <w:t>12.88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88" w:type="dxa"/>
          </w:tcPr>
          <w:p>
            <w:pPr>
              <w:pStyle w:val="22"/>
              <w:spacing w:before="36"/>
              <w:ind w:left="10"/>
              <w:rPr>
                <w:rFonts w:hint="eastAsia" w:ascii="宋体" w:hAnsi="宋体" w:eastAsia="宋体" w:cs="宋体"/>
                <w:sz w:val="24"/>
                <w:szCs w:val="24"/>
              </w:rPr>
            </w:pPr>
            <w:r>
              <w:rPr>
                <w:rFonts w:hint="eastAsia" w:ascii="宋体" w:hAnsi="宋体" w:eastAsia="宋体" w:cs="宋体"/>
                <w:w w:val="99"/>
                <w:sz w:val="24"/>
                <w:szCs w:val="24"/>
              </w:rPr>
              <w:t>2</w:t>
            </w:r>
          </w:p>
        </w:tc>
        <w:tc>
          <w:tcPr>
            <w:tcW w:w="1417" w:type="dxa"/>
          </w:tcPr>
          <w:p>
            <w:pPr>
              <w:pStyle w:val="22"/>
              <w:spacing w:before="22"/>
              <w:ind w:left="161" w:right="155"/>
              <w:rPr>
                <w:rFonts w:hint="eastAsia" w:ascii="宋体" w:hAnsi="宋体" w:eastAsia="宋体" w:cs="宋体"/>
                <w:sz w:val="24"/>
                <w:szCs w:val="24"/>
              </w:rPr>
            </w:pPr>
            <w:r>
              <w:rPr>
                <w:rFonts w:hint="eastAsia" w:ascii="宋体" w:hAnsi="宋体" w:eastAsia="宋体" w:cs="宋体"/>
                <w:sz w:val="24"/>
                <w:szCs w:val="24"/>
              </w:rPr>
              <w:t>人工林</w:t>
            </w:r>
          </w:p>
        </w:tc>
        <w:tc>
          <w:tcPr>
            <w:tcW w:w="2897" w:type="dxa"/>
          </w:tcPr>
          <w:p>
            <w:pPr>
              <w:pStyle w:val="22"/>
              <w:spacing w:before="22"/>
              <w:ind w:left="548" w:right="543"/>
              <w:rPr>
                <w:rFonts w:hint="eastAsia" w:ascii="宋体" w:hAnsi="宋体" w:eastAsia="宋体" w:cs="宋体"/>
                <w:sz w:val="24"/>
                <w:szCs w:val="24"/>
              </w:rPr>
            </w:pPr>
            <w:r>
              <w:rPr>
                <w:rFonts w:hint="eastAsia" w:ascii="宋体" w:hAnsi="宋体" w:eastAsia="宋体" w:cs="宋体"/>
                <w:sz w:val="24"/>
                <w:szCs w:val="24"/>
              </w:rPr>
              <w:t>评价区中部和南部</w:t>
            </w:r>
          </w:p>
        </w:tc>
        <w:tc>
          <w:tcPr>
            <w:tcW w:w="2046" w:type="dxa"/>
            <w:vAlign w:val="center"/>
          </w:tcPr>
          <w:p>
            <w:pPr>
              <w:pStyle w:val="22"/>
              <w:spacing w:before="34"/>
              <w:ind w:left="298" w:right="287"/>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 xml:space="preserve">307.98 </w:t>
            </w:r>
          </w:p>
        </w:tc>
        <w:tc>
          <w:tcPr>
            <w:tcW w:w="1712" w:type="dxa"/>
          </w:tcPr>
          <w:p>
            <w:pPr>
              <w:pStyle w:val="22"/>
              <w:spacing w:before="36"/>
              <w:ind w:left="298" w:right="287"/>
              <w:rPr>
                <w:rFonts w:hint="eastAsia" w:ascii="宋体" w:hAnsi="宋体" w:eastAsia="宋体" w:cs="宋体"/>
                <w:sz w:val="24"/>
                <w:szCs w:val="24"/>
              </w:rPr>
            </w:pPr>
            <w:r>
              <w:rPr>
                <w:rFonts w:hint="eastAsia" w:ascii="宋体" w:hAnsi="宋体" w:eastAsia="宋体" w:cs="宋体"/>
                <w:sz w:val="24"/>
                <w:szCs w:val="24"/>
              </w:rPr>
              <w:t>4.97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88" w:type="dxa"/>
          </w:tcPr>
          <w:p>
            <w:pPr>
              <w:pStyle w:val="22"/>
              <w:spacing w:before="35"/>
              <w:ind w:left="10"/>
              <w:rPr>
                <w:rFonts w:hint="eastAsia" w:ascii="宋体" w:hAnsi="宋体" w:eastAsia="宋体" w:cs="宋体"/>
                <w:sz w:val="24"/>
                <w:szCs w:val="24"/>
              </w:rPr>
            </w:pPr>
            <w:r>
              <w:rPr>
                <w:rFonts w:hint="eastAsia" w:ascii="宋体" w:hAnsi="宋体" w:eastAsia="宋体" w:cs="宋体"/>
                <w:w w:val="99"/>
                <w:sz w:val="24"/>
                <w:szCs w:val="24"/>
              </w:rPr>
              <w:t>3</w:t>
            </w:r>
          </w:p>
        </w:tc>
        <w:tc>
          <w:tcPr>
            <w:tcW w:w="1417" w:type="dxa"/>
          </w:tcPr>
          <w:p>
            <w:pPr>
              <w:pStyle w:val="22"/>
              <w:spacing w:before="21"/>
              <w:ind w:left="158" w:right="155"/>
              <w:rPr>
                <w:rFonts w:hint="eastAsia" w:ascii="宋体" w:hAnsi="宋体" w:eastAsia="宋体" w:cs="宋体"/>
                <w:sz w:val="24"/>
                <w:szCs w:val="24"/>
              </w:rPr>
            </w:pPr>
            <w:r>
              <w:rPr>
                <w:rFonts w:hint="eastAsia" w:ascii="宋体" w:hAnsi="宋体" w:eastAsia="宋体" w:cs="宋体"/>
                <w:sz w:val="24"/>
                <w:szCs w:val="24"/>
              </w:rPr>
              <w:t>农田植被</w:t>
            </w:r>
          </w:p>
        </w:tc>
        <w:tc>
          <w:tcPr>
            <w:tcW w:w="2897" w:type="dxa"/>
          </w:tcPr>
          <w:p>
            <w:pPr>
              <w:pStyle w:val="22"/>
              <w:spacing w:before="21"/>
              <w:ind w:left="548" w:right="541"/>
              <w:rPr>
                <w:rFonts w:hint="eastAsia" w:ascii="宋体" w:hAnsi="宋体" w:eastAsia="宋体" w:cs="宋体"/>
                <w:sz w:val="24"/>
                <w:szCs w:val="24"/>
              </w:rPr>
            </w:pPr>
            <w:r>
              <w:rPr>
                <w:rFonts w:hint="eastAsia" w:ascii="宋体" w:hAnsi="宋体" w:eastAsia="宋体" w:cs="宋体"/>
                <w:sz w:val="24"/>
                <w:szCs w:val="24"/>
              </w:rPr>
              <w:t>评价区广泛分布</w:t>
            </w:r>
          </w:p>
        </w:tc>
        <w:tc>
          <w:tcPr>
            <w:tcW w:w="2046" w:type="dxa"/>
            <w:vAlign w:val="center"/>
          </w:tcPr>
          <w:p>
            <w:pPr>
              <w:pStyle w:val="22"/>
              <w:spacing w:before="34"/>
              <w:ind w:left="298" w:right="287"/>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 xml:space="preserve">5093.58 </w:t>
            </w:r>
          </w:p>
        </w:tc>
        <w:tc>
          <w:tcPr>
            <w:tcW w:w="1712" w:type="dxa"/>
          </w:tcPr>
          <w:p>
            <w:pPr>
              <w:pStyle w:val="22"/>
              <w:spacing w:before="35"/>
              <w:ind w:left="298" w:right="287"/>
              <w:rPr>
                <w:rFonts w:hint="eastAsia" w:ascii="宋体" w:hAnsi="宋体" w:eastAsia="宋体" w:cs="宋体"/>
                <w:sz w:val="24"/>
                <w:szCs w:val="24"/>
              </w:rPr>
            </w:pPr>
            <w:r>
              <w:rPr>
                <w:rFonts w:hint="eastAsia" w:ascii="宋体" w:hAnsi="宋体" w:eastAsia="宋体" w:cs="宋体"/>
                <w:sz w:val="24"/>
                <w:szCs w:val="24"/>
              </w:rPr>
              <w:t>82.16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302" w:type="dxa"/>
            <w:gridSpan w:val="3"/>
          </w:tcPr>
          <w:p>
            <w:pPr>
              <w:pStyle w:val="22"/>
              <w:spacing w:before="21"/>
              <w:ind w:right="2479"/>
              <w:jc w:val="center"/>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合计</w:t>
            </w:r>
          </w:p>
        </w:tc>
        <w:tc>
          <w:tcPr>
            <w:tcW w:w="2046" w:type="dxa"/>
          </w:tcPr>
          <w:p>
            <w:pPr>
              <w:pStyle w:val="22"/>
              <w:spacing w:before="34"/>
              <w:ind w:left="298" w:right="287"/>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6200.00</w:t>
            </w:r>
          </w:p>
        </w:tc>
        <w:tc>
          <w:tcPr>
            <w:tcW w:w="1712" w:type="dxa"/>
          </w:tcPr>
          <w:p>
            <w:pPr>
              <w:pStyle w:val="22"/>
              <w:spacing w:before="35"/>
              <w:ind w:left="298" w:right="289"/>
              <w:rPr>
                <w:rFonts w:hint="eastAsia" w:ascii="宋体" w:hAnsi="宋体" w:eastAsia="宋体" w:cs="宋体"/>
                <w:sz w:val="24"/>
                <w:szCs w:val="24"/>
              </w:rPr>
            </w:pPr>
            <w:r>
              <w:rPr>
                <w:rFonts w:hint="eastAsia" w:ascii="宋体" w:hAnsi="宋体" w:eastAsia="宋体" w:cs="宋体"/>
                <w:sz w:val="24"/>
                <w:szCs w:val="24"/>
              </w:rPr>
              <w:t>100.00</w:t>
            </w:r>
          </w:p>
        </w:tc>
      </w:tr>
    </w:tbl>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①草甸</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区域草地主要以羊草和芦苇为优势种，同时和狼尾草、毛水苏、三棱草、星星草等植物混生。在漫岗的缓坡和呈碱性的低地上还生长有碱草植物群落，碱草植物群落以碱草为主，并有野古草、野苜宿、黄芪、柴胡等植物。群系高 0.2～0.6m，盖度 50～70%。目前草地平均亩产干草在 150 kg 左右。</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②人工林</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在评价区内人工林主要为杨树林。杨树林是评价区防护林的主要林种之一，也是评价区内分布最多，最广泛的林木，主要分布在村庄附近、道路两侧及农田周围。杨树林平均树高 10～15m，平均胸径 15～25cm，平均冠幅 2.5m×2.5m。</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③农业植被</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评价区属于松嫩平原区，农耕历史悠久，栽培植被是最重要的植被类型，为人工种植的各种农作物。区域中农作物主要以玉米为主。玉米是一年生禾本科植物，是喜温作物，全生育期要求较高的温度，产量约为 650kg/亩。经济作物主要有甜菜、芝麻、向日葵等。蔬菜类主要有茄子、豆角和白菜等。目前由于旱涝、盐碱、风沙等因素，区域内的农田多属于中、低产农田。</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（3）植被覆盖度</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植被覆盖度是指植被（包括叶、茎、枝）在地面的垂直投影面积占统计区总面积的百分比。本次利用 NDVI 指数进行估算，估算模型为：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FVC</w:t>
      </w:r>
      <w:r>
        <w:rPr>
          <w:rFonts w:hint="default" w:ascii="Times New Roman" w:hAnsi="Times New Roman" w:eastAsia="宋体" w:cs="Times New Roman"/>
          <w:caps w:val="0"/>
          <w:smallCaps w:val="0"/>
          <w:color w:val="auto"/>
          <w:spacing w:val="0"/>
          <w:w w:val="100"/>
          <w:kern w:val="0"/>
          <w:sz w:val="24"/>
          <w:szCs w:val="24"/>
          <w:highlight w:val="none"/>
          <w:lang w:val="en-US" w:eastAsia="zh-CN"/>
        </w:rPr>
        <w:t>=（NDVI-NDVIsoil）/（NDVIveg-NDVIsoil）</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式中FVC为植被盖度；NDVIsoil 为裸土或无植被覆盖区域的 NDVI 值，即无植被像元的 NDVI 值，本次依据评价范围内影像特征取 0.00006；NDVIveg 为代表完全被植被所覆盖的像元的 NDVI 值，即纯植被像元的 NDVI 值。</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其中 NDVI 为归一化植被指数，计算公式为：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NDVI=（NIR-R）/（NIR+R）</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即近红外波段与红色波段的差值除以两者之和，根据 ENVI 软件计算植被指数。采用上述方法，分析本项目评价区内植被覆盖度情况见下表。</w:t>
      </w:r>
    </w:p>
    <w:p>
      <w:pPr>
        <w:pStyle w:val="5"/>
        <w:tabs>
          <w:tab w:val="left" w:pos="3672"/>
        </w:tabs>
        <w:ind w:left="2513"/>
        <w:rPr>
          <w:rFonts w:hint="eastAsia" w:ascii="黑体" w:eastAsia="黑体"/>
        </w:rPr>
      </w:pPr>
      <w:r>
        <w:rPr>
          <w:rFonts w:hint="eastAsia" w:ascii="黑体" w:eastAsia="黑体"/>
        </w:rPr>
        <w:t>表</w:t>
      </w:r>
      <w:r>
        <w:rPr>
          <w:rFonts w:hint="eastAsia" w:ascii="黑体" w:eastAsia="黑体"/>
          <w:spacing w:val="-61"/>
        </w:rPr>
        <w:t xml:space="preserve"> </w:t>
      </w:r>
      <w:r>
        <w:rPr>
          <w:rFonts w:ascii="Times New Roman" w:eastAsia="Times New Roman"/>
        </w:rPr>
        <w:t>4.</w:t>
      </w:r>
      <w:r>
        <w:rPr>
          <w:rFonts w:hint="eastAsia" w:ascii="Times New Roman" w:eastAsia="宋体"/>
          <w:lang w:val="en-US" w:eastAsia="zh-CN"/>
        </w:rPr>
        <w:t>5</w:t>
      </w:r>
      <w:r>
        <w:rPr>
          <w:rFonts w:ascii="Times New Roman" w:eastAsia="Times New Roman"/>
        </w:rPr>
        <w:t>-</w:t>
      </w:r>
      <w:r>
        <w:rPr>
          <w:rFonts w:hint="eastAsia" w:ascii="Times New Roman" w:eastAsia="宋体"/>
          <w:lang w:val="en-US" w:eastAsia="zh-CN"/>
        </w:rPr>
        <w:t>3</w:t>
      </w:r>
      <w:r>
        <w:rPr>
          <w:rFonts w:ascii="Times New Roman" w:eastAsia="Times New Roman"/>
        </w:rPr>
        <w:tab/>
      </w:r>
      <w:r>
        <w:rPr>
          <w:rFonts w:hint="eastAsia" w:ascii="黑体" w:eastAsia="黑体"/>
        </w:rPr>
        <w:t>评价区内不同植被覆盖度情况表</w:t>
      </w:r>
    </w:p>
    <w:tbl>
      <w:tblPr>
        <w:tblStyle w:val="12"/>
        <w:tblW w:w="0" w:type="auto"/>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5"/>
        <w:gridCol w:w="2087"/>
        <w:gridCol w:w="2363"/>
        <w:gridCol w:w="2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05" w:type="dxa"/>
          </w:tcPr>
          <w:p>
            <w:pPr>
              <w:pStyle w:val="22"/>
              <w:spacing w:before="21"/>
              <w:ind w:right="233"/>
              <w:jc w:val="right"/>
              <w:rPr>
                <w:rFonts w:hint="eastAsia" w:ascii="宋体" w:hAnsi="宋体" w:eastAsia="宋体" w:cs="宋体"/>
                <w:sz w:val="24"/>
                <w:szCs w:val="24"/>
              </w:rPr>
            </w:pPr>
            <w:r>
              <w:rPr>
                <w:rFonts w:hint="eastAsia" w:ascii="宋体" w:hAnsi="宋体" w:eastAsia="宋体" w:cs="宋体"/>
                <w:w w:val="95"/>
                <w:sz w:val="24"/>
                <w:szCs w:val="24"/>
              </w:rPr>
              <w:t>植被覆盖分级</w:t>
            </w:r>
          </w:p>
        </w:tc>
        <w:tc>
          <w:tcPr>
            <w:tcW w:w="2087" w:type="dxa"/>
          </w:tcPr>
          <w:p>
            <w:pPr>
              <w:pStyle w:val="22"/>
              <w:spacing w:before="21"/>
              <w:ind w:right="141"/>
              <w:jc w:val="right"/>
              <w:rPr>
                <w:rFonts w:hint="eastAsia" w:ascii="宋体" w:hAnsi="宋体" w:eastAsia="宋体" w:cs="宋体"/>
                <w:sz w:val="24"/>
                <w:szCs w:val="24"/>
              </w:rPr>
            </w:pPr>
            <w:r>
              <w:rPr>
                <w:rFonts w:hint="eastAsia" w:ascii="宋体" w:hAnsi="宋体" w:eastAsia="宋体" w:cs="宋体"/>
                <w:w w:val="95"/>
                <w:sz w:val="24"/>
                <w:szCs w:val="24"/>
              </w:rPr>
              <w:t>覆盖度（%）</w:t>
            </w:r>
          </w:p>
        </w:tc>
        <w:tc>
          <w:tcPr>
            <w:tcW w:w="2363" w:type="dxa"/>
          </w:tcPr>
          <w:p>
            <w:pPr>
              <w:pStyle w:val="22"/>
              <w:spacing w:before="21"/>
              <w:ind w:right="285"/>
              <w:jc w:val="center"/>
              <w:rPr>
                <w:rFonts w:hint="eastAsia" w:ascii="宋体" w:hAnsi="宋体" w:eastAsia="宋体" w:cs="宋体"/>
                <w:sz w:val="24"/>
                <w:szCs w:val="24"/>
              </w:rPr>
            </w:pPr>
            <w:r>
              <w:rPr>
                <w:rFonts w:hint="eastAsia" w:ascii="宋体" w:hAnsi="宋体" w:eastAsia="宋体" w:cs="宋体"/>
                <w:sz w:val="24"/>
                <w:szCs w:val="24"/>
              </w:rPr>
              <w:t>面积（hm</w:t>
            </w:r>
            <w:r>
              <w:rPr>
                <w:rFonts w:hint="eastAsia" w:ascii="宋体" w:hAnsi="宋体" w:eastAsia="宋体" w:cs="宋体"/>
                <w:position w:val="7"/>
                <w:sz w:val="24"/>
                <w:szCs w:val="24"/>
              </w:rPr>
              <w:t>2</w:t>
            </w:r>
            <w:r>
              <w:rPr>
                <w:rFonts w:hint="eastAsia" w:ascii="宋体" w:hAnsi="宋体" w:eastAsia="宋体" w:cs="宋体"/>
                <w:sz w:val="24"/>
                <w:szCs w:val="24"/>
              </w:rPr>
              <w:t>）</w:t>
            </w:r>
          </w:p>
        </w:tc>
        <w:tc>
          <w:tcPr>
            <w:tcW w:w="2305" w:type="dxa"/>
          </w:tcPr>
          <w:p>
            <w:pPr>
              <w:pStyle w:val="22"/>
              <w:spacing w:before="21"/>
              <w:ind w:right="336"/>
              <w:jc w:val="center"/>
              <w:rPr>
                <w:rFonts w:hint="eastAsia" w:ascii="宋体" w:hAnsi="宋体" w:eastAsia="宋体" w:cs="宋体"/>
                <w:sz w:val="24"/>
                <w:szCs w:val="24"/>
              </w:rPr>
            </w:pPr>
            <w:r>
              <w:rPr>
                <w:rFonts w:hint="eastAsia" w:ascii="宋体" w:hAnsi="宋体" w:eastAsia="宋体" w:cs="宋体"/>
                <w:sz w:val="24"/>
                <w:szCs w:val="24"/>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05" w:type="dxa"/>
          </w:tcPr>
          <w:p>
            <w:pPr>
              <w:pStyle w:val="22"/>
              <w:spacing w:before="20"/>
              <w:ind w:right="233"/>
              <w:jc w:val="right"/>
              <w:rPr>
                <w:rFonts w:hint="eastAsia" w:ascii="宋体" w:hAnsi="宋体" w:eastAsia="宋体" w:cs="宋体"/>
                <w:sz w:val="24"/>
                <w:szCs w:val="24"/>
              </w:rPr>
            </w:pPr>
            <w:r>
              <w:rPr>
                <w:rFonts w:hint="eastAsia" w:ascii="宋体" w:hAnsi="宋体" w:eastAsia="宋体" w:cs="宋体"/>
                <w:w w:val="95"/>
                <w:sz w:val="24"/>
                <w:szCs w:val="24"/>
              </w:rPr>
              <w:t>低植被覆盖度</w:t>
            </w:r>
          </w:p>
        </w:tc>
        <w:tc>
          <w:tcPr>
            <w:tcW w:w="2087"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F&lt;10%</w:t>
            </w:r>
          </w:p>
        </w:tc>
        <w:tc>
          <w:tcPr>
            <w:tcW w:w="2363" w:type="dxa"/>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zh-CN" w:eastAsia="zh-CN" w:bidi="zh-CN"/>
              </w:rPr>
            </w:pPr>
            <w:r>
              <w:rPr>
                <w:rFonts w:hint="eastAsia" w:ascii="宋体" w:hAnsi="宋体" w:eastAsia="宋体" w:cs="宋体"/>
                <w:snapToGrid w:val="0"/>
                <w:color w:val="000000"/>
                <w:kern w:val="0"/>
                <w:sz w:val="24"/>
                <w:szCs w:val="24"/>
                <w:lang w:val="en-US" w:eastAsia="zh-CN" w:bidi="zh-CN"/>
              </w:rPr>
              <w:t>739.80</w:t>
            </w:r>
          </w:p>
        </w:tc>
        <w:tc>
          <w:tcPr>
            <w:tcW w:w="2305"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11.93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05" w:type="dxa"/>
          </w:tcPr>
          <w:p>
            <w:pPr>
              <w:pStyle w:val="22"/>
              <w:spacing w:before="20"/>
              <w:ind w:right="127"/>
              <w:jc w:val="right"/>
              <w:rPr>
                <w:rFonts w:hint="eastAsia" w:ascii="宋体" w:hAnsi="宋体" w:eastAsia="宋体" w:cs="宋体"/>
                <w:sz w:val="24"/>
                <w:szCs w:val="24"/>
              </w:rPr>
            </w:pPr>
            <w:r>
              <w:rPr>
                <w:rFonts w:hint="eastAsia" w:ascii="宋体" w:hAnsi="宋体" w:eastAsia="宋体" w:cs="宋体"/>
                <w:w w:val="95"/>
                <w:sz w:val="24"/>
                <w:szCs w:val="24"/>
              </w:rPr>
              <w:t>较低植被覆盖度</w:t>
            </w:r>
          </w:p>
        </w:tc>
        <w:tc>
          <w:tcPr>
            <w:tcW w:w="2087"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10%&lt;F&lt;30%</w:t>
            </w:r>
          </w:p>
        </w:tc>
        <w:tc>
          <w:tcPr>
            <w:tcW w:w="2363" w:type="dxa"/>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zh-CN" w:eastAsia="zh-CN" w:bidi="zh-CN"/>
              </w:rPr>
            </w:pPr>
            <w:r>
              <w:rPr>
                <w:rFonts w:hint="eastAsia" w:ascii="宋体" w:hAnsi="宋体" w:eastAsia="宋体" w:cs="宋体"/>
                <w:snapToGrid w:val="0"/>
                <w:color w:val="000000"/>
                <w:kern w:val="0"/>
                <w:sz w:val="24"/>
                <w:szCs w:val="24"/>
                <w:lang w:val="en-US" w:eastAsia="zh-CN" w:bidi="zh-CN"/>
              </w:rPr>
              <w:t>1156.06</w:t>
            </w:r>
          </w:p>
        </w:tc>
        <w:tc>
          <w:tcPr>
            <w:tcW w:w="2305"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18.65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05" w:type="dxa"/>
          </w:tcPr>
          <w:p>
            <w:pPr>
              <w:pStyle w:val="22"/>
              <w:spacing w:before="22"/>
              <w:ind w:right="127"/>
              <w:jc w:val="right"/>
              <w:rPr>
                <w:rFonts w:hint="eastAsia" w:ascii="宋体" w:hAnsi="宋体" w:eastAsia="宋体" w:cs="宋体"/>
                <w:sz w:val="24"/>
                <w:szCs w:val="24"/>
              </w:rPr>
            </w:pPr>
            <w:r>
              <w:rPr>
                <w:rFonts w:hint="eastAsia" w:ascii="宋体" w:hAnsi="宋体" w:eastAsia="宋体" w:cs="宋体"/>
                <w:w w:val="95"/>
                <w:sz w:val="24"/>
                <w:szCs w:val="24"/>
              </w:rPr>
              <w:t>中度植被覆盖度</w:t>
            </w:r>
          </w:p>
        </w:tc>
        <w:tc>
          <w:tcPr>
            <w:tcW w:w="2087"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30%&lt;f&lt;50%</w:t>
            </w:r>
          </w:p>
        </w:tc>
        <w:tc>
          <w:tcPr>
            <w:tcW w:w="2363" w:type="dxa"/>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zh-CN" w:eastAsia="zh-CN" w:bidi="zh-CN"/>
              </w:rPr>
            </w:pPr>
            <w:r>
              <w:rPr>
                <w:rFonts w:hint="eastAsia" w:ascii="宋体" w:hAnsi="宋体" w:eastAsia="宋体" w:cs="宋体"/>
                <w:snapToGrid w:val="0"/>
                <w:color w:val="000000"/>
                <w:kern w:val="0"/>
                <w:sz w:val="24"/>
                <w:szCs w:val="24"/>
                <w:lang w:val="en-US" w:eastAsia="zh-CN" w:bidi="zh-CN"/>
              </w:rPr>
              <w:t>3378.98</w:t>
            </w:r>
          </w:p>
        </w:tc>
        <w:tc>
          <w:tcPr>
            <w:tcW w:w="2305"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54.50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05" w:type="dxa"/>
          </w:tcPr>
          <w:p>
            <w:pPr>
              <w:pStyle w:val="22"/>
              <w:spacing w:before="22"/>
              <w:ind w:right="127"/>
              <w:jc w:val="right"/>
              <w:rPr>
                <w:rFonts w:hint="eastAsia" w:ascii="宋体" w:hAnsi="宋体" w:eastAsia="宋体" w:cs="宋体"/>
                <w:sz w:val="24"/>
                <w:szCs w:val="24"/>
              </w:rPr>
            </w:pPr>
            <w:r>
              <w:rPr>
                <w:rFonts w:hint="eastAsia" w:ascii="宋体" w:hAnsi="宋体" w:eastAsia="宋体" w:cs="宋体"/>
                <w:w w:val="95"/>
                <w:sz w:val="24"/>
                <w:szCs w:val="24"/>
              </w:rPr>
              <w:t>较高植被覆盖度</w:t>
            </w:r>
          </w:p>
        </w:tc>
        <w:tc>
          <w:tcPr>
            <w:tcW w:w="2087"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50%&lt;f&lt;70%</w:t>
            </w:r>
          </w:p>
        </w:tc>
        <w:tc>
          <w:tcPr>
            <w:tcW w:w="2363" w:type="dxa"/>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zh-CN" w:eastAsia="zh-CN" w:bidi="zh-CN"/>
              </w:rPr>
            </w:pPr>
            <w:r>
              <w:rPr>
                <w:rFonts w:hint="eastAsia" w:ascii="宋体" w:hAnsi="宋体" w:eastAsia="宋体" w:cs="宋体"/>
                <w:snapToGrid w:val="0"/>
                <w:color w:val="000000"/>
                <w:kern w:val="0"/>
                <w:sz w:val="24"/>
                <w:szCs w:val="24"/>
                <w:lang w:val="en-US" w:eastAsia="zh-CN" w:bidi="zh-CN"/>
              </w:rPr>
              <w:t>563.78</w:t>
            </w:r>
          </w:p>
        </w:tc>
        <w:tc>
          <w:tcPr>
            <w:tcW w:w="2305"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9.09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05" w:type="dxa"/>
          </w:tcPr>
          <w:p>
            <w:pPr>
              <w:pStyle w:val="22"/>
              <w:spacing w:before="21"/>
              <w:ind w:right="233"/>
              <w:jc w:val="right"/>
              <w:rPr>
                <w:rFonts w:hint="eastAsia" w:ascii="宋体" w:hAnsi="宋体" w:eastAsia="宋体" w:cs="宋体"/>
                <w:sz w:val="24"/>
                <w:szCs w:val="24"/>
              </w:rPr>
            </w:pPr>
            <w:r>
              <w:rPr>
                <w:rFonts w:hint="eastAsia" w:ascii="宋体" w:hAnsi="宋体" w:eastAsia="宋体" w:cs="宋体"/>
                <w:w w:val="95"/>
                <w:sz w:val="24"/>
                <w:szCs w:val="24"/>
              </w:rPr>
              <w:t>高植被覆盖度</w:t>
            </w:r>
          </w:p>
        </w:tc>
        <w:tc>
          <w:tcPr>
            <w:tcW w:w="2087"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F≥70%</w:t>
            </w:r>
          </w:p>
        </w:tc>
        <w:tc>
          <w:tcPr>
            <w:tcW w:w="2363" w:type="dxa"/>
            <w:vAlign w:val="center"/>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zh-CN" w:eastAsia="zh-CN" w:bidi="zh-CN"/>
              </w:rPr>
            </w:pPr>
            <w:r>
              <w:rPr>
                <w:rFonts w:hint="eastAsia" w:ascii="宋体" w:hAnsi="宋体" w:eastAsia="宋体" w:cs="宋体"/>
                <w:snapToGrid w:val="0"/>
                <w:color w:val="000000"/>
                <w:kern w:val="0"/>
                <w:sz w:val="24"/>
                <w:szCs w:val="24"/>
                <w:lang w:val="en-US" w:eastAsia="zh-CN" w:bidi="zh-CN"/>
              </w:rPr>
              <w:t>361.23</w:t>
            </w:r>
          </w:p>
        </w:tc>
        <w:tc>
          <w:tcPr>
            <w:tcW w:w="2305"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5.83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05" w:type="dxa"/>
          </w:tcPr>
          <w:p>
            <w:pPr>
              <w:pStyle w:val="22"/>
              <w:spacing w:before="21"/>
              <w:ind w:left="1221"/>
              <w:jc w:val="left"/>
              <w:rPr>
                <w:rFonts w:hint="eastAsia" w:ascii="宋体" w:hAnsi="宋体" w:eastAsia="宋体" w:cs="宋体"/>
                <w:sz w:val="24"/>
                <w:szCs w:val="24"/>
              </w:rPr>
            </w:pPr>
            <w:r>
              <w:rPr>
                <w:rFonts w:hint="eastAsia" w:ascii="宋体" w:hAnsi="宋体" w:eastAsia="宋体" w:cs="宋体"/>
                <w:sz w:val="24"/>
                <w:szCs w:val="24"/>
              </w:rPr>
              <w:t>合计</w:t>
            </w:r>
          </w:p>
        </w:tc>
        <w:tc>
          <w:tcPr>
            <w:tcW w:w="2087"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p>
        </w:tc>
        <w:tc>
          <w:tcPr>
            <w:tcW w:w="2363"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6200.00</w:t>
            </w:r>
          </w:p>
        </w:tc>
        <w:tc>
          <w:tcPr>
            <w:tcW w:w="2305" w:type="dxa"/>
          </w:tcPr>
          <w:p>
            <w:pPr>
              <w:keepNext w:val="0"/>
              <w:keepLines w:val="0"/>
              <w:widowControl/>
              <w:suppressLineNumbers w:val="0"/>
              <w:jc w:val="center"/>
              <w:textAlignment w:val="center"/>
              <w:rPr>
                <w:rFonts w:hint="eastAsia" w:ascii="宋体" w:hAnsi="宋体" w:eastAsia="宋体" w:cs="宋体"/>
                <w:snapToGrid w:val="0"/>
                <w:color w:val="000000"/>
                <w:kern w:val="0"/>
                <w:sz w:val="24"/>
                <w:szCs w:val="24"/>
                <w:lang w:val="en-US" w:eastAsia="zh-CN" w:bidi="zh-CN"/>
              </w:rPr>
            </w:pPr>
            <w:r>
              <w:rPr>
                <w:rFonts w:hint="eastAsia" w:ascii="宋体" w:hAnsi="宋体" w:eastAsia="宋体" w:cs="宋体"/>
                <w:snapToGrid w:val="0"/>
                <w:color w:val="000000"/>
                <w:kern w:val="0"/>
                <w:sz w:val="24"/>
                <w:szCs w:val="24"/>
                <w:lang w:val="en-US" w:eastAsia="zh-CN" w:bidi="zh-CN"/>
              </w:rPr>
              <w:t>100.00</w:t>
            </w:r>
          </w:p>
        </w:tc>
      </w:tr>
    </w:tbl>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由上表可知，评价范围内的植被覆盖度最高的区间为 30%-50%，占比 24.31%；其次为 10-30%，占比 18.65%；第三为小于 10%，占比 11.93%；；其他覆盖度面积均不大， 占比均低于 10%。</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（4）植物多样性</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工程开发区域内天然植被主要以沼泽植被为主，主要有小叶樟、塔头苔草、柳蒿、三棱草和在水泊中生长的水葱、香蒲、菱角、鸡头米、浮萍、水蓬花等。在沼泽的边缘靠近堤坝处，还生长有少量的沼柳。在河流、湖泡的边缘，以及城镇乡村的周边地区， 生长有盐爪爪、碱蓬、盐蒿、马蔺等耐盐碱的植被。区域内农作物主要为玉米、土豆、白菜及其它应季蔬菜等。评价区共有高等植物种类 71 种，未发现有国家和省重点保护野生植物。</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4.5.4.3野生动物</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根据查询区域内资料及现场调查， 本项目所在区域野生动物主要有普通刺猬（ ErinaceusamurensisSchrenk ） 、 东 北 兔 （ LepusmandschuricusRadde ） 、 黄 鼬（MustelasibiricaPallas）、褐家鼠（Rattusnitidus）、小家鼠（Musmusculus L.）、大仓鼠（Cricetulustriton）、东方田鼠（MicrotusfortisBuchner）、普通田鼠（Microtusarvalis） 等 10 余种啮齿目、兔形目和食肉目动物。由于农业区内人类活动干扰较大，躲避天敌的条件较差，因此鸟类一般不会在此繁殖。区内鸟类主要为村栖型等伴人鸟类，如喜鹊（P.picasericea Gould）、小嘴乌鸦（C.coroneorientalisEvers）、麻雀（P.montanusmontanus）、家燕（HrusticagutturalisScopoli）等，也有一些小型水鸟在芦苇荡内栖息和繁殖。项目工程占地区无国家重点保护野生动物、无《中国生物多样性红色名录》中珍稀濒危野生动物，无国家列入拯救保护的极小种群、特有种等动物资源的主要的天然集中分布区和繁殖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4.5.4.4生态景观类型调查</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采用地理信息系统技术并结合地面实际调查，对所涉及区域内的生态景观构成进行调查。景观调查以工程用地为中心，采用国家生态环境现状调查所用分类系统进行分类。区域内的景观共分为三类，主要由草甸景观、耕地景观、林地景观构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（1）草甸景观是本区内面积较大的景观类型，大面积的分布于油田开发区内，总面积 226.85hm2， 占评价区域总面积的 12.88%。草甸分布不连续，斑块数量多。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（2）耕地景观是分布面积最大景观类型，总面积 1447.45hm2，占评价区域总面积的 82.16%。主要种植以玉米为主的农作物。</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（3）林地景观主要为人工防护林用地，总面积 87.52hm2，占评价区总面积的 4.97%。</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4.5.4.5水土流失现状调查</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黑龙江省防沙治沙条例》第二十七条：“在沙化土地所在地区从事开发建设活动，应当事先就开发建设项目可能对当地及相关地区生态环境产生的影响进行环境影响评价和水资源论证。对不具备水源条件，且有可能造成土地沙化、水土流失等灾害，严重破坏生态环境的开发建设项目，不得批准立项。环境保护行政主管部门在审批环境影响报告时， 应当就报告中有关防沙治沙的内容征得同级林业行政主管部门同意。”</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防沙治沙工作领导小组《关于印发&lt;关于贯彻落实《沙化土地封禁保护修复制度方案》的实施意见&gt;的通知》，大同区属于属于沙化土地所在县（区）。根据现场调查，项目占地区域未出现土壤沙化现象，为保护区域生态环境，针对本工程的具体特点，应制定生态环境影响减缓措施和防沙治沙措施。</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施工期临时占地及施工车辆行驶将对区域地表植被产生破坏。须严格落实各项目生态保护措施及生态减缓措施，严格控制施工作业占地范围，尽量减小施工期对区域生态影响。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4.5.4.6生物资源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本地区生物资源包括牧草资源、药材资源较为丰富。牧草资源包括羊草草甸草原牧草优良，优等牧草占 60%以上、牧草利用率为 85%以上的为Ⅰ等草场占 70%以上。主要为羊草、野古草、五脉山黧豆等。</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4.5.5   生态评价结论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综合现场调查和查阅资料，本项目生态环境评价区域内农业生产活动、石油天然气开采活动频度和强度都比较高，较大型哺乳类动物基本绝迹，主要是小型哺乳类动物包括普通刺猬、东北兔、黄鼬、褐家鼠、小家鼠、大仓鼠等 10 余种啮齿目、兔形目和食肉目动物。植被主要包括草甸草原植被、盐生草甸植被和农业种植植被。评价区域内无受国家保护的野生动、植物物种。</w:t>
      </w:r>
      <w:r>
        <w:rPr>
          <w:rFonts w:hint="default" w:ascii="Times New Roman" w:hAnsi="Times New Roman" w:eastAsia="宋体" w:cs="Times New Roman"/>
          <w:caps w:val="0"/>
          <w:smallCaps w:val="0"/>
          <w:color w:val="auto"/>
          <w:spacing w:val="0"/>
          <w:w w:val="100"/>
          <w:kern w:val="0"/>
          <w:sz w:val="24"/>
          <w:szCs w:val="24"/>
          <w:highlight w:val="none"/>
          <w:lang w:val="en-US" w:eastAsia="zh-CN"/>
        </w:rPr>
        <w:br w:type="page"/>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62" w:name="_Toc31728"/>
      <w:r>
        <w:rPr>
          <w:rFonts w:hint="default" w:ascii="Times New Roman" w:hAnsi="Times New Roman" w:eastAsia="宋体" w:cs="Times New Roman"/>
          <w:snapToGrid/>
          <w:sz w:val="32"/>
          <w:lang w:val="en-US" w:eastAsia="zh-CN" w:bidi="ar-SA"/>
        </w:rPr>
        <w:t>5 施工期环境影响评价</w:t>
      </w:r>
      <w:bookmarkEnd w:id="62"/>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63" w:name="_Toc12822"/>
      <w:r>
        <w:rPr>
          <w:rFonts w:hint="default" w:ascii="Times New Roman" w:hAnsi="Times New Roman" w:eastAsia="宋体" w:cs="Times New Roman"/>
          <w:snapToGrid/>
          <w:sz w:val="32"/>
          <w:lang w:val="en-US" w:eastAsia="zh-CN" w:bidi="ar-SA"/>
        </w:rPr>
        <w:t>5.1生态影响预测与评价</w:t>
      </w:r>
      <w:bookmarkEnd w:id="63"/>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5.1.1</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生态系统影响分析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生态系统完整性的影响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根据《黑龙江省生态功能区划》（黑政函[2006]75 号），本项目所在区域属于松嫩平原西部草甸草原生态区，松嫩平原西部草甸草原与农业生态亚区，嫩江下游湿地保护与沙化和盐渍化控制生态功能区。该区主要生态系统服务功能为沙漠化控制、植被保护、生物多样性保护、石油开采。保护措施与发展方向为逐步恢复草原面积，加大对漏斗区的回注，防止漏斗区继续形成，控制对水环境的影响，科学发展农牧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本工程输电线路为线性工程，杆塔塔基为点状分布，工程施工期会对评价区内生态 系统完整性产生一定的影响，使得生态系统破碎化呈斑块状，但工程实施为阶段性并且 分段实施，采取控制作业带面积、减少施工设备等措施后，可有效降低对生态环境完整性的影响，局部影响随着施工期的结束而消失。</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本工程500kV 汇集站属于块状工程，施工范围小，仅产生局部性影响，随着施工期 结束影响随之消失，不会对生态系统完整性产生影响。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生态系统生产力的影响</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主要涉及草地生态系统以及农田生态系统，本工程输电线路属于线性工程，每个塔基之间相距约500m，输电线路从空中架设，不会造成生态阻隔，基本不影响整个生态系统物种流动、能量流动、物质循环、信息传递；另外工程建设中除塔基开挖区对地表植被影响较大外，施工道路等对地表影响相对较小。根据 HJ19-2022《环境影响评价技术导则 生态影响》 中生态影响预测与评价 8.2 生态影响预测与评价内容及要求，采用类生态机理分析法进行影响预测。本工程占地总面积为26.069hm2 ，其中永久占地 4.134hm2 （耕地3.613hm2、草地0.520hm2），临时占地21.935hm2 （耕地8.72hm2、草地13.215hm2）。主要占地类型为其他草地、耕地（非基本农田）。500kV 汇集站永久占用耕地3.158hm²；500kv输电线路塔基永久占用耕地0.282hm2，施工临时占用耕地4.32hm²；220kv输电线路塔基永久占用耕地0.173hm2，永久占用草地0.520hm2，施工临时占用耕地4.4hm²、施工临时占用草地13.2hm²。</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本次参照《生态学报》和《植物生态学报》中《中国草地植被生物量及其空间分布格局》对不同植被类型生产力的估算，本工程工程占地生产力损失见表 5. 1- 1。</w:t>
      </w:r>
    </w:p>
    <w:p>
      <w:pPr>
        <w:spacing w:before="1" w:line="229" w:lineRule="auto"/>
        <w:ind w:left="2726"/>
        <w:rPr>
          <w:rFonts w:ascii="黑体" w:hAnsi="黑体" w:eastAsia="黑体" w:cs="黑体"/>
          <w:color w:val="auto"/>
          <w:sz w:val="20"/>
          <w:szCs w:val="20"/>
          <w:highlight w:val="none"/>
        </w:rPr>
      </w:pPr>
      <w:r>
        <w:rPr>
          <w:rFonts w:ascii="黑体" w:hAnsi="黑体" w:eastAsia="黑体" w:cs="黑体"/>
          <w:color w:val="auto"/>
          <w:spacing w:val="1"/>
          <w:sz w:val="20"/>
          <w:szCs w:val="20"/>
          <w:highlight w:val="none"/>
        </w:rPr>
        <w:t>表</w:t>
      </w:r>
      <w:r>
        <w:rPr>
          <w:rFonts w:hint="eastAsia" w:ascii="黑体" w:hAnsi="黑体" w:eastAsia="黑体" w:cs="黑体"/>
          <w:color w:val="auto"/>
          <w:spacing w:val="1"/>
          <w:sz w:val="20"/>
          <w:szCs w:val="20"/>
          <w:highlight w:val="none"/>
          <w:lang w:val="en-US" w:eastAsia="zh-CN"/>
        </w:rPr>
        <w:t>5.1-1</w:t>
      </w:r>
      <w:r>
        <w:rPr>
          <w:rFonts w:ascii="黑体" w:hAnsi="黑体" w:eastAsia="黑体" w:cs="黑体"/>
          <w:color w:val="auto"/>
          <w:sz w:val="20"/>
          <w:szCs w:val="20"/>
          <w:highlight w:val="none"/>
        </w:rPr>
        <w:t>本工程工程占地生产力损失表</w:t>
      </w:r>
    </w:p>
    <w:p>
      <w:pPr>
        <w:spacing w:line="127" w:lineRule="exact"/>
        <w:rPr>
          <w:color w:val="0000FF"/>
          <w:highlight w:val="none"/>
        </w:rPr>
      </w:pPr>
    </w:p>
    <w:tbl>
      <w:tblPr>
        <w:tblStyle w:val="2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38"/>
        <w:gridCol w:w="1777"/>
        <w:gridCol w:w="1917"/>
        <w:gridCol w:w="788"/>
        <w:gridCol w:w="27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 w:hRule="atLeast"/>
        </w:trPr>
        <w:tc>
          <w:tcPr>
            <w:tcW w:w="1145" w:type="pct"/>
            <w:tcBorders>
              <w:left w:val="single" w:color="000000" w:sz="10" w:space="0"/>
            </w:tcBorders>
            <w:vAlign w:val="top"/>
          </w:tcPr>
          <w:p>
            <w:pPr>
              <w:spacing w:before="51" w:line="217" w:lineRule="auto"/>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植被类型</w:t>
            </w:r>
          </w:p>
        </w:tc>
        <w:tc>
          <w:tcPr>
            <w:tcW w:w="952" w:type="pct"/>
            <w:vAlign w:val="top"/>
          </w:tcPr>
          <w:p>
            <w:pPr>
              <w:spacing w:before="18" w:line="232" w:lineRule="exact"/>
              <w:rPr>
                <w:rFonts w:ascii="Times New Roman" w:hAnsi="Times New Roman" w:eastAsia="Times New Roman" w:cs="Times New Roman"/>
                <w:color w:val="auto"/>
                <w:sz w:val="21"/>
                <w:szCs w:val="21"/>
                <w:highlight w:val="none"/>
              </w:rPr>
            </w:pPr>
            <w:r>
              <w:rPr>
                <w:rFonts w:ascii="宋体" w:hAnsi="宋体" w:eastAsia="宋体" w:cs="宋体"/>
                <w:color w:val="auto"/>
                <w:spacing w:val="25"/>
                <w:position w:val="1"/>
                <w:sz w:val="21"/>
                <w:szCs w:val="21"/>
                <w:highlight w:val="none"/>
              </w:rPr>
              <w:t>面</w:t>
            </w:r>
            <w:r>
              <w:rPr>
                <w:rFonts w:ascii="宋体" w:hAnsi="宋体" w:eastAsia="宋体" w:cs="宋体"/>
                <w:color w:val="auto"/>
                <w:spacing w:val="23"/>
                <w:position w:val="1"/>
                <w:sz w:val="21"/>
                <w:szCs w:val="21"/>
                <w:highlight w:val="none"/>
              </w:rPr>
              <w:t>积</w:t>
            </w:r>
            <w:r>
              <w:rPr>
                <w:rFonts w:ascii="Times New Roman" w:hAnsi="Times New Roman" w:eastAsia="Times New Roman" w:cs="Times New Roman"/>
                <w:color w:val="auto"/>
                <w:position w:val="1"/>
                <w:sz w:val="21"/>
                <w:szCs w:val="21"/>
                <w:highlight w:val="none"/>
              </w:rPr>
              <w:t>hm</w:t>
            </w:r>
            <w:r>
              <w:rPr>
                <w:rFonts w:ascii="Times New Roman" w:hAnsi="Times New Roman" w:eastAsia="Times New Roman" w:cs="Times New Roman"/>
                <w:color w:val="auto"/>
                <w:spacing w:val="23"/>
                <w:position w:val="6"/>
                <w:sz w:val="21"/>
                <w:szCs w:val="21"/>
                <w:highlight w:val="none"/>
              </w:rPr>
              <w:t>2</w:t>
            </w:r>
          </w:p>
        </w:tc>
        <w:tc>
          <w:tcPr>
            <w:tcW w:w="1027" w:type="pct"/>
            <w:tcBorders>
              <w:right w:val="nil"/>
            </w:tcBorders>
            <w:vAlign w:val="top"/>
          </w:tcPr>
          <w:p>
            <w:pPr>
              <w:spacing w:before="18" w:line="232" w:lineRule="exact"/>
              <w:rPr>
                <w:rFonts w:ascii="Times New Roman" w:hAnsi="Times New Roman" w:eastAsia="Times New Roman" w:cs="Times New Roman"/>
                <w:color w:val="auto"/>
                <w:sz w:val="21"/>
                <w:szCs w:val="21"/>
                <w:highlight w:val="none"/>
              </w:rPr>
            </w:pPr>
            <w:r>
              <w:rPr>
                <w:rFonts w:ascii="宋体" w:hAnsi="宋体" w:eastAsia="宋体" w:cs="宋体"/>
                <w:color w:val="auto"/>
                <w:spacing w:val="-2"/>
                <w:position w:val="2"/>
                <w:sz w:val="21"/>
                <w:szCs w:val="21"/>
                <w:highlight w:val="none"/>
              </w:rPr>
              <w:t xml:space="preserve">平均生产力 </w:t>
            </w:r>
            <w:r>
              <w:rPr>
                <w:rFonts w:ascii="Times New Roman" w:hAnsi="Times New Roman" w:eastAsia="Times New Roman" w:cs="Times New Roman"/>
                <w:color w:val="auto"/>
                <w:spacing w:val="-2"/>
                <w:position w:val="2"/>
                <w:sz w:val="21"/>
                <w:szCs w:val="21"/>
                <w:highlight w:val="none"/>
              </w:rPr>
              <w:t>t/(</w:t>
            </w:r>
            <w:r>
              <w:rPr>
                <w:rFonts w:ascii="Times New Roman" w:hAnsi="Times New Roman" w:eastAsia="Times New Roman" w:cs="Times New Roman"/>
                <w:color w:val="auto"/>
                <w:spacing w:val="-1"/>
                <w:position w:val="2"/>
                <w:sz w:val="21"/>
                <w:szCs w:val="21"/>
                <w:highlight w:val="none"/>
              </w:rPr>
              <w:t>hm</w:t>
            </w:r>
            <w:r>
              <w:rPr>
                <w:rFonts w:ascii="Times New Roman" w:hAnsi="Times New Roman" w:eastAsia="Times New Roman" w:cs="Times New Roman"/>
                <w:color w:val="auto"/>
                <w:spacing w:val="-2"/>
                <w:position w:val="7"/>
                <w:sz w:val="21"/>
                <w:szCs w:val="21"/>
                <w:highlight w:val="none"/>
              </w:rPr>
              <w:t>2</w:t>
            </w:r>
          </w:p>
        </w:tc>
        <w:tc>
          <w:tcPr>
            <w:tcW w:w="422" w:type="pct"/>
            <w:tcBorders>
              <w:left w:val="nil"/>
            </w:tcBorders>
            <w:vAlign w:val="top"/>
          </w:tcPr>
          <w:p>
            <w:pPr>
              <w:rPr>
                <w:rFonts w:hint="eastAsia" w:ascii="Arial" w:eastAsia="宋体"/>
                <w:color w:val="auto"/>
                <w:sz w:val="21"/>
                <w:szCs w:val="21"/>
                <w:highlight w:val="none"/>
                <w:lang w:eastAsia="zh-CN"/>
              </w:rPr>
            </w:pPr>
            <w:r>
              <w:rPr>
                <w:rFonts w:hint="eastAsia" w:eastAsia="宋体"/>
                <w:color w:val="auto"/>
                <w:sz w:val="21"/>
                <w:szCs w:val="21"/>
                <w:highlight w:val="none"/>
                <w:lang w:eastAsia="zh-CN"/>
              </w:rPr>
              <w:t>）</w:t>
            </w:r>
          </w:p>
        </w:tc>
        <w:tc>
          <w:tcPr>
            <w:tcW w:w="1452" w:type="pct"/>
            <w:tcBorders>
              <w:right w:val="single" w:color="000000" w:sz="10" w:space="0"/>
            </w:tcBorders>
            <w:vAlign w:val="top"/>
          </w:tcPr>
          <w:p>
            <w:pPr>
              <w:spacing w:before="18" w:line="232" w:lineRule="exact"/>
              <w:rPr>
                <w:rFonts w:ascii="Times New Roman" w:hAnsi="Times New Roman" w:eastAsia="Times New Roman" w:cs="Times New Roman"/>
                <w:color w:val="auto"/>
                <w:sz w:val="21"/>
                <w:szCs w:val="21"/>
                <w:highlight w:val="none"/>
              </w:rPr>
            </w:pPr>
            <w:r>
              <w:rPr>
                <w:rFonts w:ascii="宋体" w:hAnsi="宋体" w:eastAsia="宋体" w:cs="宋体"/>
                <w:color w:val="auto"/>
                <w:spacing w:val="16"/>
                <w:position w:val="1"/>
                <w:sz w:val="21"/>
                <w:szCs w:val="21"/>
                <w:highlight w:val="none"/>
              </w:rPr>
              <w:t>总</w:t>
            </w:r>
            <w:r>
              <w:rPr>
                <w:rFonts w:ascii="宋体" w:hAnsi="宋体" w:eastAsia="宋体" w:cs="宋体"/>
                <w:color w:val="auto"/>
                <w:spacing w:val="15"/>
                <w:position w:val="1"/>
                <w:sz w:val="21"/>
                <w:szCs w:val="21"/>
                <w:highlight w:val="none"/>
              </w:rPr>
              <w:t>净生产力</w:t>
            </w:r>
            <w:r>
              <w:rPr>
                <w:rFonts w:ascii="Times New Roman" w:hAnsi="Times New Roman" w:eastAsia="Times New Roman" w:cs="Times New Roman"/>
                <w:color w:val="auto"/>
                <w:position w:val="1"/>
                <w:sz w:val="21"/>
                <w:szCs w:val="21"/>
                <w:highlight w:val="none"/>
              </w:rPr>
              <w:t>t</w:t>
            </w:r>
            <w:r>
              <w:rPr>
                <w:rFonts w:ascii="Times New Roman" w:hAnsi="Times New Roman" w:eastAsia="Times New Roman" w:cs="Times New Roman"/>
                <w:color w:val="auto"/>
                <w:spacing w:val="15"/>
                <w:position w:val="1"/>
                <w:sz w:val="21"/>
                <w:szCs w:val="21"/>
                <w:highlight w:val="none"/>
              </w:rPr>
              <w:t>/</w:t>
            </w:r>
            <w:r>
              <w:rPr>
                <w:rFonts w:ascii="Times New Roman" w:hAnsi="Times New Roman" w:eastAsia="Times New Roman" w:cs="Times New Roman"/>
                <w:color w:val="auto"/>
                <w:position w:val="1"/>
                <w:sz w:val="21"/>
                <w:szCs w:val="21"/>
                <w:highlight w:val="none"/>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145" w:type="pct"/>
            <w:tcBorders>
              <w:left w:val="single" w:color="000000" w:sz="10" w:space="0"/>
            </w:tcBorders>
            <w:vAlign w:val="top"/>
          </w:tcPr>
          <w:p>
            <w:pPr>
              <w:spacing w:before="28" w:line="226" w:lineRule="auto"/>
              <w:ind w:left="848"/>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5"/>
                <w:sz w:val="21"/>
                <w:szCs w:val="21"/>
                <w:highlight w:val="none"/>
                <w:lang w:eastAsia="zh-CN"/>
              </w:rPr>
              <w:t>耕地</w:t>
            </w:r>
          </w:p>
        </w:tc>
        <w:tc>
          <w:tcPr>
            <w:tcW w:w="952" w:type="pct"/>
            <w:vAlign w:val="top"/>
          </w:tcPr>
          <w:p>
            <w:pPr>
              <w:spacing w:before="59" w:line="197" w:lineRule="auto"/>
              <w:ind w:left="70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4"/>
                <w:sz w:val="21"/>
                <w:szCs w:val="21"/>
                <w:highlight w:val="none"/>
                <w:lang w:val="en-US" w:eastAsia="zh-CN"/>
              </w:rPr>
              <w:t>8.72</w:t>
            </w:r>
          </w:p>
        </w:tc>
        <w:tc>
          <w:tcPr>
            <w:tcW w:w="1449" w:type="pct"/>
            <w:gridSpan w:val="2"/>
            <w:vAlign w:val="top"/>
          </w:tcPr>
          <w:p>
            <w:pPr>
              <w:spacing w:before="60" w:line="197" w:lineRule="auto"/>
              <w:ind w:left="1204"/>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7.5</w:t>
            </w:r>
          </w:p>
        </w:tc>
        <w:tc>
          <w:tcPr>
            <w:tcW w:w="1452" w:type="pct"/>
            <w:tcBorders>
              <w:right w:val="single" w:color="000000" w:sz="10" w:space="0"/>
            </w:tcBorders>
            <w:vAlign w:val="top"/>
          </w:tcPr>
          <w:p>
            <w:pPr>
              <w:spacing w:before="71" w:line="197" w:lineRule="auto"/>
              <w:ind w:left="1118"/>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145" w:type="pct"/>
            <w:tcBorders>
              <w:left w:val="single" w:color="000000" w:sz="10" w:space="0"/>
            </w:tcBorders>
            <w:vAlign w:val="top"/>
          </w:tcPr>
          <w:p>
            <w:pPr>
              <w:spacing w:before="31" w:line="224" w:lineRule="auto"/>
              <w:ind w:left="84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草</w:t>
            </w:r>
            <w:r>
              <w:rPr>
                <w:rFonts w:ascii="宋体" w:hAnsi="宋体" w:eastAsia="宋体" w:cs="宋体"/>
                <w:color w:val="auto"/>
                <w:spacing w:val="5"/>
                <w:sz w:val="21"/>
                <w:szCs w:val="21"/>
                <w:highlight w:val="none"/>
              </w:rPr>
              <w:t>丛</w:t>
            </w:r>
          </w:p>
        </w:tc>
        <w:tc>
          <w:tcPr>
            <w:tcW w:w="952" w:type="pct"/>
            <w:vAlign w:val="top"/>
          </w:tcPr>
          <w:p>
            <w:pPr>
              <w:spacing w:before="60" w:line="200" w:lineRule="auto"/>
              <w:ind w:left="698"/>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13.215</w:t>
            </w:r>
          </w:p>
        </w:tc>
        <w:tc>
          <w:tcPr>
            <w:tcW w:w="1449" w:type="pct"/>
            <w:gridSpan w:val="2"/>
            <w:vAlign w:val="top"/>
          </w:tcPr>
          <w:p>
            <w:pPr>
              <w:spacing w:before="60" w:line="197" w:lineRule="auto"/>
              <w:ind w:left="111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6"/>
                <w:sz w:val="21"/>
                <w:szCs w:val="21"/>
                <w:highlight w:val="none"/>
                <w:lang w:val="en-US" w:eastAsia="zh-CN"/>
              </w:rPr>
              <w:t>2.5</w:t>
            </w:r>
          </w:p>
        </w:tc>
        <w:tc>
          <w:tcPr>
            <w:tcW w:w="1452" w:type="pct"/>
            <w:tcBorders>
              <w:right w:val="single" w:color="000000" w:sz="10" w:space="0"/>
            </w:tcBorders>
            <w:vAlign w:val="top"/>
          </w:tcPr>
          <w:p>
            <w:pPr>
              <w:spacing w:before="75" w:line="197" w:lineRule="auto"/>
              <w:ind w:left="1165"/>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33.038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145" w:type="pct"/>
            <w:tcBorders>
              <w:left w:val="single" w:color="000000" w:sz="10" w:space="0"/>
            </w:tcBorders>
            <w:vAlign w:val="top"/>
          </w:tcPr>
          <w:p>
            <w:pPr>
              <w:spacing w:before="30" w:line="232" w:lineRule="auto"/>
              <w:ind w:left="847"/>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合计</w:t>
            </w:r>
          </w:p>
        </w:tc>
        <w:tc>
          <w:tcPr>
            <w:tcW w:w="952" w:type="pct"/>
            <w:vAlign w:val="top"/>
          </w:tcPr>
          <w:p>
            <w:pPr>
              <w:spacing w:before="62" w:line="197" w:lineRule="auto"/>
              <w:ind w:left="627"/>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pacing w:val="2"/>
                <w:sz w:val="21"/>
                <w:szCs w:val="21"/>
                <w:highlight w:val="none"/>
                <w:lang w:eastAsia="zh-CN"/>
              </w:rPr>
              <w:t>21.935</w:t>
            </w:r>
          </w:p>
        </w:tc>
        <w:tc>
          <w:tcPr>
            <w:tcW w:w="1449" w:type="pct"/>
            <w:gridSpan w:val="2"/>
            <w:vAlign w:val="top"/>
          </w:tcPr>
          <w:p>
            <w:pPr>
              <w:spacing w:line="240" w:lineRule="exact"/>
              <w:ind w:left="128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position w:val="1"/>
                <w:sz w:val="21"/>
                <w:szCs w:val="21"/>
                <w:highlight w:val="none"/>
              </w:rPr>
              <w:t>/</w:t>
            </w:r>
          </w:p>
        </w:tc>
        <w:tc>
          <w:tcPr>
            <w:tcW w:w="1452" w:type="pct"/>
            <w:tcBorders>
              <w:right w:val="single" w:color="000000" w:sz="10" w:space="0"/>
            </w:tcBorders>
            <w:vAlign w:val="top"/>
          </w:tcPr>
          <w:p>
            <w:pPr>
              <w:spacing w:before="74" w:line="197" w:lineRule="auto"/>
              <w:ind w:left="1091"/>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98.438</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本工程施工结束后，采取相应的植物恢复措施。根据对工程所经区域已运行输电线 路的调查来看，在工程投产后1-2 年内，工程所经区域生态系统基本可恢复至原功能， 工程建成后，各种土地类型发生变化，草地和耕地占地面积将减少，这将造成评价区生 态系统生物量减少，工程建设后 (临时占地按工期1年计) ，将造成评价范围内自然植被占地生产力损失为27.818t/a 、农作物生产力损失为65.4t/a 。</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施工对作物的影响主要表现：一是临时占地，直接造成当年的作物损失。二是破坏土体结构，导致土壤肥力下降，造成今后一段时间的农作物产量下降，第2、3年损失30%，耕地施工期选在农耕结束后，以减少为农作物玉米的损失量，这种影响预计2～3a 可恢复到原来的产量，玉米损失总量为39.24t；工程建设后基本完成生态恢复，因此，本工程施工期引起的干扰是可以承受的，生态系统的稳定性没有发生大的改变。</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因此认为本工程的建设对沿线生态系统稳定性影响较小。</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（3）生态系统生物量的影响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snapToGrid/>
          <w:kern w:val="0"/>
          <w:sz w:val="24"/>
          <w:szCs w:val="24"/>
          <w:highlight w:val="none"/>
          <w:lang w:val="en-US" w:eastAsia="zh-CN" w:bidi="ar"/>
        </w:rPr>
        <w:t>本工程施工期将使植被生境破坏，生物个体失去生长环境，影响是不可逆的。根据 现场调查，本工程施工期临时占用植被为其他草地和耕地（非基本农田），植被类型以羊草为优势种，同时和狼尾草、毛水苏、三棱草、星星草等植物混生。耕地农作物主要为玉米等。本项目施工期为10个月，则本工程施工期生物量损失见下表计算结果</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spacing w:before="1" w:line="229" w:lineRule="auto"/>
        <w:ind w:left="2726"/>
        <w:rPr>
          <w:rFonts w:ascii="黑体" w:hAnsi="黑体" w:eastAsia="黑体" w:cs="黑体"/>
          <w:color w:val="auto"/>
          <w:sz w:val="20"/>
          <w:szCs w:val="20"/>
          <w:highlight w:val="none"/>
        </w:rPr>
      </w:pPr>
      <w:r>
        <w:rPr>
          <w:rFonts w:ascii="黑体" w:hAnsi="黑体" w:eastAsia="黑体" w:cs="黑体"/>
          <w:color w:val="auto"/>
          <w:spacing w:val="4"/>
          <w:sz w:val="20"/>
          <w:szCs w:val="20"/>
          <w:highlight w:val="none"/>
        </w:rPr>
        <w:t xml:space="preserve">表 </w:t>
      </w:r>
      <w:r>
        <w:rPr>
          <w:rFonts w:ascii="Times New Roman" w:hAnsi="Times New Roman" w:eastAsia="Times New Roman" w:cs="Times New Roman"/>
          <w:color w:val="auto"/>
          <w:spacing w:val="4"/>
          <w:sz w:val="20"/>
          <w:szCs w:val="20"/>
          <w:highlight w:val="none"/>
        </w:rPr>
        <w:t>5.</w:t>
      </w:r>
      <w:r>
        <w:rPr>
          <w:rFonts w:ascii="Times New Roman" w:hAnsi="Times New Roman" w:eastAsia="Times New Roman" w:cs="Times New Roman"/>
          <w:color w:val="auto"/>
          <w:spacing w:val="2"/>
          <w:sz w:val="20"/>
          <w:szCs w:val="20"/>
          <w:highlight w:val="none"/>
        </w:rPr>
        <w:t xml:space="preserve"> 1-2  </w:t>
      </w:r>
      <w:r>
        <w:rPr>
          <w:rFonts w:ascii="黑体" w:hAnsi="黑体" w:eastAsia="黑体" w:cs="黑体"/>
          <w:color w:val="auto"/>
          <w:spacing w:val="2"/>
          <w:sz w:val="20"/>
          <w:szCs w:val="20"/>
          <w:highlight w:val="none"/>
        </w:rPr>
        <w:t>本工程工程占地生物量损失表</w:t>
      </w:r>
    </w:p>
    <w:p>
      <w:pPr>
        <w:spacing w:line="129" w:lineRule="exact"/>
        <w:rPr>
          <w:color w:val="auto"/>
          <w:highlight w:val="none"/>
        </w:rPr>
      </w:pPr>
    </w:p>
    <w:tbl>
      <w:tblPr>
        <w:tblStyle w:val="2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36"/>
        <w:gridCol w:w="1777"/>
        <w:gridCol w:w="2707"/>
        <w:gridCol w:w="27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1144" w:type="pct"/>
            <w:tcBorders>
              <w:left w:val="single" w:color="000000" w:sz="10" w:space="0"/>
            </w:tcBorders>
            <w:vAlign w:val="top"/>
          </w:tcPr>
          <w:p>
            <w:pPr>
              <w:spacing w:before="28" w:line="226" w:lineRule="auto"/>
              <w:rPr>
                <w:rFonts w:hint="default"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植被类型</w:t>
            </w:r>
          </w:p>
        </w:tc>
        <w:tc>
          <w:tcPr>
            <w:tcW w:w="952" w:type="pct"/>
            <w:vAlign w:val="top"/>
          </w:tcPr>
          <w:p>
            <w:pPr>
              <w:spacing w:before="28" w:line="226" w:lineRule="auto"/>
              <w:rPr>
                <w:rFonts w:hint="default"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面积hm2</w:t>
            </w:r>
          </w:p>
        </w:tc>
        <w:tc>
          <w:tcPr>
            <w:tcW w:w="1450" w:type="pct"/>
            <w:vAlign w:val="top"/>
          </w:tcPr>
          <w:p>
            <w:pPr>
              <w:spacing w:before="28" w:line="226" w:lineRule="auto"/>
              <w:rPr>
                <w:rFonts w:hint="default"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平均生物量t/hm2</w:t>
            </w:r>
          </w:p>
        </w:tc>
        <w:tc>
          <w:tcPr>
            <w:tcW w:w="1452" w:type="pct"/>
            <w:tcBorders>
              <w:right w:val="single" w:color="000000" w:sz="10" w:space="0"/>
            </w:tcBorders>
            <w:vAlign w:val="top"/>
          </w:tcPr>
          <w:p>
            <w:pPr>
              <w:spacing w:before="28" w:line="226" w:lineRule="auto"/>
              <w:rPr>
                <w:rFonts w:hint="default"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总生物量t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144" w:type="pct"/>
            <w:tcBorders>
              <w:left w:val="single" w:color="000000" w:sz="10" w:space="0"/>
            </w:tcBorders>
            <w:vAlign w:val="top"/>
          </w:tcPr>
          <w:p>
            <w:pPr>
              <w:spacing w:before="28" w:line="226" w:lineRule="auto"/>
              <w:ind w:left="848"/>
              <w:rPr>
                <w:rFonts w:hint="default"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耕地</w:t>
            </w:r>
          </w:p>
        </w:tc>
        <w:tc>
          <w:tcPr>
            <w:tcW w:w="952" w:type="pct"/>
            <w:vAlign w:val="top"/>
          </w:tcPr>
          <w:p>
            <w:pPr>
              <w:spacing w:before="28" w:line="226" w:lineRule="auto"/>
              <w:ind w:left="848"/>
              <w:rPr>
                <w:rFonts w:hint="default"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lang w:val="en-US" w:eastAsia="zh-CN"/>
              </w:rPr>
              <w:t>8.72</w:t>
            </w:r>
          </w:p>
        </w:tc>
        <w:tc>
          <w:tcPr>
            <w:tcW w:w="1450" w:type="pct"/>
            <w:vAlign w:val="top"/>
          </w:tcPr>
          <w:p>
            <w:pPr>
              <w:spacing w:before="28" w:line="226" w:lineRule="auto"/>
              <w:ind w:left="848"/>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7.5</w:t>
            </w:r>
          </w:p>
        </w:tc>
        <w:tc>
          <w:tcPr>
            <w:tcW w:w="1452" w:type="pct"/>
            <w:tcBorders>
              <w:right w:val="single" w:color="000000" w:sz="10" w:space="0"/>
            </w:tcBorders>
            <w:vAlign w:val="top"/>
          </w:tcPr>
          <w:p>
            <w:pPr>
              <w:spacing w:before="28" w:line="226" w:lineRule="auto"/>
              <w:ind w:left="848"/>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54.5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144" w:type="pct"/>
            <w:tcBorders>
              <w:left w:val="single" w:color="000000" w:sz="10" w:space="0"/>
            </w:tcBorders>
            <w:vAlign w:val="top"/>
          </w:tcPr>
          <w:p>
            <w:pPr>
              <w:spacing w:before="28" w:line="226" w:lineRule="auto"/>
              <w:ind w:left="848"/>
              <w:rPr>
                <w:rFonts w:hint="default"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草丛</w:t>
            </w:r>
          </w:p>
        </w:tc>
        <w:tc>
          <w:tcPr>
            <w:tcW w:w="952" w:type="pct"/>
            <w:vAlign w:val="top"/>
          </w:tcPr>
          <w:p>
            <w:pPr>
              <w:spacing w:before="28" w:line="226" w:lineRule="auto"/>
              <w:ind w:left="848"/>
              <w:rPr>
                <w:rFonts w:hint="default"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lang w:val="en-US" w:eastAsia="zh-CN"/>
              </w:rPr>
              <w:t>13.215</w:t>
            </w:r>
          </w:p>
        </w:tc>
        <w:tc>
          <w:tcPr>
            <w:tcW w:w="1450" w:type="pct"/>
            <w:vAlign w:val="top"/>
          </w:tcPr>
          <w:p>
            <w:pPr>
              <w:spacing w:before="28" w:line="226" w:lineRule="auto"/>
              <w:ind w:left="848"/>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2.5</w:t>
            </w:r>
          </w:p>
        </w:tc>
        <w:tc>
          <w:tcPr>
            <w:tcW w:w="1452" w:type="pct"/>
            <w:tcBorders>
              <w:right w:val="single" w:color="000000" w:sz="10" w:space="0"/>
            </w:tcBorders>
            <w:vAlign w:val="top"/>
          </w:tcPr>
          <w:p>
            <w:pPr>
              <w:spacing w:before="28" w:line="226" w:lineRule="auto"/>
              <w:ind w:left="848"/>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27.531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144" w:type="pct"/>
            <w:tcBorders>
              <w:left w:val="single" w:color="000000" w:sz="10" w:space="0"/>
            </w:tcBorders>
            <w:vAlign w:val="top"/>
          </w:tcPr>
          <w:p>
            <w:pPr>
              <w:spacing w:before="28" w:line="226" w:lineRule="auto"/>
              <w:ind w:left="848"/>
              <w:rPr>
                <w:rFonts w:hint="default"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合计</w:t>
            </w:r>
          </w:p>
        </w:tc>
        <w:tc>
          <w:tcPr>
            <w:tcW w:w="952" w:type="pct"/>
            <w:vAlign w:val="top"/>
          </w:tcPr>
          <w:p>
            <w:pPr>
              <w:spacing w:before="28" w:line="226" w:lineRule="auto"/>
              <w:ind w:left="848"/>
              <w:rPr>
                <w:rFonts w:hint="default"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21.935</w:t>
            </w:r>
          </w:p>
        </w:tc>
        <w:tc>
          <w:tcPr>
            <w:tcW w:w="1450" w:type="pct"/>
            <w:vAlign w:val="top"/>
          </w:tcPr>
          <w:p>
            <w:pPr>
              <w:spacing w:before="28" w:line="226" w:lineRule="auto"/>
              <w:ind w:left="848"/>
              <w:rPr>
                <w:rFonts w:hint="default" w:ascii="Times New Roman" w:hAnsi="Times New Roman" w:eastAsia="宋体" w:cs="Times New Roman"/>
                <w:color w:val="auto"/>
                <w:spacing w:val="5"/>
                <w:sz w:val="21"/>
                <w:szCs w:val="21"/>
                <w:highlight w:val="none"/>
                <w:lang w:eastAsia="zh-CN"/>
              </w:rPr>
            </w:pPr>
            <w:r>
              <w:rPr>
                <w:rFonts w:hint="default" w:ascii="Times New Roman" w:hAnsi="Times New Roman" w:eastAsia="宋体" w:cs="Times New Roman"/>
                <w:color w:val="auto"/>
                <w:spacing w:val="5"/>
                <w:sz w:val="21"/>
                <w:szCs w:val="21"/>
                <w:highlight w:val="none"/>
                <w:lang w:eastAsia="zh-CN"/>
              </w:rPr>
              <w:t>/</w:t>
            </w:r>
          </w:p>
        </w:tc>
        <w:tc>
          <w:tcPr>
            <w:tcW w:w="1452" w:type="pct"/>
            <w:tcBorders>
              <w:right w:val="single" w:color="000000" w:sz="10" w:space="0"/>
            </w:tcBorders>
            <w:vAlign w:val="top"/>
          </w:tcPr>
          <w:p>
            <w:pPr>
              <w:spacing w:before="28" w:line="226" w:lineRule="auto"/>
              <w:ind w:left="848"/>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eastAsia="宋体" w:cs="Times New Roman"/>
                <w:color w:val="auto"/>
                <w:spacing w:val="5"/>
                <w:sz w:val="21"/>
                <w:szCs w:val="21"/>
                <w:highlight w:val="none"/>
                <w:lang w:val="en-US" w:eastAsia="zh-CN"/>
              </w:rPr>
              <w:t>82.031</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从表5. 1-2 计算结果可知，本工程施工期将造成占地范围内植被生物量损失为 82.031t ，永久占地无法恢复，临时占地在采取生态恢复措施后，基本可以保证生物量不降低，可有效缓解一定的自然植被生物量损失。</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64" w:name="_bookmark104"/>
      <w:bookmarkEnd w:id="64"/>
      <w:bookmarkStart w:id="65" w:name="_Toc10299"/>
      <w:r>
        <w:rPr>
          <w:rFonts w:hint="eastAsia" w:ascii="Times New Roman" w:hAnsi="Times New Roman" w:eastAsia="宋体" w:cs="Times New Roman"/>
          <w:snapToGrid/>
          <w:kern w:val="0"/>
          <w:sz w:val="24"/>
          <w:szCs w:val="24"/>
          <w:highlight w:val="none"/>
          <w:lang w:val="en-US" w:eastAsia="zh-CN" w:bidi="ar"/>
        </w:rPr>
        <w:t>5.1.2土地利用影响分析</w:t>
      </w:r>
      <w:bookmarkEnd w:id="65"/>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 占用土地的影响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本工程输电线路和500kV 汇集站工程永久占地为塔基区和500kV 汇集站占地，合 计占地面积为4.134hm²；临时占地为塔基区、施工场地区等，总占地面积为21.935hm²，主要占用耕地和其他草地，分别占地面积为12.333hm²、13.735hm²。</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永久占地将造成地表植被剥离、践踏，使地表植被遭到一定的破坏，使植被蓄积量 及生产力下降，对土地使用功能有一定影响。但工程永久占地面积较小，对评价区土地 影响有限。临时占地在施工阶段将造成一定的土地类型改变，工程占地将使耕地、 其他草地等土地利用类型减少，破坏占地区内羊草和芦苇、狼尾草、毛水苏、三棱草、星星草、农作物等植被类型， 但随着施工期结束开展生态恢复，种植当地物种后，临时占地生态恢复率达到95%以上时，临时占地对土地利用类型和破坏植被的影响将随之降低。</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总体来讲，本工程中500kV 汇集站为永久占地，工程建成后占地范围内将产生对土 地利用类型产生影响，但影响范围较小。杆塔施工分为临时占地和永久占地，工程为点 状工程， 占地面积小，对评价区土地利用类型影响较小。</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 土地利用结构影响分析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 HJ19-2022《环境影响评价技术导则 生态影响》8 中生态影响预测与评价 8.2生态影响预测与评价内容及要求，采用生态机理分析法进行影响预测。</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本工程工程占地主要为耕地和其他草地，永久占地为500kV 汇集站和杆塔塔基区，临时占地为杆塔施工区、施工场地区、施工道路等，工程施工期前对评价区土地利用现状的影响程度见表5. 1-3 、工程施工后对评价区土地利用现状的影响程度见表5. 1-4。</w:t>
      </w:r>
    </w:p>
    <w:p>
      <w:pPr>
        <w:spacing w:before="1" w:line="221" w:lineRule="auto"/>
        <w:ind w:left="2639"/>
        <w:rPr>
          <w:rFonts w:ascii="宋体" w:hAnsi="宋体" w:eastAsia="宋体" w:cs="宋体"/>
          <w:color w:val="auto"/>
          <w:sz w:val="23"/>
          <w:szCs w:val="23"/>
          <w:highlight w:val="none"/>
        </w:rPr>
      </w:pPr>
      <w:r>
        <w:rPr>
          <w:rFonts w:ascii="宋体" w:hAnsi="宋体" w:eastAsia="宋体" w:cs="宋体"/>
          <w:color w:val="auto"/>
          <w:spacing w:val="8"/>
          <w:sz w:val="23"/>
          <w:szCs w:val="23"/>
          <w:highlight w:val="none"/>
          <w14:textOutline w14:w="4358" w14:cap="sq" w14:cmpd="sng">
            <w14:solidFill>
              <w14:srgbClr w14:val="000000"/>
            </w14:solidFill>
            <w14:prstDash w14:val="solid"/>
            <w14:bevel/>
          </w14:textOutline>
        </w:rPr>
        <w:t>表</w:t>
      </w:r>
      <w:r>
        <w:rPr>
          <w:rFonts w:ascii="宋体" w:hAnsi="宋体" w:eastAsia="宋体" w:cs="宋体"/>
          <w:color w:val="auto"/>
          <w:spacing w:val="8"/>
          <w:sz w:val="23"/>
          <w:szCs w:val="23"/>
          <w:highlight w:val="none"/>
        </w:rPr>
        <w:t xml:space="preserve"> </w:t>
      </w:r>
      <w:r>
        <w:rPr>
          <w:rFonts w:ascii="Times New Roman" w:hAnsi="Times New Roman" w:eastAsia="Times New Roman" w:cs="Times New Roman"/>
          <w:b/>
          <w:bCs/>
          <w:color w:val="auto"/>
          <w:spacing w:val="8"/>
          <w:sz w:val="23"/>
          <w:szCs w:val="23"/>
          <w:highlight w:val="none"/>
        </w:rPr>
        <w:t>5</w:t>
      </w:r>
      <w:r>
        <w:rPr>
          <w:rFonts w:ascii="Times New Roman" w:hAnsi="Times New Roman" w:eastAsia="Times New Roman" w:cs="Times New Roman"/>
          <w:b/>
          <w:bCs/>
          <w:color w:val="auto"/>
          <w:spacing w:val="5"/>
          <w:sz w:val="23"/>
          <w:szCs w:val="23"/>
          <w:highlight w:val="none"/>
        </w:rPr>
        <w:t>.</w:t>
      </w:r>
      <w:r>
        <w:rPr>
          <w:rFonts w:ascii="Times New Roman" w:hAnsi="Times New Roman" w:eastAsia="Times New Roman" w:cs="Times New Roman"/>
          <w:b/>
          <w:bCs/>
          <w:color w:val="auto"/>
          <w:spacing w:val="4"/>
          <w:sz w:val="23"/>
          <w:szCs w:val="23"/>
          <w:highlight w:val="none"/>
        </w:rPr>
        <w:t>1-3</w:t>
      </w:r>
      <w:r>
        <w:rPr>
          <w:rFonts w:ascii="Times New Roman" w:hAnsi="Times New Roman" w:eastAsia="Times New Roman" w:cs="Times New Roman"/>
          <w:color w:val="auto"/>
          <w:spacing w:val="4"/>
          <w:sz w:val="23"/>
          <w:szCs w:val="23"/>
          <w:highlight w:val="none"/>
        </w:rPr>
        <w:t xml:space="preserve">      </w:t>
      </w:r>
      <w:r>
        <w:rPr>
          <w:rFonts w:ascii="宋体" w:hAnsi="宋体" w:eastAsia="宋体" w:cs="宋体"/>
          <w:color w:val="auto"/>
          <w:spacing w:val="4"/>
          <w:sz w:val="23"/>
          <w:szCs w:val="23"/>
          <w:highlight w:val="none"/>
          <w14:textOutline w14:w="4358" w14:cap="sq" w14:cmpd="sng">
            <w14:solidFill>
              <w14:srgbClr w14:val="000000"/>
            </w14:solidFill>
            <w14:prstDash w14:val="solid"/>
            <w14:bevel/>
          </w14:textOutline>
        </w:rPr>
        <w:t>工程占地前土地利用现状表</w:t>
      </w:r>
    </w:p>
    <w:tbl>
      <w:tblPr>
        <w:tblStyle w:val="20"/>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4"/>
        <w:gridCol w:w="1104"/>
        <w:gridCol w:w="1087"/>
        <w:gridCol w:w="1126"/>
        <w:gridCol w:w="1796"/>
        <w:gridCol w:w="1675"/>
        <w:gridCol w:w="14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4391" w:type="dxa"/>
            <w:gridSpan w:val="4"/>
            <w:tcBorders>
              <w:left w:val="single" w:color="000000" w:sz="10" w:space="0"/>
            </w:tcBorders>
            <w:vAlign w:val="top"/>
          </w:tcPr>
          <w:p>
            <w:pPr>
              <w:spacing w:before="76" w:line="228" w:lineRule="auto"/>
              <w:ind w:left="1560"/>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14:textOutline w14:w="3795" w14:cap="sq" w14:cmpd="sng">
                  <w14:solidFill>
                    <w14:srgbClr w14:val="000000"/>
                  </w14:solidFill>
                  <w14:prstDash w14:val="solid"/>
                  <w14:bevel/>
                </w14:textOutline>
              </w:rPr>
              <w:t>地</w:t>
            </w:r>
            <w:r>
              <w:rPr>
                <w:rFonts w:ascii="宋体" w:hAnsi="宋体" w:eastAsia="宋体" w:cs="宋体"/>
                <w:color w:val="auto"/>
                <w:spacing w:val="6"/>
                <w:sz w:val="21"/>
                <w:szCs w:val="21"/>
                <w:highlight w:val="none"/>
                <w14:textOutline w14:w="3795" w14:cap="sq" w14:cmpd="sng">
                  <w14:solidFill>
                    <w14:srgbClr w14:val="000000"/>
                  </w14:solidFill>
                  <w14:prstDash w14:val="solid"/>
                  <w14:bevel/>
                </w14:textOutline>
              </w:rPr>
              <w:t>类</w:t>
            </w:r>
            <w:r>
              <w:rPr>
                <w:rFonts w:ascii="宋体" w:hAnsi="宋体" w:eastAsia="宋体" w:cs="宋体"/>
                <w:color w:val="auto"/>
                <w:spacing w:val="6"/>
                <w:sz w:val="21"/>
                <w:szCs w:val="21"/>
                <w:highlight w:val="none"/>
              </w:rPr>
              <w:t xml:space="preserve"> </w:t>
            </w:r>
            <w:r>
              <w:rPr>
                <w:rFonts w:ascii="宋体" w:hAnsi="宋体" w:eastAsia="宋体" w:cs="宋体"/>
                <w:color w:val="auto"/>
                <w:spacing w:val="6"/>
                <w:sz w:val="21"/>
                <w:szCs w:val="21"/>
                <w:highlight w:val="none"/>
                <w14:textOutline w14:w="3795" w14:cap="sq" w14:cmpd="sng">
                  <w14:solidFill>
                    <w14:srgbClr w14:val="000000"/>
                  </w14:solidFill>
                  <w14:prstDash w14:val="solid"/>
                  <w14:bevel/>
                </w14:textOutline>
              </w:rPr>
              <w:t>(编码)</w:t>
            </w:r>
          </w:p>
        </w:tc>
        <w:tc>
          <w:tcPr>
            <w:tcW w:w="4891" w:type="dxa"/>
            <w:gridSpan w:val="3"/>
            <w:tcBorders>
              <w:right w:val="single" w:color="000000" w:sz="10" w:space="0"/>
            </w:tcBorders>
            <w:vAlign w:val="top"/>
          </w:tcPr>
          <w:p>
            <w:pPr>
              <w:spacing w:before="76" w:line="228" w:lineRule="auto"/>
              <w:ind w:left="1536"/>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14:textOutline w14:w="3795" w14:cap="sq" w14:cmpd="sng">
                  <w14:solidFill>
                    <w14:srgbClr w14:val="000000"/>
                  </w14:solidFill>
                  <w14:prstDash w14:val="solid"/>
                  <w14:bevel/>
                </w14:textOutline>
              </w:rPr>
              <w:t>占</w:t>
            </w:r>
            <w:r>
              <w:rPr>
                <w:rFonts w:ascii="宋体" w:hAnsi="宋体" w:eastAsia="宋体" w:cs="宋体"/>
                <w:color w:val="auto"/>
                <w:spacing w:val="6"/>
                <w:sz w:val="21"/>
                <w:szCs w:val="21"/>
                <w:highlight w:val="none"/>
                <w14:textOutline w14:w="3795" w14:cap="sq" w14:cmpd="sng">
                  <w14:solidFill>
                    <w14:srgbClr w14:val="000000"/>
                  </w14:solidFill>
                  <w14:prstDash w14:val="solid"/>
                  <w14:bevel/>
                </w14:textOutline>
              </w:rPr>
              <w:t>地</w:t>
            </w:r>
            <w:r>
              <w:rPr>
                <w:rFonts w:ascii="宋体" w:hAnsi="宋体" w:eastAsia="宋体" w:cs="宋体"/>
                <w:color w:val="auto"/>
                <w:spacing w:val="5"/>
                <w:sz w:val="21"/>
                <w:szCs w:val="21"/>
                <w:highlight w:val="none"/>
                <w14:textOutline w14:w="3795" w14:cap="sq" w14:cmpd="sng">
                  <w14:solidFill>
                    <w14:srgbClr w14:val="000000"/>
                  </w14:solidFill>
                  <w14:prstDash w14:val="solid"/>
                  <w14:bevel/>
                </w14:textOutline>
              </w:rPr>
              <w:t>区土地利用类型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178" w:type="dxa"/>
            <w:gridSpan w:val="2"/>
            <w:tcBorders>
              <w:left w:val="single" w:color="000000" w:sz="10" w:space="0"/>
              <w:bottom w:val="single" w:color="auto" w:sz="4" w:space="0"/>
            </w:tcBorders>
            <w:vAlign w:val="top"/>
          </w:tcPr>
          <w:p>
            <w:pPr>
              <w:spacing w:before="208" w:line="342" w:lineRule="exact"/>
              <w:ind w:left="663"/>
              <w:rPr>
                <w:rFonts w:ascii="宋体" w:hAnsi="宋体" w:eastAsia="宋体" w:cs="宋体"/>
                <w:color w:val="auto"/>
                <w:sz w:val="21"/>
                <w:szCs w:val="21"/>
                <w:highlight w:val="none"/>
              </w:rPr>
            </w:pPr>
            <w:r>
              <w:rPr>
                <w:rFonts w:ascii="宋体" w:hAnsi="宋体" w:eastAsia="宋体" w:cs="宋体"/>
                <w:color w:val="auto"/>
                <w:spacing w:val="10"/>
                <w:position w:val="2"/>
                <w:sz w:val="21"/>
                <w:szCs w:val="21"/>
                <w:highlight w:val="none"/>
                <w14:textOutline w14:w="3795" w14:cap="sq" w14:cmpd="sng">
                  <w14:solidFill>
                    <w14:srgbClr w14:val="000000"/>
                  </w14:solidFill>
                  <w14:prstDash w14:val="solid"/>
                  <w14:bevel/>
                </w14:textOutline>
              </w:rPr>
              <w:t>一</w:t>
            </w:r>
            <w:r>
              <w:rPr>
                <w:rFonts w:ascii="宋体" w:hAnsi="宋体" w:eastAsia="宋体" w:cs="宋体"/>
                <w:color w:val="auto"/>
                <w:spacing w:val="7"/>
                <w:position w:val="2"/>
                <w:sz w:val="21"/>
                <w:szCs w:val="21"/>
                <w:highlight w:val="none"/>
                <w14:textOutline w14:w="3795" w14:cap="sq" w14:cmpd="sng">
                  <w14:solidFill>
                    <w14:srgbClr w14:val="000000"/>
                  </w14:solidFill>
                  <w14:prstDash w14:val="solid"/>
                  <w14:bevel/>
                </w14:textOutline>
              </w:rPr>
              <w:t>级地类</w:t>
            </w:r>
          </w:p>
        </w:tc>
        <w:tc>
          <w:tcPr>
            <w:tcW w:w="2213" w:type="dxa"/>
            <w:gridSpan w:val="2"/>
            <w:tcBorders>
              <w:bottom w:val="single" w:color="auto" w:sz="4" w:space="0"/>
            </w:tcBorders>
            <w:vAlign w:val="top"/>
          </w:tcPr>
          <w:p>
            <w:pPr>
              <w:spacing w:before="207" w:line="228" w:lineRule="auto"/>
              <w:ind w:left="691"/>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14:textOutline w14:w="3795" w14:cap="sq" w14:cmpd="sng">
                  <w14:solidFill>
                    <w14:srgbClr w14:val="000000"/>
                  </w14:solidFill>
                  <w14:prstDash w14:val="solid"/>
                  <w14:bevel/>
                </w14:textOutline>
              </w:rPr>
              <w:t>二</w:t>
            </w:r>
            <w:r>
              <w:rPr>
                <w:rFonts w:ascii="宋体" w:hAnsi="宋体" w:eastAsia="宋体" w:cs="宋体"/>
                <w:color w:val="auto"/>
                <w:spacing w:val="7"/>
                <w:sz w:val="21"/>
                <w:szCs w:val="21"/>
                <w:highlight w:val="none"/>
                <w14:textOutline w14:w="3795" w14:cap="sq" w14:cmpd="sng">
                  <w14:solidFill>
                    <w14:srgbClr w14:val="000000"/>
                  </w14:solidFill>
                  <w14:prstDash w14:val="solid"/>
                  <w14:bevel/>
                </w14:textOutline>
              </w:rPr>
              <w:t>级地类</w:t>
            </w:r>
          </w:p>
        </w:tc>
        <w:tc>
          <w:tcPr>
            <w:tcW w:w="1796" w:type="dxa"/>
            <w:vAlign w:val="top"/>
          </w:tcPr>
          <w:p>
            <w:pPr>
              <w:spacing w:before="10" w:line="285" w:lineRule="auto"/>
              <w:ind w:left="409" w:right="155" w:hanging="243"/>
              <w:rPr>
                <w:rFonts w:ascii="宋体" w:hAnsi="宋体" w:eastAsia="宋体" w:cs="宋体"/>
                <w:color w:val="auto"/>
                <w:sz w:val="21"/>
                <w:szCs w:val="21"/>
                <w:highlight w:val="none"/>
              </w:rPr>
            </w:pPr>
            <w:r>
              <w:rPr>
                <w:rFonts w:ascii="Times New Roman" w:hAnsi="Times New Roman" w:eastAsia="Times New Roman" w:cs="Times New Roman"/>
                <w:b/>
                <w:bCs/>
                <w:color w:val="auto"/>
                <w:spacing w:val="8"/>
                <w:sz w:val="21"/>
                <w:szCs w:val="21"/>
                <w:highlight w:val="none"/>
              </w:rPr>
              <w:t>500</w:t>
            </w:r>
            <w:r>
              <w:rPr>
                <w:rFonts w:ascii="Times New Roman" w:hAnsi="Times New Roman" w:eastAsia="Times New Roman" w:cs="Times New Roman"/>
                <w:b/>
                <w:bCs/>
                <w:color w:val="auto"/>
                <w:sz w:val="21"/>
                <w:szCs w:val="21"/>
                <w:highlight w:val="none"/>
              </w:rPr>
              <w:t>kV</w:t>
            </w:r>
            <w:r>
              <w:rPr>
                <w:rFonts w:ascii="Times New Roman" w:hAnsi="Times New Roman" w:eastAsia="Times New Roman" w:cs="Times New Roman"/>
                <w:color w:val="auto"/>
                <w:spacing w:val="8"/>
                <w:sz w:val="21"/>
                <w:szCs w:val="21"/>
                <w:highlight w:val="none"/>
              </w:rPr>
              <w:t xml:space="preserve"> </w:t>
            </w:r>
            <w:r>
              <w:rPr>
                <w:rFonts w:ascii="宋体" w:hAnsi="宋体" w:eastAsia="宋体" w:cs="宋体"/>
                <w:color w:val="auto"/>
                <w:spacing w:val="8"/>
                <w:sz w:val="21"/>
                <w:szCs w:val="21"/>
                <w:highlight w:val="none"/>
                <w14:textOutline w14:w="3795" w14:cap="sq" w14:cmpd="sng">
                  <w14:solidFill>
                    <w14:srgbClr w14:val="000000"/>
                  </w14:solidFill>
                  <w14:prstDash w14:val="solid"/>
                  <w14:bevel/>
                </w14:textOutline>
              </w:rPr>
              <w:t>汇集站</w:t>
            </w:r>
            <w:r>
              <w:rPr>
                <w:rFonts w:ascii="宋体" w:hAnsi="宋体" w:eastAsia="宋体" w:cs="宋体"/>
                <w:color w:val="auto"/>
                <w:spacing w:val="7"/>
                <w:sz w:val="21"/>
                <w:szCs w:val="21"/>
                <w:highlight w:val="none"/>
                <w14:textOutline w14:w="3795" w14:cap="sq" w14:cmpd="sng">
                  <w14:solidFill>
                    <w14:srgbClr w14:val="000000"/>
                  </w14:solidFill>
                  <w14:prstDash w14:val="solid"/>
                  <w14:bevel/>
                </w14:textOutline>
              </w:rPr>
              <w:t>面</w:t>
            </w:r>
            <w:r>
              <w:rPr>
                <w:rFonts w:ascii="宋体" w:hAnsi="宋体" w:eastAsia="宋体" w:cs="宋体"/>
                <w:color w:val="auto"/>
                <w:sz w:val="21"/>
                <w:szCs w:val="21"/>
                <w:highlight w:val="none"/>
              </w:rPr>
              <w:t xml:space="preserve"> </w:t>
            </w:r>
            <w:r>
              <w:rPr>
                <w:rFonts w:ascii="宋体" w:hAnsi="宋体" w:eastAsia="宋体" w:cs="宋体"/>
                <w:color w:val="auto"/>
                <w:spacing w:val="6"/>
                <w:sz w:val="21"/>
                <w:szCs w:val="21"/>
                <w:highlight w:val="none"/>
                <w14:textOutline w14:w="3795" w14:cap="sq" w14:cmpd="sng">
                  <w14:solidFill>
                    <w14:srgbClr w14:val="000000"/>
                  </w14:solidFill>
                  <w14:prstDash w14:val="solid"/>
                  <w14:bevel/>
                </w14:textOutline>
              </w:rPr>
              <w:t>积</w:t>
            </w:r>
            <w:r>
              <w:rPr>
                <w:rFonts w:ascii="宋体" w:hAnsi="宋体" w:eastAsia="宋体" w:cs="宋体"/>
                <w:color w:val="auto"/>
                <w:spacing w:val="4"/>
                <w:sz w:val="21"/>
                <w:szCs w:val="21"/>
                <w:highlight w:val="none"/>
              </w:rPr>
              <w:t xml:space="preserve"> </w:t>
            </w:r>
            <w:r>
              <w:rPr>
                <w:rFonts w:ascii="宋体" w:hAnsi="宋体" w:eastAsia="宋体" w:cs="宋体"/>
                <w:color w:val="auto"/>
                <w:spacing w:val="4"/>
                <w:sz w:val="21"/>
                <w:szCs w:val="21"/>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sz w:val="21"/>
                <w:szCs w:val="21"/>
                <w:highlight w:val="none"/>
              </w:rPr>
              <w:t>hm</w:t>
            </w:r>
            <w:r>
              <w:rPr>
                <w:rFonts w:ascii="Times New Roman" w:hAnsi="Times New Roman" w:eastAsia="Times New Roman" w:cs="Times New Roman"/>
                <w:b/>
                <w:bCs/>
                <w:color w:val="auto"/>
                <w:spacing w:val="4"/>
                <w:position w:val="6"/>
                <w:sz w:val="21"/>
                <w:szCs w:val="21"/>
                <w:highlight w:val="none"/>
              </w:rPr>
              <w:t>2</w:t>
            </w:r>
            <w:r>
              <w:rPr>
                <w:rFonts w:ascii="Times New Roman" w:hAnsi="Times New Roman" w:eastAsia="Times New Roman" w:cs="Times New Roman"/>
                <w:color w:val="auto"/>
                <w:spacing w:val="4"/>
                <w:position w:val="6"/>
                <w:sz w:val="21"/>
                <w:szCs w:val="21"/>
                <w:highlight w:val="none"/>
              </w:rPr>
              <w:t xml:space="preserve"> </w:t>
            </w:r>
            <w:r>
              <w:rPr>
                <w:rFonts w:ascii="宋体" w:hAnsi="宋体" w:eastAsia="宋体" w:cs="宋体"/>
                <w:color w:val="auto"/>
                <w:spacing w:val="4"/>
                <w:sz w:val="21"/>
                <w:szCs w:val="21"/>
                <w:highlight w:val="none"/>
                <w14:textOutline w14:w="3795" w14:cap="sq" w14:cmpd="sng">
                  <w14:solidFill>
                    <w14:srgbClr w14:val="000000"/>
                  </w14:solidFill>
                  <w14:prstDash w14:val="solid"/>
                  <w14:bevel/>
                </w14:textOutline>
              </w:rPr>
              <w:t>)</w:t>
            </w:r>
          </w:p>
        </w:tc>
        <w:tc>
          <w:tcPr>
            <w:tcW w:w="1675" w:type="dxa"/>
            <w:vAlign w:val="top"/>
          </w:tcPr>
          <w:p>
            <w:pPr>
              <w:spacing w:before="51" w:line="228" w:lineRule="auto"/>
              <w:ind w:left="216"/>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14:textOutline w14:w="3795" w14:cap="sq" w14:cmpd="sng">
                  <w14:solidFill>
                    <w14:srgbClr w14:val="000000"/>
                  </w14:solidFill>
                  <w14:prstDash w14:val="solid"/>
                  <w14:bevel/>
                </w14:textOutline>
              </w:rPr>
              <w:t>输</w:t>
            </w:r>
            <w:r>
              <w:rPr>
                <w:rFonts w:ascii="宋体" w:hAnsi="宋体" w:eastAsia="宋体" w:cs="宋体"/>
                <w:color w:val="auto"/>
                <w:spacing w:val="9"/>
                <w:sz w:val="21"/>
                <w:szCs w:val="21"/>
                <w:highlight w:val="none"/>
                <w14:textOutline w14:w="3795" w14:cap="sq" w14:cmpd="sng">
                  <w14:solidFill>
                    <w14:srgbClr w14:val="000000"/>
                  </w14:solidFill>
                  <w14:prstDash w14:val="solid"/>
                  <w14:bevel/>
                </w14:textOutline>
              </w:rPr>
              <w:t>电线路工程</w:t>
            </w:r>
          </w:p>
          <w:p>
            <w:pPr>
              <w:spacing w:before="24" w:line="289" w:lineRule="exact"/>
              <w:ind w:left="450"/>
              <w:rPr>
                <w:rFonts w:ascii="宋体" w:hAnsi="宋体" w:eastAsia="宋体" w:cs="宋体"/>
                <w:color w:val="auto"/>
                <w:sz w:val="21"/>
                <w:szCs w:val="21"/>
                <w:highlight w:val="none"/>
              </w:rPr>
            </w:pPr>
            <w:r>
              <w:rPr>
                <w:rFonts w:ascii="宋体" w:hAnsi="宋体" w:eastAsia="宋体" w:cs="宋体"/>
                <w:color w:val="auto"/>
                <w:spacing w:val="37"/>
                <w:position w:val="1"/>
                <w:sz w:val="21"/>
                <w:szCs w:val="21"/>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position w:val="1"/>
                <w:sz w:val="21"/>
                <w:szCs w:val="21"/>
                <w:highlight w:val="none"/>
              </w:rPr>
              <w:t>hm</w:t>
            </w:r>
            <w:r>
              <w:rPr>
                <w:rFonts w:ascii="宋体" w:hAnsi="宋体" w:eastAsia="宋体" w:cs="宋体"/>
                <w:color w:val="auto"/>
                <w:spacing w:val="36"/>
                <w:position w:val="1"/>
                <w:sz w:val="21"/>
                <w:szCs w:val="21"/>
                <w:highlight w:val="none"/>
                <w14:textOutline w14:w="3795" w14:cap="sq" w14:cmpd="sng">
                  <w14:solidFill>
                    <w14:srgbClr w14:val="000000"/>
                  </w14:solidFill>
                  <w14:prstDash w14:val="solid"/>
                  <w14:bevel/>
                </w14:textOutline>
              </w:rPr>
              <w:t>²)</w:t>
            </w:r>
          </w:p>
        </w:tc>
        <w:tc>
          <w:tcPr>
            <w:tcW w:w="1420" w:type="dxa"/>
            <w:tcBorders>
              <w:right w:val="single" w:color="000000" w:sz="10" w:space="0"/>
            </w:tcBorders>
            <w:vAlign w:val="top"/>
          </w:tcPr>
          <w:p>
            <w:pPr>
              <w:spacing w:before="208" w:line="229" w:lineRule="auto"/>
              <w:ind w:left="508"/>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14:textOutline w14:w="3795" w14:cap="sq" w14:cmpd="sng">
                  <w14:solidFill>
                    <w14:srgbClr w14:val="000000"/>
                  </w14:solidFill>
                  <w14:prstDash w14:val="solid"/>
                  <w14:bevel/>
                </w14:textOutline>
              </w:rPr>
              <w:t>合</w:t>
            </w:r>
            <w:r>
              <w:rPr>
                <w:rFonts w:ascii="宋体" w:hAnsi="宋体" w:eastAsia="宋体" w:cs="宋体"/>
                <w:color w:val="auto"/>
                <w:spacing w:val="5"/>
                <w:sz w:val="21"/>
                <w:szCs w:val="21"/>
                <w:highlight w:val="none"/>
                <w14:textOutline w14:w="3795" w14:cap="sq" w14:cmpd="sng">
                  <w14:solidFill>
                    <w14:srgbClr w14:val="000000"/>
                  </w14:solidFill>
                  <w14:prstDash w14:val="solid"/>
                  <w14:bevel/>
                </w14:textOutline>
              </w:rPr>
              <w:t>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74" w:type="dxa"/>
            <w:tcBorders>
              <w:top w:val="single" w:color="auto" w:sz="4" w:space="0"/>
              <w:left w:val="single" w:color="auto" w:sz="4" w:space="0"/>
              <w:bottom w:val="single" w:color="auto" w:sz="4" w:space="0"/>
              <w:right w:val="single" w:color="auto" w:sz="4" w:space="0"/>
            </w:tcBorders>
            <w:vAlign w:val="top"/>
          </w:tcPr>
          <w:p>
            <w:pPr>
              <w:spacing w:before="249" w:line="195" w:lineRule="auto"/>
              <w:ind w:left="475"/>
              <w:rPr>
                <w:rFonts w:ascii="Times New Roman" w:hAnsi="Times New Roman" w:eastAsia="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r>
              <w:rPr>
                <w:rFonts w:ascii="Times New Roman" w:hAnsi="Times New Roman" w:eastAsia="Times New Roman" w:cs="Times New Roman"/>
                <w:color w:val="auto"/>
                <w:sz w:val="21"/>
                <w:szCs w:val="21"/>
                <w:highlight w:val="none"/>
              </w:rPr>
              <w:t>3</w:t>
            </w:r>
          </w:p>
        </w:tc>
        <w:tc>
          <w:tcPr>
            <w:tcW w:w="1104" w:type="dxa"/>
            <w:tcBorders>
              <w:top w:val="single" w:color="auto" w:sz="4" w:space="0"/>
              <w:left w:val="single" w:color="auto" w:sz="4" w:space="0"/>
              <w:bottom w:val="single" w:color="auto" w:sz="4" w:space="0"/>
              <w:right w:val="single" w:color="auto" w:sz="4" w:space="0"/>
            </w:tcBorders>
            <w:vAlign w:val="top"/>
          </w:tcPr>
          <w:p>
            <w:pPr>
              <w:spacing w:before="213" w:line="228" w:lineRule="auto"/>
              <w:ind w:left="341"/>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耕地</w:t>
            </w:r>
          </w:p>
        </w:tc>
        <w:tc>
          <w:tcPr>
            <w:tcW w:w="1087" w:type="dxa"/>
            <w:tcBorders>
              <w:top w:val="single" w:color="auto" w:sz="4" w:space="0"/>
              <w:left w:val="single" w:color="auto" w:sz="4" w:space="0"/>
              <w:bottom w:val="single" w:color="auto" w:sz="4" w:space="0"/>
              <w:right w:val="single" w:color="auto" w:sz="4" w:space="0"/>
            </w:tcBorders>
            <w:vAlign w:val="top"/>
          </w:tcPr>
          <w:p>
            <w:pPr>
              <w:spacing w:before="88" w:line="195" w:lineRule="auto"/>
              <w:ind w:left="334"/>
              <w:rPr>
                <w:rFonts w:hint="eastAsia" w:ascii="Times New Roman" w:hAnsi="Times New Roman" w:eastAsia="宋体" w:cs="Times New Roman"/>
                <w:color w:val="auto"/>
                <w:sz w:val="21"/>
                <w:szCs w:val="21"/>
                <w:highlight w:val="none"/>
                <w:lang w:eastAsia="zh-CN"/>
              </w:rPr>
            </w:pPr>
            <w:r>
              <w:rPr>
                <w:rFonts w:ascii="Times New Roman" w:hAnsi="Times New Roman" w:eastAsia="Times New Roman" w:cs="Times New Roman"/>
                <w:color w:val="auto"/>
                <w:spacing w:val="3"/>
                <w:sz w:val="21"/>
                <w:szCs w:val="21"/>
                <w:highlight w:val="none"/>
              </w:rPr>
              <w:t>0</w:t>
            </w:r>
            <w:r>
              <w:rPr>
                <w:rFonts w:hint="eastAsia" w:ascii="Times New Roman" w:hAnsi="Times New Roman" w:eastAsia="宋体" w:cs="Times New Roman"/>
                <w:color w:val="auto"/>
                <w:spacing w:val="3"/>
                <w:sz w:val="21"/>
                <w:szCs w:val="21"/>
                <w:highlight w:val="none"/>
                <w:lang w:val="en-US" w:eastAsia="zh-CN"/>
              </w:rPr>
              <w:t>1</w:t>
            </w:r>
            <w:r>
              <w:rPr>
                <w:rFonts w:ascii="Times New Roman" w:hAnsi="Times New Roman" w:eastAsia="Times New Roman" w:cs="Times New Roman"/>
                <w:color w:val="auto"/>
                <w:spacing w:val="3"/>
                <w:sz w:val="21"/>
                <w:szCs w:val="21"/>
                <w:highlight w:val="none"/>
              </w:rPr>
              <w:t>0</w:t>
            </w:r>
            <w:r>
              <w:rPr>
                <w:rFonts w:hint="eastAsia" w:ascii="Times New Roman" w:hAnsi="Times New Roman" w:eastAsia="宋体" w:cs="Times New Roman"/>
                <w:color w:val="auto"/>
                <w:spacing w:val="2"/>
                <w:sz w:val="21"/>
                <w:szCs w:val="21"/>
                <w:highlight w:val="none"/>
                <w:lang w:val="en-US" w:eastAsia="zh-CN"/>
              </w:rPr>
              <w:t>3</w:t>
            </w:r>
          </w:p>
        </w:tc>
        <w:tc>
          <w:tcPr>
            <w:tcW w:w="1126" w:type="dxa"/>
            <w:tcBorders>
              <w:top w:val="single" w:color="auto" w:sz="4" w:space="0"/>
              <w:left w:val="single" w:color="auto" w:sz="4" w:space="0"/>
              <w:bottom w:val="single" w:color="auto" w:sz="4" w:space="0"/>
              <w:right w:val="single" w:color="auto" w:sz="4" w:space="0"/>
            </w:tcBorders>
            <w:vAlign w:val="top"/>
          </w:tcPr>
          <w:p>
            <w:pPr>
              <w:spacing w:before="52" w:line="228" w:lineRule="auto"/>
              <w:ind w:left="146"/>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7"/>
                <w:sz w:val="21"/>
                <w:szCs w:val="21"/>
                <w:highlight w:val="none"/>
                <w:lang w:eastAsia="zh-CN"/>
              </w:rPr>
              <w:t>其他耕地</w:t>
            </w:r>
          </w:p>
        </w:tc>
        <w:tc>
          <w:tcPr>
            <w:tcW w:w="1796" w:type="dxa"/>
            <w:tcBorders>
              <w:left w:val="single" w:color="auto" w:sz="4" w:space="0"/>
            </w:tcBorders>
            <w:vAlign w:val="top"/>
          </w:tcPr>
          <w:p>
            <w:pPr>
              <w:spacing w:before="88" w:line="198" w:lineRule="auto"/>
              <w:ind w:left="664"/>
              <w:rPr>
                <w:rFonts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4"/>
                <w:sz w:val="21"/>
                <w:szCs w:val="21"/>
                <w:highlight w:val="none"/>
              </w:rPr>
              <w:t>3</w:t>
            </w:r>
            <w:r>
              <w:rPr>
                <w:rFonts w:hint="eastAsia" w:ascii="Times New Roman" w:hAnsi="Times New Roman" w:eastAsia="宋体" w:cs="Times New Roman"/>
                <w:color w:val="auto"/>
                <w:spacing w:val="4"/>
                <w:sz w:val="21"/>
                <w:szCs w:val="21"/>
                <w:highlight w:val="none"/>
                <w:lang w:val="en-US" w:eastAsia="zh-CN"/>
              </w:rPr>
              <w:t>.</w:t>
            </w:r>
            <w:r>
              <w:rPr>
                <w:rFonts w:hint="eastAsia" w:ascii="Times New Roman" w:hAnsi="Times New Roman" w:eastAsia="Times New Roman" w:cs="Times New Roman"/>
                <w:color w:val="auto"/>
                <w:spacing w:val="4"/>
                <w:sz w:val="21"/>
                <w:szCs w:val="21"/>
                <w:highlight w:val="none"/>
              </w:rPr>
              <w:t>1575</w:t>
            </w:r>
          </w:p>
        </w:tc>
        <w:tc>
          <w:tcPr>
            <w:tcW w:w="1675" w:type="dxa"/>
            <w:vAlign w:val="top"/>
          </w:tcPr>
          <w:p>
            <w:pPr>
              <w:spacing w:before="88" w:line="195" w:lineRule="auto"/>
              <w:ind w:left="797"/>
              <w:rPr>
                <w:rFonts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9.1755</w:t>
            </w:r>
          </w:p>
        </w:tc>
        <w:tc>
          <w:tcPr>
            <w:tcW w:w="1420" w:type="dxa"/>
            <w:tcBorders>
              <w:right w:val="single" w:color="000000" w:sz="10" w:space="0"/>
            </w:tcBorders>
            <w:vAlign w:val="top"/>
          </w:tcPr>
          <w:p>
            <w:pPr>
              <w:spacing w:before="88" w:line="198" w:lineRule="auto"/>
              <w:ind w:left="478"/>
              <w:rPr>
                <w:rFonts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rPr>
              <w:t>12.333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074" w:type="dxa"/>
            <w:tcBorders>
              <w:top w:val="single" w:color="auto" w:sz="4" w:space="0"/>
              <w:left w:val="single" w:color="auto" w:sz="4" w:space="0"/>
              <w:bottom w:val="single" w:color="auto" w:sz="4" w:space="0"/>
              <w:right w:val="single" w:color="auto" w:sz="4" w:space="0"/>
            </w:tcBorders>
            <w:vAlign w:val="top"/>
          </w:tcPr>
          <w:p>
            <w:pPr>
              <w:spacing w:before="89" w:line="195" w:lineRule="auto"/>
              <w:ind w:left="470"/>
              <w:rPr>
                <w:rFonts w:ascii="Times New Roman" w:hAnsi="Times New Roman" w:eastAsia="Times New Roman" w:cs="Times New Roman"/>
                <w:color w:val="auto"/>
                <w:sz w:val="21"/>
                <w:szCs w:val="21"/>
                <w:highlight w:val="none"/>
              </w:rPr>
            </w:pPr>
            <w:r>
              <w:rPr>
                <w:rFonts w:hint="eastAsia" w:ascii="Times New Roman" w:hAnsi="Times New Roman" w:eastAsia="宋体" w:cs="Times New Roman"/>
                <w:color w:val="auto"/>
                <w:spacing w:val="1"/>
                <w:sz w:val="21"/>
                <w:szCs w:val="21"/>
                <w:highlight w:val="none"/>
                <w:lang w:val="en-US" w:eastAsia="zh-CN"/>
              </w:rPr>
              <w:t>0</w:t>
            </w:r>
            <w:r>
              <w:rPr>
                <w:rFonts w:ascii="Times New Roman" w:hAnsi="Times New Roman" w:eastAsia="Times New Roman" w:cs="Times New Roman"/>
                <w:color w:val="auto"/>
                <w:spacing w:val="1"/>
                <w:sz w:val="21"/>
                <w:szCs w:val="21"/>
                <w:highlight w:val="none"/>
              </w:rPr>
              <w:t>4</w:t>
            </w:r>
          </w:p>
        </w:tc>
        <w:tc>
          <w:tcPr>
            <w:tcW w:w="1104" w:type="dxa"/>
            <w:tcBorders>
              <w:top w:val="single" w:color="auto" w:sz="4" w:space="0"/>
              <w:left w:val="single" w:color="auto" w:sz="4" w:space="0"/>
              <w:bottom w:val="single" w:color="auto" w:sz="4" w:space="0"/>
              <w:right w:val="single" w:color="auto" w:sz="4" w:space="0"/>
            </w:tcBorders>
            <w:vAlign w:val="top"/>
          </w:tcPr>
          <w:p>
            <w:pPr>
              <w:spacing w:before="53" w:line="228" w:lineRule="auto"/>
              <w:ind w:left="34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草</w:t>
            </w:r>
            <w:r>
              <w:rPr>
                <w:rFonts w:ascii="宋体" w:hAnsi="宋体" w:eastAsia="宋体" w:cs="宋体"/>
                <w:color w:val="auto"/>
                <w:spacing w:val="3"/>
                <w:sz w:val="21"/>
                <w:szCs w:val="21"/>
                <w:highlight w:val="none"/>
              </w:rPr>
              <w:t>地</w:t>
            </w:r>
          </w:p>
        </w:tc>
        <w:tc>
          <w:tcPr>
            <w:tcW w:w="1087" w:type="dxa"/>
            <w:tcBorders>
              <w:top w:val="single" w:color="auto" w:sz="4" w:space="0"/>
              <w:left w:val="single" w:color="auto" w:sz="4" w:space="0"/>
              <w:bottom w:val="single" w:color="auto" w:sz="4" w:space="0"/>
              <w:right w:val="single" w:color="auto" w:sz="4" w:space="0"/>
            </w:tcBorders>
            <w:vAlign w:val="top"/>
          </w:tcPr>
          <w:p>
            <w:pPr>
              <w:spacing w:before="89" w:line="195" w:lineRule="auto"/>
              <w:ind w:left="33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3"/>
                <w:sz w:val="21"/>
                <w:szCs w:val="21"/>
                <w:highlight w:val="none"/>
              </w:rPr>
              <w:t>040</w:t>
            </w:r>
            <w:r>
              <w:rPr>
                <w:rFonts w:ascii="Times New Roman" w:hAnsi="Times New Roman" w:eastAsia="Times New Roman" w:cs="Times New Roman"/>
                <w:color w:val="auto"/>
                <w:spacing w:val="2"/>
                <w:sz w:val="21"/>
                <w:szCs w:val="21"/>
                <w:highlight w:val="none"/>
              </w:rPr>
              <w:t>4</w:t>
            </w:r>
          </w:p>
        </w:tc>
        <w:tc>
          <w:tcPr>
            <w:tcW w:w="1126" w:type="dxa"/>
            <w:tcBorders>
              <w:top w:val="single" w:color="auto" w:sz="4" w:space="0"/>
              <w:left w:val="single" w:color="auto" w:sz="4" w:space="0"/>
              <w:bottom w:val="single" w:color="auto" w:sz="4" w:space="0"/>
              <w:right w:val="single" w:color="auto" w:sz="4" w:space="0"/>
            </w:tcBorders>
            <w:vAlign w:val="top"/>
          </w:tcPr>
          <w:p>
            <w:pPr>
              <w:spacing w:before="54" w:line="225" w:lineRule="auto"/>
              <w:ind w:left="146"/>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其他草地</w:t>
            </w:r>
          </w:p>
        </w:tc>
        <w:tc>
          <w:tcPr>
            <w:tcW w:w="1796" w:type="dxa"/>
            <w:tcBorders>
              <w:left w:val="single" w:color="auto" w:sz="4" w:space="0"/>
            </w:tcBorders>
            <w:vAlign w:val="top"/>
          </w:tcPr>
          <w:p>
            <w:pPr>
              <w:spacing w:before="89" w:line="195" w:lineRule="auto"/>
              <w:ind w:left="85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0</w:t>
            </w:r>
          </w:p>
        </w:tc>
        <w:tc>
          <w:tcPr>
            <w:tcW w:w="1675" w:type="dxa"/>
            <w:vAlign w:val="top"/>
          </w:tcPr>
          <w:p>
            <w:pPr>
              <w:spacing w:before="89" w:line="198" w:lineRule="auto"/>
              <w:ind w:left="660"/>
              <w:rPr>
                <w:rFonts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lang w:eastAsia="zh-CN"/>
              </w:rPr>
              <w:t>13.735</w:t>
            </w:r>
          </w:p>
        </w:tc>
        <w:tc>
          <w:tcPr>
            <w:tcW w:w="1420" w:type="dxa"/>
            <w:tcBorders>
              <w:right w:val="single" w:color="000000" w:sz="10" w:space="0"/>
            </w:tcBorders>
            <w:vAlign w:val="top"/>
          </w:tcPr>
          <w:p>
            <w:pPr>
              <w:spacing w:before="89" w:line="198" w:lineRule="auto"/>
              <w:ind w:left="531"/>
              <w:rPr>
                <w:rFonts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z w:val="21"/>
                <w:szCs w:val="21"/>
                <w:highlight w:val="none"/>
                <w:lang w:eastAsia="zh-CN"/>
              </w:rPr>
              <w:t>13.735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391" w:type="dxa"/>
            <w:gridSpan w:val="4"/>
            <w:tcBorders>
              <w:top w:val="single" w:color="auto" w:sz="4" w:space="0"/>
              <w:left w:val="single" w:color="auto" w:sz="4" w:space="0"/>
              <w:bottom w:val="single" w:color="auto" w:sz="4" w:space="0"/>
              <w:right w:val="single" w:color="auto" w:sz="4" w:space="0"/>
            </w:tcBorders>
            <w:vAlign w:val="top"/>
          </w:tcPr>
          <w:p>
            <w:pPr>
              <w:spacing w:before="54" w:line="229" w:lineRule="auto"/>
              <w:ind w:left="1985"/>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总计</w:t>
            </w:r>
          </w:p>
        </w:tc>
        <w:tc>
          <w:tcPr>
            <w:tcW w:w="1796" w:type="dxa"/>
            <w:tcBorders>
              <w:left w:val="single" w:color="auto" w:sz="4" w:space="0"/>
            </w:tcBorders>
            <w:vAlign w:val="top"/>
          </w:tcPr>
          <w:p>
            <w:pPr>
              <w:spacing w:before="90" w:line="198" w:lineRule="auto"/>
              <w:ind w:left="664"/>
              <w:rPr>
                <w:rFonts w:ascii="Times New Roman" w:hAnsi="Times New Roman" w:eastAsia="Times New Roman" w:cs="Times New Roman"/>
                <w:color w:val="auto"/>
                <w:sz w:val="21"/>
                <w:szCs w:val="21"/>
                <w:highlight w:val="none"/>
              </w:rPr>
            </w:pPr>
            <w:r>
              <w:rPr>
                <w:rFonts w:hint="eastAsia" w:ascii="Times New Roman" w:hAnsi="Times New Roman" w:eastAsia="Times New Roman" w:cs="Times New Roman"/>
                <w:color w:val="auto"/>
                <w:spacing w:val="4"/>
                <w:sz w:val="21"/>
                <w:szCs w:val="21"/>
                <w:highlight w:val="none"/>
              </w:rPr>
              <w:t>3</w:t>
            </w:r>
            <w:r>
              <w:rPr>
                <w:rFonts w:hint="eastAsia" w:ascii="Times New Roman" w:hAnsi="Times New Roman" w:eastAsia="Times New Roman" w:cs="Times New Roman"/>
                <w:color w:val="auto"/>
                <w:spacing w:val="4"/>
                <w:sz w:val="21"/>
                <w:szCs w:val="21"/>
                <w:highlight w:val="none"/>
                <w:lang w:val="en-US" w:eastAsia="zh-CN"/>
              </w:rPr>
              <w:t>.</w:t>
            </w:r>
            <w:r>
              <w:rPr>
                <w:rFonts w:hint="eastAsia" w:ascii="Times New Roman" w:hAnsi="Times New Roman" w:eastAsia="Times New Roman" w:cs="Times New Roman"/>
                <w:color w:val="auto"/>
                <w:spacing w:val="4"/>
                <w:sz w:val="21"/>
                <w:szCs w:val="21"/>
                <w:highlight w:val="none"/>
              </w:rPr>
              <w:t>1575</w:t>
            </w:r>
          </w:p>
        </w:tc>
        <w:tc>
          <w:tcPr>
            <w:tcW w:w="1675" w:type="dxa"/>
            <w:vAlign w:val="top"/>
          </w:tcPr>
          <w:p>
            <w:pPr>
              <w:spacing w:before="90" w:line="195" w:lineRule="auto"/>
              <w:ind w:left="62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22.911</w:t>
            </w:r>
          </w:p>
        </w:tc>
        <w:tc>
          <w:tcPr>
            <w:tcW w:w="1420" w:type="dxa"/>
            <w:tcBorders>
              <w:right w:val="single" w:color="000000" w:sz="10" w:space="0"/>
            </w:tcBorders>
            <w:vAlign w:val="top"/>
          </w:tcPr>
          <w:p>
            <w:pPr>
              <w:spacing w:before="90" w:line="195" w:lineRule="auto"/>
              <w:ind w:left="447"/>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26.08</w:t>
            </w:r>
          </w:p>
        </w:tc>
      </w:tr>
    </w:tbl>
    <w:p>
      <w:pPr>
        <w:spacing w:before="37" w:line="222" w:lineRule="auto"/>
        <w:ind w:left="2790"/>
        <w:rPr>
          <w:rFonts w:ascii="宋体" w:hAnsi="宋体" w:eastAsia="宋体" w:cs="宋体"/>
          <w:color w:val="auto"/>
          <w:sz w:val="23"/>
          <w:szCs w:val="23"/>
          <w:highlight w:val="none"/>
        </w:rPr>
      </w:pPr>
      <w:r>
        <w:rPr>
          <w:rFonts w:ascii="宋体" w:hAnsi="宋体" w:eastAsia="宋体" w:cs="宋体"/>
          <w:color w:val="auto"/>
          <w:spacing w:val="6"/>
          <w:sz w:val="23"/>
          <w:szCs w:val="23"/>
          <w:highlight w:val="none"/>
          <w14:textOutline w14:w="4358" w14:cap="sq" w14:cmpd="sng">
            <w14:solidFill>
              <w14:srgbClr w14:val="000000"/>
            </w14:solidFill>
            <w14:prstDash w14:val="solid"/>
            <w14:bevel/>
          </w14:textOutline>
        </w:rPr>
        <w:t>表</w:t>
      </w:r>
      <w:r>
        <w:rPr>
          <w:rFonts w:ascii="宋体" w:hAnsi="宋体" w:eastAsia="宋体" w:cs="宋体"/>
          <w:color w:val="auto"/>
          <w:spacing w:val="5"/>
          <w:sz w:val="23"/>
          <w:szCs w:val="23"/>
          <w:highlight w:val="none"/>
        </w:rPr>
        <w:t xml:space="preserve"> </w:t>
      </w:r>
      <w:r>
        <w:rPr>
          <w:rFonts w:ascii="Times New Roman" w:hAnsi="Times New Roman" w:eastAsia="Times New Roman" w:cs="Times New Roman"/>
          <w:b/>
          <w:bCs/>
          <w:color w:val="auto"/>
          <w:spacing w:val="5"/>
          <w:sz w:val="23"/>
          <w:szCs w:val="23"/>
          <w:highlight w:val="none"/>
        </w:rPr>
        <w:t>5.1-4</w:t>
      </w:r>
      <w:r>
        <w:rPr>
          <w:rFonts w:ascii="Times New Roman" w:hAnsi="Times New Roman" w:eastAsia="Times New Roman" w:cs="Times New Roman"/>
          <w:color w:val="auto"/>
          <w:spacing w:val="5"/>
          <w:sz w:val="23"/>
          <w:szCs w:val="23"/>
          <w:highlight w:val="none"/>
        </w:rPr>
        <w:t xml:space="preserve"> </w:t>
      </w:r>
      <w:r>
        <w:rPr>
          <w:rFonts w:ascii="宋体" w:hAnsi="宋体" w:eastAsia="宋体" w:cs="宋体"/>
          <w:color w:val="auto"/>
          <w:spacing w:val="5"/>
          <w:sz w:val="23"/>
          <w:szCs w:val="23"/>
          <w:highlight w:val="none"/>
          <w14:textOutline w14:w="4358" w14:cap="sq" w14:cmpd="sng">
            <w14:solidFill>
              <w14:srgbClr w14:val="000000"/>
            </w14:solidFill>
            <w14:prstDash w14:val="solid"/>
            <w14:bevel/>
          </w14:textOutline>
        </w:rPr>
        <w:t>工程占地后土地利用类型表</w:t>
      </w:r>
    </w:p>
    <w:tbl>
      <w:tblPr>
        <w:tblStyle w:val="20"/>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728"/>
        <w:gridCol w:w="713"/>
        <w:gridCol w:w="1150"/>
        <w:gridCol w:w="1615"/>
        <w:gridCol w:w="1500"/>
        <w:gridCol w:w="1498"/>
        <w:gridCol w:w="13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3274" w:type="dxa"/>
            <w:gridSpan w:val="4"/>
            <w:tcBorders>
              <w:left w:val="single" w:color="000000" w:sz="10" w:space="0"/>
            </w:tcBorders>
            <w:vAlign w:val="top"/>
          </w:tcPr>
          <w:p>
            <w:pPr>
              <w:spacing w:before="119" w:line="228" w:lineRule="auto"/>
              <w:ind w:left="998"/>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14:textOutline w14:w="3795" w14:cap="sq" w14:cmpd="sng">
                  <w14:solidFill>
                    <w14:srgbClr w14:val="000000"/>
                  </w14:solidFill>
                  <w14:prstDash w14:val="solid"/>
                  <w14:bevel/>
                </w14:textOutline>
              </w:rPr>
              <w:t>地</w:t>
            </w:r>
            <w:r>
              <w:rPr>
                <w:rFonts w:ascii="宋体" w:hAnsi="宋体" w:eastAsia="宋体" w:cs="宋体"/>
                <w:color w:val="auto"/>
                <w:spacing w:val="6"/>
                <w:sz w:val="20"/>
                <w:szCs w:val="20"/>
                <w:highlight w:val="none"/>
                <w14:textOutline w14:w="3795" w14:cap="sq" w14:cmpd="sng">
                  <w14:solidFill>
                    <w14:srgbClr w14:val="000000"/>
                  </w14:solidFill>
                  <w14:prstDash w14:val="solid"/>
                  <w14:bevel/>
                </w14:textOutline>
              </w:rPr>
              <w:t>类</w:t>
            </w:r>
            <w:r>
              <w:rPr>
                <w:rFonts w:ascii="宋体" w:hAnsi="宋体" w:eastAsia="宋体" w:cs="宋体"/>
                <w:color w:val="auto"/>
                <w:spacing w:val="6"/>
                <w:sz w:val="20"/>
                <w:szCs w:val="20"/>
                <w:highlight w:val="none"/>
              </w:rPr>
              <w:t xml:space="preserve"> </w:t>
            </w:r>
            <w:r>
              <w:rPr>
                <w:rFonts w:ascii="宋体" w:hAnsi="宋体" w:eastAsia="宋体" w:cs="宋体"/>
                <w:color w:val="auto"/>
                <w:spacing w:val="6"/>
                <w:sz w:val="20"/>
                <w:szCs w:val="20"/>
                <w:highlight w:val="none"/>
                <w14:textOutline w14:w="3795" w14:cap="sq" w14:cmpd="sng">
                  <w14:solidFill>
                    <w14:srgbClr w14:val="000000"/>
                  </w14:solidFill>
                  <w14:prstDash w14:val="solid"/>
                  <w14:bevel/>
                </w14:textOutline>
              </w:rPr>
              <w:t>(编码)</w:t>
            </w:r>
          </w:p>
        </w:tc>
        <w:tc>
          <w:tcPr>
            <w:tcW w:w="4613" w:type="dxa"/>
            <w:gridSpan w:val="3"/>
            <w:vAlign w:val="top"/>
          </w:tcPr>
          <w:p>
            <w:pPr>
              <w:spacing w:before="119" w:line="228" w:lineRule="auto"/>
              <w:ind w:left="1400"/>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14:textOutline w14:w="3795" w14:cap="sq" w14:cmpd="sng">
                  <w14:solidFill>
                    <w14:srgbClr w14:val="000000"/>
                  </w14:solidFill>
                  <w14:prstDash w14:val="solid"/>
                  <w14:bevel/>
                </w14:textOutline>
              </w:rPr>
              <w:t>占地后土地利用类</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型</w:t>
            </w:r>
          </w:p>
        </w:tc>
        <w:tc>
          <w:tcPr>
            <w:tcW w:w="1395" w:type="dxa"/>
            <w:vMerge w:val="restart"/>
            <w:tcBorders>
              <w:bottom w:val="nil"/>
              <w:right w:val="single" w:color="000000" w:sz="10" w:space="0"/>
            </w:tcBorders>
            <w:vAlign w:val="top"/>
          </w:tcPr>
          <w:p>
            <w:pPr>
              <w:spacing w:before="125" w:line="286" w:lineRule="auto"/>
              <w:ind w:left="116" w:right="99" w:firstLine="6"/>
              <w:rPr>
                <w:rFonts w:ascii="宋体" w:hAnsi="宋体" w:eastAsia="宋体" w:cs="宋体"/>
                <w:color w:val="auto"/>
                <w:sz w:val="20"/>
                <w:szCs w:val="20"/>
                <w:highlight w:val="none"/>
              </w:rPr>
            </w:pPr>
            <w:r>
              <w:rPr>
                <w:rFonts w:ascii="宋体" w:hAnsi="宋体" w:eastAsia="宋体" w:cs="宋体"/>
                <w:color w:val="auto"/>
                <w:spacing w:val="33"/>
                <w:sz w:val="20"/>
                <w:szCs w:val="20"/>
                <w:highlight w:val="none"/>
                <w14:textOutline w14:w="3795" w14:cap="sq" w14:cmpd="sng">
                  <w14:solidFill>
                    <w14:srgbClr w14:val="000000"/>
                  </w14:solidFill>
                  <w14:prstDash w14:val="solid"/>
                  <w14:bevel/>
                </w14:textOutline>
              </w:rPr>
              <w:t>土</w:t>
            </w:r>
            <w:r>
              <w:rPr>
                <w:rFonts w:ascii="宋体" w:hAnsi="宋体" w:eastAsia="宋体" w:cs="宋体"/>
                <w:color w:val="auto"/>
                <w:spacing w:val="31"/>
                <w:sz w:val="20"/>
                <w:szCs w:val="20"/>
                <w:highlight w:val="none"/>
                <w14:textOutline w14:w="3795" w14:cap="sq" w14:cmpd="sng">
                  <w14:solidFill>
                    <w14:srgbClr w14:val="000000"/>
                  </w14:solidFill>
                  <w14:prstDash w14:val="solid"/>
                  <w14:bevel/>
                </w14:textOutline>
              </w:rPr>
              <w:t>地利用结</w:t>
            </w:r>
            <w:r>
              <w:rPr>
                <w:rFonts w:ascii="宋体" w:hAnsi="宋体" w:eastAsia="宋体" w:cs="宋体"/>
                <w:color w:val="auto"/>
                <w:sz w:val="20"/>
                <w:szCs w:val="20"/>
                <w:highlight w:val="none"/>
              </w:rPr>
              <w:t xml:space="preserve"> </w:t>
            </w:r>
            <w:r>
              <w:rPr>
                <w:rFonts w:ascii="宋体" w:hAnsi="宋体" w:eastAsia="宋体" w:cs="宋体"/>
                <w:color w:val="auto"/>
                <w:spacing w:val="17"/>
                <w:sz w:val="20"/>
                <w:szCs w:val="20"/>
                <w:highlight w:val="none"/>
                <w14:textOutline w14:w="3795" w14:cap="sq" w14:cmpd="sng">
                  <w14:solidFill>
                    <w14:srgbClr w14:val="000000"/>
                  </w14:solidFill>
                  <w14:prstDash w14:val="solid"/>
                  <w14:bevel/>
                </w14:textOutline>
              </w:rPr>
              <w:t>构变化</w:t>
            </w:r>
            <w:r>
              <w:rPr>
                <w:rFonts w:ascii="宋体" w:hAnsi="宋体" w:eastAsia="宋体" w:cs="宋体"/>
                <w:color w:val="auto"/>
                <w:spacing w:val="17"/>
                <w:sz w:val="20"/>
                <w:szCs w:val="20"/>
                <w:highlight w:val="none"/>
              </w:rPr>
              <w:t xml:space="preserve"> </w:t>
            </w:r>
            <w:r>
              <w:rPr>
                <w:rFonts w:ascii="宋体" w:hAnsi="宋体" w:eastAsia="宋体" w:cs="宋体"/>
                <w:color w:val="auto"/>
                <w:spacing w:val="16"/>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sz w:val="20"/>
                <w:szCs w:val="20"/>
                <w:highlight w:val="none"/>
              </w:rPr>
              <w:t>hm</w:t>
            </w:r>
            <w:r>
              <w:rPr>
                <w:rFonts w:ascii="Times New Roman" w:hAnsi="Times New Roman" w:eastAsia="Times New Roman" w:cs="Times New Roman"/>
                <w:color w:val="auto"/>
                <w:sz w:val="20"/>
                <w:szCs w:val="20"/>
                <w:highlight w:val="none"/>
              </w:rPr>
              <w:t xml:space="preserve"> </w:t>
            </w:r>
            <w:r>
              <w:rPr>
                <w:rFonts w:ascii="宋体" w:hAnsi="宋体" w:eastAsia="宋体" w:cs="宋体"/>
                <w:color w:val="auto"/>
                <w:sz w:val="20"/>
                <w:szCs w:val="20"/>
                <w:highlight w:val="none"/>
                <w14:textOutline w14:w="3795" w14:cap="sq" w14:cmpd="sng">
                  <w14:solidFill>
                    <w14:srgbClr w14:val="000000"/>
                  </w14:solidFill>
                  <w14:prstDash w14:val="solid"/>
                  <w14:bevel/>
                </w14:textOutline>
              </w:rPr>
              <w:t>²</w:t>
            </w:r>
            <w:r>
              <w:rPr>
                <w:rFonts w:ascii="宋体" w:hAnsi="宋体" w:eastAsia="宋体" w:cs="宋体"/>
                <w:color w:val="auto"/>
                <w:spacing w:val="-67"/>
                <w:sz w:val="20"/>
                <w:szCs w:val="20"/>
                <w:highlight w:val="none"/>
              </w:rPr>
              <w:t xml:space="preserve"> </w:t>
            </w:r>
            <w:r>
              <w:rPr>
                <w:rFonts w:ascii="宋体" w:hAnsi="宋体" w:eastAsia="宋体" w:cs="宋体"/>
                <w:color w:val="auto"/>
                <w:sz w:val="20"/>
                <w:szCs w:val="20"/>
                <w:highlight w:val="none"/>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7" w:hRule="atLeast"/>
        </w:trPr>
        <w:tc>
          <w:tcPr>
            <w:tcW w:w="1411" w:type="dxa"/>
            <w:gridSpan w:val="2"/>
            <w:tcBorders>
              <w:left w:val="single" w:color="000000" w:sz="10" w:space="0"/>
            </w:tcBorders>
            <w:vAlign w:val="top"/>
          </w:tcPr>
          <w:p>
            <w:pPr>
              <w:spacing w:before="208" w:line="342" w:lineRule="exact"/>
              <w:ind w:left="279"/>
              <w:rPr>
                <w:rFonts w:ascii="宋体" w:hAnsi="宋体" w:eastAsia="宋体" w:cs="宋体"/>
                <w:color w:val="auto"/>
                <w:sz w:val="20"/>
                <w:szCs w:val="20"/>
                <w:highlight w:val="none"/>
              </w:rPr>
            </w:pPr>
            <w:r>
              <w:rPr>
                <w:rFonts w:ascii="宋体" w:hAnsi="宋体" w:eastAsia="宋体" w:cs="宋体"/>
                <w:color w:val="auto"/>
                <w:spacing w:val="10"/>
                <w:position w:val="2"/>
                <w:sz w:val="20"/>
                <w:szCs w:val="20"/>
                <w:highlight w:val="none"/>
                <w14:textOutline w14:w="3795" w14:cap="sq" w14:cmpd="sng">
                  <w14:solidFill>
                    <w14:srgbClr w14:val="000000"/>
                  </w14:solidFill>
                  <w14:prstDash w14:val="solid"/>
                  <w14:bevel/>
                </w14:textOutline>
              </w:rPr>
              <w:t>一</w:t>
            </w:r>
            <w:r>
              <w:rPr>
                <w:rFonts w:ascii="宋体" w:hAnsi="宋体" w:eastAsia="宋体" w:cs="宋体"/>
                <w:color w:val="auto"/>
                <w:spacing w:val="7"/>
                <w:position w:val="2"/>
                <w:sz w:val="20"/>
                <w:szCs w:val="20"/>
                <w:highlight w:val="none"/>
                <w14:textOutline w14:w="3795" w14:cap="sq" w14:cmpd="sng">
                  <w14:solidFill>
                    <w14:srgbClr w14:val="000000"/>
                  </w14:solidFill>
                  <w14:prstDash w14:val="solid"/>
                  <w14:bevel/>
                </w14:textOutline>
              </w:rPr>
              <w:t>级地类</w:t>
            </w:r>
          </w:p>
        </w:tc>
        <w:tc>
          <w:tcPr>
            <w:tcW w:w="1863" w:type="dxa"/>
            <w:gridSpan w:val="2"/>
            <w:vAlign w:val="top"/>
          </w:tcPr>
          <w:p>
            <w:pPr>
              <w:spacing w:before="207" w:line="228" w:lineRule="auto"/>
              <w:ind w:left="513"/>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14:textOutline w14:w="3795" w14:cap="sq" w14:cmpd="sng">
                  <w14:solidFill>
                    <w14:srgbClr w14:val="000000"/>
                  </w14:solidFill>
                  <w14:prstDash w14:val="solid"/>
                  <w14:bevel/>
                </w14:textOutline>
              </w:rPr>
              <w:t>二</w:t>
            </w:r>
            <w:r>
              <w:rPr>
                <w:rFonts w:ascii="宋体" w:hAnsi="宋体" w:eastAsia="宋体" w:cs="宋体"/>
                <w:color w:val="auto"/>
                <w:spacing w:val="7"/>
                <w:sz w:val="20"/>
                <w:szCs w:val="20"/>
                <w:highlight w:val="none"/>
                <w14:textOutline w14:w="3795" w14:cap="sq" w14:cmpd="sng">
                  <w14:solidFill>
                    <w14:srgbClr w14:val="000000"/>
                  </w14:solidFill>
                  <w14:prstDash w14:val="solid"/>
                  <w14:bevel/>
                </w14:textOutline>
              </w:rPr>
              <w:t>级地类</w:t>
            </w:r>
          </w:p>
        </w:tc>
        <w:tc>
          <w:tcPr>
            <w:tcW w:w="1615" w:type="dxa"/>
            <w:vAlign w:val="top"/>
          </w:tcPr>
          <w:p>
            <w:pPr>
              <w:spacing w:before="11" w:line="284" w:lineRule="auto"/>
              <w:ind w:left="211" w:right="175" w:hanging="35"/>
              <w:rPr>
                <w:rFonts w:ascii="宋体" w:hAnsi="宋体" w:eastAsia="宋体" w:cs="宋体"/>
                <w:color w:val="auto"/>
                <w:sz w:val="20"/>
                <w:szCs w:val="20"/>
                <w:highlight w:val="none"/>
              </w:rPr>
            </w:pPr>
            <w:r>
              <w:rPr>
                <w:rFonts w:ascii="Times New Roman" w:hAnsi="Times New Roman" w:eastAsia="Times New Roman" w:cs="Times New Roman"/>
                <w:b/>
                <w:bCs/>
                <w:color w:val="auto"/>
                <w:spacing w:val="10"/>
                <w:sz w:val="20"/>
                <w:szCs w:val="20"/>
                <w:highlight w:val="none"/>
              </w:rPr>
              <w:t>5</w:t>
            </w:r>
            <w:r>
              <w:rPr>
                <w:rFonts w:ascii="Times New Roman" w:hAnsi="Times New Roman" w:eastAsia="Times New Roman" w:cs="Times New Roman"/>
                <w:b/>
                <w:bCs/>
                <w:color w:val="auto"/>
                <w:spacing w:val="7"/>
                <w:sz w:val="20"/>
                <w:szCs w:val="20"/>
                <w:highlight w:val="none"/>
              </w:rPr>
              <w:t>00</w:t>
            </w:r>
            <w:r>
              <w:rPr>
                <w:rFonts w:ascii="Times New Roman" w:hAnsi="Times New Roman" w:eastAsia="Times New Roman" w:cs="Times New Roman"/>
                <w:b/>
                <w:bCs/>
                <w:color w:val="auto"/>
                <w:sz w:val="20"/>
                <w:szCs w:val="20"/>
                <w:highlight w:val="none"/>
              </w:rPr>
              <w:t>kV</w:t>
            </w:r>
            <w:r>
              <w:rPr>
                <w:rFonts w:ascii="Times New Roman" w:hAnsi="Times New Roman" w:eastAsia="Times New Roman" w:cs="Times New Roman"/>
                <w:color w:val="auto"/>
                <w:spacing w:val="7"/>
                <w:sz w:val="20"/>
                <w:szCs w:val="20"/>
                <w:highlight w:val="none"/>
              </w:rPr>
              <w:t xml:space="preserve"> </w:t>
            </w:r>
            <w:r>
              <w:rPr>
                <w:rFonts w:ascii="宋体" w:hAnsi="宋体" w:eastAsia="宋体" w:cs="宋体"/>
                <w:color w:val="auto"/>
                <w:spacing w:val="7"/>
                <w:sz w:val="20"/>
                <w:szCs w:val="20"/>
                <w:highlight w:val="none"/>
                <w14:textOutline w14:w="3795" w14:cap="sq" w14:cmpd="sng">
                  <w14:solidFill>
                    <w14:srgbClr w14:val="000000"/>
                  </w14:solidFill>
                  <w14:prstDash w14:val="solid"/>
                  <w14:bevel/>
                </w14:textOutline>
              </w:rPr>
              <w:t>汇集站</w:t>
            </w:r>
            <w:r>
              <w:rPr>
                <w:rFonts w:ascii="宋体" w:hAnsi="宋体" w:eastAsia="宋体" w:cs="宋体"/>
                <w:color w:val="auto"/>
                <w:sz w:val="20"/>
                <w:szCs w:val="20"/>
                <w:highlight w:val="none"/>
              </w:rPr>
              <w:t xml:space="preserve"> </w:t>
            </w:r>
            <w:r>
              <w:rPr>
                <w:rFonts w:ascii="宋体" w:hAnsi="宋体" w:eastAsia="宋体" w:cs="宋体"/>
                <w:color w:val="auto"/>
                <w:spacing w:val="7"/>
                <w:sz w:val="20"/>
                <w:szCs w:val="20"/>
                <w:highlight w:val="none"/>
                <w14:textOutline w14:w="3795" w14:cap="sq" w14:cmpd="sng">
                  <w14:solidFill>
                    <w14:srgbClr w14:val="000000"/>
                  </w14:solidFill>
                  <w14:prstDash w14:val="solid"/>
                  <w14:bevel/>
                </w14:textOutline>
              </w:rPr>
              <w:t>面</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积</w:t>
            </w:r>
            <w:r>
              <w:rPr>
                <w:rFonts w:ascii="宋体" w:hAnsi="宋体" w:eastAsia="宋体" w:cs="宋体"/>
                <w:color w:val="auto"/>
                <w:spacing w:val="5"/>
                <w:sz w:val="20"/>
                <w:szCs w:val="20"/>
                <w:highlight w:val="none"/>
              </w:rPr>
              <w:t xml:space="preserve"> </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sz w:val="20"/>
                <w:szCs w:val="20"/>
                <w:highlight w:val="none"/>
              </w:rPr>
              <w:t>hm</w:t>
            </w:r>
            <w:r>
              <w:rPr>
                <w:rFonts w:ascii="Times New Roman" w:hAnsi="Times New Roman" w:eastAsia="Times New Roman" w:cs="Times New Roman"/>
                <w:b/>
                <w:bCs/>
                <w:color w:val="auto"/>
                <w:spacing w:val="5"/>
                <w:position w:val="6"/>
                <w:sz w:val="13"/>
                <w:szCs w:val="13"/>
                <w:highlight w:val="none"/>
              </w:rPr>
              <w:t>2</w:t>
            </w:r>
            <w:r>
              <w:rPr>
                <w:rFonts w:ascii="Times New Roman" w:hAnsi="Times New Roman" w:eastAsia="Times New Roman" w:cs="Times New Roman"/>
                <w:color w:val="auto"/>
                <w:spacing w:val="5"/>
                <w:position w:val="6"/>
                <w:sz w:val="13"/>
                <w:szCs w:val="13"/>
                <w:highlight w:val="none"/>
              </w:rPr>
              <w:t xml:space="preserve"> </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w:t>
            </w:r>
          </w:p>
        </w:tc>
        <w:tc>
          <w:tcPr>
            <w:tcW w:w="1500" w:type="dxa"/>
            <w:vAlign w:val="top"/>
          </w:tcPr>
          <w:p>
            <w:pPr>
              <w:spacing w:before="51" w:line="228" w:lineRule="auto"/>
              <w:ind w:left="124"/>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14:textOutline w14:w="3795" w14:cap="sq" w14:cmpd="sng">
                  <w14:solidFill>
                    <w14:srgbClr w14:val="000000"/>
                  </w14:solidFill>
                  <w14:prstDash w14:val="solid"/>
                  <w14:bevel/>
                </w14:textOutline>
              </w:rPr>
              <w:t>输</w:t>
            </w:r>
            <w:r>
              <w:rPr>
                <w:rFonts w:ascii="宋体" w:hAnsi="宋体" w:eastAsia="宋体" w:cs="宋体"/>
                <w:color w:val="auto"/>
                <w:spacing w:val="9"/>
                <w:sz w:val="20"/>
                <w:szCs w:val="20"/>
                <w:highlight w:val="none"/>
                <w14:textOutline w14:w="3795" w14:cap="sq" w14:cmpd="sng">
                  <w14:solidFill>
                    <w14:srgbClr w14:val="000000"/>
                  </w14:solidFill>
                  <w14:prstDash w14:val="solid"/>
                  <w14:bevel/>
                </w14:textOutline>
              </w:rPr>
              <w:t>电线路工程</w:t>
            </w:r>
          </w:p>
          <w:p>
            <w:pPr>
              <w:spacing w:before="24" w:line="289" w:lineRule="exact"/>
              <w:ind w:left="358"/>
              <w:rPr>
                <w:rFonts w:ascii="宋体" w:hAnsi="宋体" w:eastAsia="宋体" w:cs="宋体"/>
                <w:color w:val="auto"/>
                <w:sz w:val="20"/>
                <w:szCs w:val="20"/>
                <w:highlight w:val="none"/>
              </w:rPr>
            </w:pPr>
            <w:r>
              <w:rPr>
                <w:rFonts w:ascii="宋体" w:hAnsi="宋体" w:eastAsia="宋体" w:cs="宋体"/>
                <w:color w:val="auto"/>
                <w:spacing w:val="37"/>
                <w:position w:val="1"/>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position w:val="1"/>
                <w:sz w:val="20"/>
                <w:szCs w:val="20"/>
                <w:highlight w:val="none"/>
              </w:rPr>
              <w:t>hm</w:t>
            </w:r>
            <w:r>
              <w:rPr>
                <w:rFonts w:ascii="宋体" w:hAnsi="宋体" w:eastAsia="宋体" w:cs="宋体"/>
                <w:color w:val="auto"/>
                <w:spacing w:val="36"/>
                <w:position w:val="1"/>
                <w:sz w:val="20"/>
                <w:szCs w:val="20"/>
                <w:highlight w:val="none"/>
                <w14:textOutline w14:w="3795" w14:cap="sq" w14:cmpd="sng">
                  <w14:solidFill>
                    <w14:srgbClr w14:val="000000"/>
                  </w14:solidFill>
                  <w14:prstDash w14:val="solid"/>
                  <w14:bevel/>
                </w14:textOutline>
              </w:rPr>
              <w:t>²)</w:t>
            </w:r>
          </w:p>
        </w:tc>
        <w:tc>
          <w:tcPr>
            <w:tcW w:w="1498" w:type="dxa"/>
            <w:vAlign w:val="top"/>
          </w:tcPr>
          <w:p>
            <w:pPr>
              <w:spacing w:before="208" w:line="229" w:lineRule="auto"/>
              <w:ind w:left="550"/>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14:textOutline w14:w="3795" w14:cap="sq" w14:cmpd="sng">
                  <w14:solidFill>
                    <w14:srgbClr w14:val="000000"/>
                  </w14:solidFill>
                  <w14:prstDash w14:val="solid"/>
                  <w14:bevel/>
                </w14:textOutline>
              </w:rPr>
              <w:t>合</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计</w:t>
            </w:r>
          </w:p>
        </w:tc>
        <w:tc>
          <w:tcPr>
            <w:tcW w:w="1395" w:type="dxa"/>
            <w:vMerge w:val="continue"/>
            <w:tcBorders>
              <w:top w:val="nil"/>
              <w:right w:val="single" w:color="000000" w:sz="10"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83" w:type="dxa"/>
            <w:tcBorders>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jc w:val="center"/>
              <w:textAlignment w:val="baseline"/>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z w:val="20"/>
                <w:szCs w:val="20"/>
                <w:highlight w:val="none"/>
                <w:lang w:val="en-US" w:eastAsia="zh-CN"/>
              </w:rPr>
              <w:t>0</w:t>
            </w:r>
            <w:r>
              <w:rPr>
                <w:rFonts w:ascii="Times New Roman" w:hAnsi="Times New Roman" w:eastAsia="Times New Roman" w:cs="Times New Roman"/>
                <w:color w:val="auto"/>
                <w:sz w:val="20"/>
                <w:szCs w:val="20"/>
                <w:highlight w:val="none"/>
              </w:rPr>
              <w:t>3</w:t>
            </w:r>
          </w:p>
        </w:tc>
        <w:tc>
          <w:tcPr>
            <w:tcW w:w="728" w:type="dxa"/>
            <w:tcBorders>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jc w:val="center"/>
              <w:textAlignment w:val="baseline"/>
              <w:rPr>
                <w:rFonts w:ascii="宋体" w:hAnsi="宋体" w:eastAsia="宋体" w:cs="宋体"/>
                <w:color w:val="auto"/>
                <w:sz w:val="20"/>
                <w:szCs w:val="20"/>
                <w:highlight w:val="none"/>
              </w:rPr>
            </w:pPr>
            <w:r>
              <w:rPr>
                <w:rFonts w:hint="eastAsia" w:ascii="宋体" w:hAnsi="宋体" w:eastAsia="宋体" w:cs="宋体"/>
                <w:color w:val="auto"/>
                <w:spacing w:val="4"/>
                <w:sz w:val="20"/>
                <w:szCs w:val="20"/>
                <w:highlight w:val="none"/>
                <w:lang w:eastAsia="zh-CN"/>
              </w:rPr>
              <w:t>耕地</w:t>
            </w:r>
          </w:p>
        </w:tc>
        <w:tc>
          <w:tcPr>
            <w:tcW w:w="713"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jc w:val="center"/>
              <w:textAlignment w:val="baseline"/>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0</w:t>
            </w:r>
            <w:r>
              <w:rPr>
                <w:rFonts w:hint="eastAsia" w:ascii="Times New Roman" w:hAnsi="Times New Roman" w:eastAsia="宋体" w:cs="Times New Roman"/>
                <w:color w:val="auto"/>
                <w:spacing w:val="3"/>
                <w:sz w:val="20"/>
                <w:szCs w:val="20"/>
                <w:highlight w:val="none"/>
                <w:lang w:val="en-US" w:eastAsia="zh-CN"/>
              </w:rPr>
              <w:t>1</w:t>
            </w:r>
            <w:r>
              <w:rPr>
                <w:rFonts w:ascii="Times New Roman" w:hAnsi="Times New Roman" w:eastAsia="Times New Roman" w:cs="Times New Roman"/>
                <w:color w:val="auto"/>
                <w:spacing w:val="3"/>
                <w:sz w:val="20"/>
                <w:szCs w:val="20"/>
                <w:highlight w:val="none"/>
              </w:rPr>
              <w:t>0</w:t>
            </w:r>
            <w:r>
              <w:rPr>
                <w:rFonts w:hint="eastAsia" w:ascii="Times New Roman" w:hAnsi="Times New Roman" w:eastAsia="宋体" w:cs="Times New Roman"/>
                <w:color w:val="auto"/>
                <w:spacing w:val="2"/>
                <w:sz w:val="20"/>
                <w:szCs w:val="20"/>
                <w:highlight w:val="none"/>
                <w:lang w:val="en-US" w:eastAsia="zh-CN"/>
              </w:rPr>
              <w:t>3</w:t>
            </w:r>
          </w:p>
        </w:tc>
        <w:tc>
          <w:tcPr>
            <w:tcW w:w="1150"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jc w:val="center"/>
              <w:textAlignment w:val="baseline"/>
              <w:rPr>
                <w:rFonts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lang w:eastAsia="zh-CN"/>
              </w:rPr>
              <w:t>其他耕地</w:t>
            </w:r>
          </w:p>
        </w:tc>
        <w:tc>
          <w:tcPr>
            <w:tcW w:w="1615" w:type="dxa"/>
            <w:vAlign w:val="top"/>
          </w:tcPr>
          <w:p>
            <w:pPr>
              <w:spacing w:before="89" w:line="195" w:lineRule="auto"/>
              <w:ind w:left="758"/>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0</w:t>
            </w:r>
          </w:p>
        </w:tc>
        <w:tc>
          <w:tcPr>
            <w:tcW w:w="1500" w:type="dxa"/>
            <w:vAlign w:val="top"/>
          </w:tcPr>
          <w:p>
            <w:pPr>
              <w:spacing w:before="89" w:line="195" w:lineRule="auto"/>
              <w:ind w:left="705"/>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8.72</w:t>
            </w:r>
          </w:p>
        </w:tc>
        <w:tc>
          <w:tcPr>
            <w:tcW w:w="1498" w:type="dxa"/>
            <w:vAlign w:val="top"/>
          </w:tcPr>
          <w:p>
            <w:pPr>
              <w:spacing w:before="89" w:line="195" w:lineRule="auto"/>
              <w:ind w:left="705" w:leftChars="0"/>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z w:val="20"/>
                <w:szCs w:val="20"/>
                <w:highlight w:val="none"/>
                <w:lang w:val="en-US" w:eastAsia="zh-CN"/>
              </w:rPr>
              <w:t>8.72</w:t>
            </w:r>
          </w:p>
        </w:tc>
        <w:tc>
          <w:tcPr>
            <w:tcW w:w="1395" w:type="dxa"/>
            <w:tcBorders>
              <w:right w:val="single" w:color="000000" w:sz="10" w:space="0"/>
            </w:tcBorders>
            <w:vAlign w:val="top"/>
          </w:tcPr>
          <w:p>
            <w:pPr>
              <w:spacing w:before="89" w:line="198" w:lineRule="auto"/>
              <w:ind w:left="434"/>
              <w:rPr>
                <w:rFonts w:hint="default"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3"/>
                <w:sz w:val="20"/>
                <w:szCs w:val="20"/>
                <w:highlight w:val="none"/>
              </w:rPr>
              <w:t>-</w:t>
            </w:r>
            <w:r>
              <w:rPr>
                <w:rFonts w:hint="eastAsia" w:ascii="Times New Roman" w:hAnsi="Times New Roman" w:eastAsia="宋体" w:cs="Times New Roman"/>
                <w:color w:val="auto"/>
                <w:spacing w:val="3"/>
                <w:sz w:val="20"/>
                <w:szCs w:val="20"/>
                <w:highlight w:val="none"/>
                <w:lang w:val="en-US" w:eastAsia="zh-CN"/>
              </w:rPr>
              <w:t>3.1575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683" w:type="dxa"/>
            <w:tcBorders>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jc w:val="center"/>
              <w:textAlignment w:val="baseline"/>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pacing w:val="1"/>
                <w:sz w:val="20"/>
                <w:szCs w:val="20"/>
                <w:highlight w:val="none"/>
                <w:lang w:val="en-US" w:eastAsia="zh-CN"/>
              </w:rPr>
              <w:t>0</w:t>
            </w:r>
            <w:r>
              <w:rPr>
                <w:rFonts w:ascii="Times New Roman" w:hAnsi="Times New Roman" w:eastAsia="Times New Roman" w:cs="Times New Roman"/>
                <w:color w:val="auto"/>
                <w:spacing w:val="1"/>
                <w:sz w:val="20"/>
                <w:szCs w:val="20"/>
                <w:highlight w:val="none"/>
              </w:rPr>
              <w:t>4</w:t>
            </w:r>
          </w:p>
        </w:tc>
        <w:tc>
          <w:tcPr>
            <w:tcW w:w="728"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jc w:val="center"/>
              <w:textAlignment w:val="baseline"/>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草</w:t>
            </w:r>
            <w:r>
              <w:rPr>
                <w:rFonts w:ascii="宋体" w:hAnsi="宋体" w:eastAsia="宋体" w:cs="宋体"/>
                <w:color w:val="auto"/>
                <w:spacing w:val="3"/>
                <w:sz w:val="20"/>
                <w:szCs w:val="20"/>
                <w:highlight w:val="none"/>
              </w:rPr>
              <w:t>地</w:t>
            </w:r>
          </w:p>
        </w:tc>
        <w:tc>
          <w:tcPr>
            <w:tcW w:w="713"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jc w:val="center"/>
              <w:textAlignment w:val="baseline"/>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040</w:t>
            </w:r>
            <w:r>
              <w:rPr>
                <w:rFonts w:ascii="Times New Roman" w:hAnsi="Times New Roman" w:eastAsia="Times New Roman" w:cs="Times New Roman"/>
                <w:color w:val="auto"/>
                <w:spacing w:val="2"/>
                <w:sz w:val="20"/>
                <w:szCs w:val="20"/>
                <w:highlight w:val="none"/>
              </w:rPr>
              <w:t>4</w:t>
            </w:r>
          </w:p>
        </w:tc>
        <w:tc>
          <w:tcPr>
            <w:tcW w:w="1150"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jc w:val="center"/>
              <w:textAlignment w:val="baseline"/>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其他草地</w:t>
            </w:r>
          </w:p>
        </w:tc>
        <w:tc>
          <w:tcPr>
            <w:tcW w:w="1615" w:type="dxa"/>
            <w:vAlign w:val="top"/>
          </w:tcPr>
          <w:p>
            <w:pPr>
              <w:spacing w:before="111" w:line="195" w:lineRule="auto"/>
              <w:ind w:left="758"/>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0</w:t>
            </w:r>
          </w:p>
        </w:tc>
        <w:tc>
          <w:tcPr>
            <w:tcW w:w="1500" w:type="dxa"/>
            <w:vAlign w:val="top"/>
          </w:tcPr>
          <w:p>
            <w:pPr>
              <w:spacing w:before="111" w:line="198" w:lineRule="auto"/>
              <w:ind w:left="570"/>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13.215</w:t>
            </w:r>
          </w:p>
        </w:tc>
        <w:tc>
          <w:tcPr>
            <w:tcW w:w="1498" w:type="dxa"/>
            <w:vAlign w:val="top"/>
          </w:tcPr>
          <w:p>
            <w:pPr>
              <w:spacing w:before="111" w:line="198" w:lineRule="auto"/>
              <w:ind w:left="570" w:leftChars="0"/>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sz w:val="20"/>
                <w:szCs w:val="20"/>
                <w:highlight w:val="none"/>
                <w:lang w:val="en-US" w:eastAsia="zh-CN"/>
              </w:rPr>
              <w:t>13.215</w:t>
            </w:r>
          </w:p>
        </w:tc>
        <w:tc>
          <w:tcPr>
            <w:tcW w:w="1395" w:type="dxa"/>
            <w:tcBorders>
              <w:right w:val="single" w:color="000000" w:sz="10" w:space="0"/>
            </w:tcBorders>
            <w:vAlign w:val="top"/>
          </w:tcPr>
          <w:p>
            <w:pPr>
              <w:spacing w:before="111" w:line="198" w:lineRule="auto"/>
              <w:ind w:left="487"/>
              <w:rPr>
                <w:rFonts w:hint="default"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8"/>
                <w:sz w:val="20"/>
                <w:szCs w:val="20"/>
                <w:highlight w:val="none"/>
              </w:rPr>
              <w:t>-</w:t>
            </w:r>
            <w:r>
              <w:rPr>
                <w:rFonts w:ascii="Times New Roman" w:hAnsi="Times New Roman" w:eastAsia="Times New Roman" w:cs="Times New Roman"/>
                <w:color w:val="auto"/>
                <w:spacing w:val="-6"/>
                <w:sz w:val="20"/>
                <w:szCs w:val="20"/>
                <w:highlight w:val="none"/>
              </w:rPr>
              <w:t xml:space="preserve"> </w:t>
            </w:r>
            <w:r>
              <w:rPr>
                <w:rFonts w:hint="eastAsia" w:ascii="Times New Roman" w:hAnsi="Times New Roman" w:eastAsia="宋体" w:cs="Times New Roman"/>
                <w:color w:val="auto"/>
                <w:spacing w:val="-6"/>
                <w:sz w:val="20"/>
                <w:szCs w:val="20"/>
                <w:highlight w:val="none"/>
                <w:lang w:val="en-US" w:eastAsia="zh-CN"/>
              </w:rPr>
              <w:t>0.976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683" w:type="dxa"/>
            <w:tcBorders>
              <w:left w:val="single" w:color="000000" w:sz="10" w:space="0"/>
            </w:tcBorders>
            <w:vAlign w:val="top"/>
          </w:tcPr>
          <w:p>
            <w:pPr>
              <w:spacing w:before="88" w:line="195" w:lineRule="auto"/>
              <w:ind w:left="281"/>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6</w:t>
            </w:r>
          </w:p>
        </w:tc>
        <w:tc>
          <w:tcPr>
            <w:tcW w:w="728" w:type="dxa"/>
            <w:vAlign w:val="top"/>
          </w:tcPr>
          <w:p>
            <w:pPr>
              <w:spacing w:before="52" w:line="228" w:lineRule="auto"/>
              <w:ind w:left="153"/>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工</w:t>
            </w:r>
            <w:r>
              <w:rPr>
                <w:rFonts w:ascii="宋体" w:hAnsi="宋体" w:eastAsia="宋体" w:cs="宋体"/>
                <w:color w:val="auto"/>
                <w:spacing w:val="3"/>
                <w:sz w:val="20"/>
                <w:szCs w:val="20"/>
                <w:highlight w:val="none"/>
              </w:rPr>
              <w:t>矿</w:t>
            </w:r>
          </w:p>
        </w:tc>
        <w:tc>
          <w:tcPr>
            <w:tcW w:w="713" w:type="dxa"/>
            <w:vAlign w:val="top"/>
          </w:tcPr>
          <w:p>
            <w:pPr>
              <w:spacing w:before="88" w:line="195" w:lineRule="auto"/>
              <w:ind w:left="144"/>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4"/>
                <w:sz w:val="20"/>
                <w:szCs w:val="20"/>
                <w:highlight w:val="none"/>
              </w:rPr>
              <w:t>0</w:t>
            </w:r>
            <w:r>
              <w:rPr>
                <w:rFonts w:ascii="Times New Roman" w:hAnsi="Times New Roman" w:eastAsia="Times New Roman" w:cs="Times New Roman"/>
                <w:color w:val="auto"/>
                <w:spacing w:val="3"/>
                <w:sz w:val="20"/>
                <w:szCs w:val="20"/>
                <w:highlight w:val="none"/>
              </w:rPr>
              <w:t>601</w:t>
            </w:r>
          </w:p>
        </w:tc>
        <w:tc>
          <w:tcPr>
            <w:tcW w:w="1150" w:type="dxa"/>
            <w:vAlign w:val="top"/>
          </w:tcPr>
          <w:p>
            <w:pPr>
              <w:spacing w:before="52" w:line="228" w:lineRule="auto"/>
              <w:ind w:left="156"/>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工</w:t>
            </w:r>
            <w:r>
              <w:rPr>
                <w:rFonts w:ascii="宋体" w:hAnsi="宋体" w:eastAsia="宋体" w:cs="宋体"/>
                <w:color w:val="auto"/>
                <w:spacing w:val="6"/>
                <w:sz w:val="20"/>
                <w:szCs w:val="20"/>
                <w:highlight w:val="none"/>
              </w:rPr>
              <w:t>矿用地</w:t>
            </w:r>
          </w:p>
        </w:tc>
        <w:tc>
          <w:tcPr>
            <w:tcW w:w="1615" w:type="dxa"/>
            <w:vAlign w:val="top"/>
          </w:tcPr>
          <w:p>
            <w:pPr>
              <w:spacing w:before="88" w:line="198" w:lineRule="auto"/>
              <w:ind w:left="571"/>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pacing w:val="6"/>
                <w:sz w:val="20"/>
                <w:szCs w:val="20"/>
                <w:highlight w:val="none"/>
              </w:rPr>
              <w:t>3</w:t>
            </w:r>
            <w:r>
              <w:rPr>
                <w:rFonts w:hint="eastAsia" w:ascii="Times New Roman" w:hAnsi="Times New Roman" w:eastAsia="Times New Roman" w:cs="Times New Roman"/>
                <w:color w:val="auto"/>
                <w:spacing w:val="6"/>
                <w:sz w:val="20"/>
                <w:szCs w:val="20"/>
                <w:highlight w:val="none"/>
                <w:lang w:val="en-US" w:eastAsia="zh-CN"/>
              </w:rPr>
              <w:t>.</w:t>
            </w:r>
            <w:r>
              <w:rPr>
                <w:rFonts w:hint="eastAsia" w:ascii="Times New Roman" w:hAnsi="Times New Roman" w:eastAsia="Times New Roman" w:cs="Times New Roman"/>
                <w:color w:val="auto"/>
                <w:spacing w:val="6"/>
                <w:sz w:val="20"/>
                <w:szCs w:val="20"/>
                <w:highlight w:val="none"/>
              </w:rPr>
              <w:t>1575</w:t>
            </w:r>
          </w:p>
        </w:tc>
        <w:tc>
          <w:tcPr>
            <w:tcW w:w="1500" w:type="dxa"/>
            <w:vAlign w:val="top"/>
          </w:tcPr>
          <w:p>
            <w:pPr>
              <w:spacing w:before="88" w:line="198" w:lineRule="auto"/>
              <w:ind w:left="590"/>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pacing w:val="-2"/>
                <w:sz w:val="20"/>
                <w:szCs w:val="20"/>
                <w:highlight w:val="none"/>
                <w:lang w:val="en-US" w:eastAsia="zh-CN"/>
              </w:rPr>
              <w:t>0.976</w:t>
            </w:r>
          </w:p>
        </w:tc>
        <w:tc>
          <w:tcPr>
            <w:tcW w:w="1498" w:type="dxa"/>
            <w:vAlign w:val="top"/>
          </w:tcPr>
          <w:p>
            <w:pPr>
              <w:spacing w:before="88" w:line="195" w:lineRule="auto"/>
              <w:ind w:left="524"/>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spacing w:val="3"/>
                <w:sz w:val="20"/>
                <w:szCs w:val="20"/>
                <w:highlight w:val="none"/>
                <w:lang w:eastAsia="zh-CN"/>
              </w:rPr>
              <w:t>4.134</w:t>
            </w:r>
          </w:p>
        </w:tc>
        <w:tc>
          <w:tcPr>
            <w:tcW w:w="1395" w:type="dxa"/>
            <w:tcBorders>
              <w:right w:val="single" w:color="000000" w:sz="10" w:space="0"/>
            </w:tcBorders>
            <w:vAlign w:val="top"/>
          </w:tcPr>
          <w:p>
            <w:pPr>
              <w:spacing w:before="15" w:line="281" w:lineRule="exact"/>
              <w:ind w:left="406"/>
              <w:rPr>
                <w:rFonts w:hint="eastAsia" w:ascii="Times New Roman" w:hAnsi="Times New Roman" w:eastAsia="宋体" w:cs="Times New Roman"/>
                <w:color w:val="auto"/>
                <w:sz w:val="20"/>
                <w:szCs w:val="20"/>
                <w:highlight w:val="none"/>
                <w:lang w:eastAsia="zh-CN"/>
              </w:rPr>
            </w:pPr>
            <w:r>
              <w:rPr>
                <w:rFonts w:ascii="Times New Roman" w:hAnsi="Times New Roman" w:eastAsia="Times New Roman" w:cs="Times New Roman"/>
                <w:color w:val="auto"/>
                <w:spacing w:val="5"/>
                <w:position w:val="2"/>
                <w:sz w:val="20"/>
                <w:szCs w:val="20"/>
                <w:highlight w:val="none"/>
              </w:rPr>
              <w:t>+</w:t>
            </w:r>
            <w:r>
              <w:rPr>
                <w:rFonts w:hint="eastAsia" w:ascii="Times New Roman" w:hAnsi="Times New Roman" w:eastAsia="宋体" w:cs="Times New Roman"/>
                <w:color w:val="auto"/>
                <w:spacing w:val="4"/>
                <w:position w:val="2"/>
                <w:sz w:val="20"/>
                <w:szCs w:val="20"/>
                <w:highlight w:val="none"/>
                <w:lang w:eastAsia="zh-CN"/>
              </w:rPr>
              <w:t>4.134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274" w:type="dxa"/>
            <w:gridSpan w:val="4"/>
            <w:tcBorders>
              <w:left w:val="single" w:color="000000" w:sz="10" w:space="0"/>
            </w:tcBorders>
            <w:vAlign w:val="top"/>
          </w:tcPr>
          <w:p>
            <w:pPr>
              <w:spacing w:before="54" w:line="229" w:lineRule="auto"/>
              <w:ind w:left="1426"/>
              <w:rPr>
                <w:rFonts w:ascii="宋体" w:hAnsi="宋体" w:eastAsia="宋体" w:cs="宋体"/>
                <w:color w:val="auto"/>
                <w:sz w:val="20"/>
                <w:szCs w:val="20"/>
                <w:highlight w:val="none"/>
              </w:rPr>
            </w:pPr>
            <w:r>
              <w:rPr>
                <w:rFonts w:ascii="宋体" w:hAnsi="宋体" w:eastAsia="宋体" w:cs="宋体"/>
                <w:color w:val="auto"/>
                <w:spacing w:val="2"/>
                <w:sz w:val="20"/>
                <w:szCs w:val="20"/>
                <w:highlight w:val="none"/>
              </w:rPr>
              <w:t>总计</w:t>
            </w:r>
          </w:p>
        </w:tc>
        <w:tc>
          <w:tcPr>
            <w:tcW w:w="1615" w:type="dxa"/>
            <w:vAlign w:val="top"/>
          </w:tcPr>
          <w:p>
            <w:pPr>
              <w:spacing w:before="90" w:line="198" w:lineRule="auto"/>
              <w:ind w:left="571"/>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pacing w:val="6"/>
                <w:sz w:val="20"/>
                <w:szCs w:val="20"/>
                <w:highlight w:val="none"/>
              </w:rPr>
              <w:t>3</w:t>
            </w:r>
            <w:r>
              <w:rPr>
                <w:rFonts w:hint="eastAsia" w:ascii="Times New Roman" w:hAnsi="Times New Roman" w:eastAsia="Times New Roman" w:cs="Times New Roman"/>
                <w:color w:val="auto"/>
                <w:spacing w:val="6"/>
                <w:sz w:val="20"/>
                <w:szCs w:val="20"/>
                <w:highlight w:val="none"/>
                <w:lang w:val="en-US" w:eastAsia="zh-CN"/>
              </w:rPr>
              <w:t>.</w:t>
            </w:r>
            <w:r>
              <w:rPr>
                <w:rFonts w:hint="eastAsia" w:ascii="Times New Roman" w:hAnsi="Times New Roman" w:eastAsia="Times New Roman" w:cs="Times New Roman"/>
                <w:color w:val="auto"/>
                <w:spacing w:val="6"/>
                <w:sz w:val="20"/>
                <w:szCs w:val="20"/>
                <w:highlight w:val="none"/>
              </w:rPr>
              <w:t>1575</w:t>
            </w:r>
          </w:p>
        </w:tc>
        <w:tc>
          <w:tcPr>
            <w:tcW w:w="1500" w:type="dxa"/>
            <w:vAlign w:val="top"/>
          </w:tcPr>
          <w:p>
            <w:pPr>
              <w:spacing w:before="90" w:line="195" w:lineRule="auto"/>
              <w:ind w:left="59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z w:val="20"/>
                <w:szCs w:val="20"/>
                <w:highlight w:val="none"/>
                <w:lang w:val="en-US" w:eastAsia="zh-CN"/>
              </w:rPr>
              <w:fldChar w:fldCharType="begin"/>
            </w:r>
            <w:r>
              <w:rPr>
                <w:rFonts w:hint="eastAsia" w:ascii="Times New Roman" w:hAnsi="Times New Roman" w:eastAsia="Times New Roman" w:cs="Times New Roman"/>
                <w:color w:val="auto"/>
                <w:sz w:val="20"/>
                <w:szCs w:val="20"/>
                <w:highlight w:val="none"/>
                <w:lang w:val="en-US" w:eastAsia="zh-CN"/>
              </w:rPr>
              <w:instrText xml:space="preserve"> = sum(F3:F5) \* MERGEFORMAT </w:instrText>
            </w:r>
            <w:r>
              <w:rPr>
                <w:rFonts w:hint="eastAsia" w:ascii="Times New Roman" w:hAnsi="Times New Roman" w:eastAsia="Times New Roman" w:cs="Times New Roman"/>
                <w:color w:val="auto"/>
                <w:sz w:val="20"/>
                <w:szCs w:val="20"/>
                <w:highlight w:val="none"/>
                <w:lang w:val="en-US" w:eastAsia="zh-CN"/>
              </w:rPr>
              <w:fldChar w:fldCharType="separate"/>
            </w:r>
            <w:r>
              <w:rPr>
                <w:rFonts w:hint="eastAsia" w:ascii="Times New Roman" w:hAnsi="Times New Roman" w:eastAsia="Times New Roman" w:cs="Times New Roman"/>
                <w:color w:val="auto"/>
                <w:sz w:val="20"/>
                <w:szCs w:val="20"/>
                <w:highlight w:val="none"/>
                <w:lang w:val="en-US" w:eastAsia="zh-CN"/>
              </w:rPr>
              <w:t>22.911</w:t>
            </w:r>
            <w:r>
              <w:rPr>
                <w:rFonts w:hint="eastAsia" w:ascii="Times New Roman" w:hAnsi="Times New Roman" w:eastAsia="Times New Roman" w:cs="Times New Roman"/>
                <w:color w:val="auto"/>
                <w:sz w:val="20"/>
                <w:szCs w:val="20"/>
                <w:highlight w:val="none"/>
                <w:lang w:val="en-US" w:eastAsia="zh-CN"/>
              </w:rPr>
              <w:fldChar w:fldCharType="end"/>
            </w:r>
          </w:p>
        </w:tc>
        <w:tc>
          <w:tcPr>
            <w:tcW w:w="1498" w:type="dxa"/>
            <w:vAlign w:val="top"/>
          </w:tcPr>
          <w:p>
            <w:pPr>
              <w:spacing w:before="90" w:line="195" w:lineRule="auto"/>
              <w:ind w:left="489"/>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sz w:val="20"/>
                <w:szCs w:val="20"/>
                <w:highlight w:val="none"/>
                <w:lang w:eastAsia="zh-CN"/>
              </w:rPr>
              <w:fldChar w:fldCharType="begin"/>
            </w:r>
            <w:r>
              <w:rPr>
                <w:rFonts w:hint="eastAsia" w:ascii="Times New Roman" w:hAnsi="Times New Roman" w:eastAsia="宋体" w:cs="Times New Roman"/>
                <w:color w:val="auto"/>
                <w:sz w:val="20"/>
                <w:szCs w:val="20"/>
                <w:highlight w:val="none"/>
                <w:lang w:eastAsia="zh-CN"/>
              </w:rPr>
              <w:instrText xml:space="preserve"> = sum(G3:G5) \* MERGEFORMAT </w:instrText>
            </w:r>
            <w:r>
              <w:rPr>
                <w:rFonts w:hint="eastAsia" w:ascii="Times New Roman" w:hAnsi="Times New Roman" w:eastAsia="宋体" w:cs="Times New Roman"/>
                <w:color w:val="auto"/>
                <w:sz w:val="20"/>
                <w:szCs w:val="20"/>
                <w:highlight w:val="none"/>
                <w:lang w:eastAsia="zh-CN"/>
              </w:rPr>
              <w:fldChar w:fldCharType="separate"/>
            </w:r>
            <w:r>
              <w:rPr>
                <w:rFonts w:hint="eastAsia" w:ascii="Times New Roman" w:hAnsi="Times New Roman" w:eastAsia="宋体" w:cs="Times New Roman"/>
                <w:color w:val="auto"/>
                <w:sz w:val="20"/>
                <w:szCs w:val="20"/>
                <w:highlight w:val="none"/>
                <w:lang w:eastAsia="zh-CN"/>
              </w:rPr>
              <w:t>26.069</w:t>
            </w:r>
            <w:r>
              <w:rPr>
                <w:rFonts w:hint="eastAsia" w:ascii="Times New Roman" w:hAnsi="Times New Roman" w:eastAsia="宋体" w:cs="Times New Roman"/>
                <w:color w:val="auto"/>
                <w:sz w:val="20"/>
                <w:szCs w:val="20"/>
                <w:highlight w:val="none"/>
                <w:lang w:eastAsia="zh-CN"/>
              </w:rPr>
              <w:fldChar w:fldCharType="end"/>
            </w:r>
          </w:p>
        </w:tc>
        <w:tc>
          <w:tcPr>
            <w:tcW w:w="1395" w:type="dxa"/>
            <w:tcBorders>
              <w:right w:val="single" w:color="000000" w:sz="10" w:space="0"/>
            </w:tcBorders>
            <w:vAlign w:val="top"/>
          </w:tcPr>
          <w:p>
            <w:pPr>
              <w:spacing w:before="90" w:line="195" w:lineRule="auto"/>
              <w:ind w:left="654"/>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0</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工程建设永久占地和临时占地均占用一定面积的土地，使评价区范围内的各种土地 现状面积发生变化，导致区域自然生态体系生产能力和稳定状况发生改变，对本区域生 态完整性产生一定影响。工程永久占地包括汇集站占地和输电线路塔基占地，临时占地 主要包括输电线路塔基施工场地、临时道路等占地。本工程总占地面积 26.069hm2 ，其中永久占地 4.134hm2 ，施工临时占地21.935hm2 。从表5. 1-3 和表 5. 1-4 对比可知，本工程施工前后占地类型变化主要有耕地、草地改变为工矿用地，工矿用地新增占地面积为4.134hm²；工程占地范围内耕地和其他草地占地面积均减少，耕地占地面积减少3.1575hm²、其他草地占地面积减少0.976hm²。</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本工程永久占地、临时占地面积很小，对土地利用结构影响极其轻微。本工程汇集 站为新建，对生态和周围景观无影响。塔基永久占地面积小，且建成后塔基下方可以进 行植被恢复，对土地利用结构影响极其轻微。工程施工临时占地在施工结束后会进行恢 复，不会带来明显的土地利用结构与功能的变化。</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66" w:name="_bookmark105"/>
      <w:bookmarkEnd w:id="66"/>
      <w:bookmarkStart w:id="67" w:name="_Toc274"/>
      <w:r>
        <w:rPr>
          <w:rFonts w:hint="eastAsia" w:ascii="Times New Roman" w:hAnsi="Times New Roman" w:eastAsia="宋体" w:cs="Times New Roman"/>
          <w:snapToGrid/>
          <w:kern w:val="0"/>
          <w:sz w:val="24"/>
          <w:szCs w:val="24"/>
          <w:highlight w:val="none"/>
          <w:lang w:val="en-US" w:eastAsia="zh-CN" w:bidi="ar"/>
        </w:rPr>
        <w:t>5.1.3    植物及植被影响分析</w:t>
      </w:r>
      <w:bookmarkEnd w:id="67"/>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( 1)对植被类型的影响分析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本工程汇集站新建，对新增征地会产生植被破坏。输电线路施工会对占地区内植被 造成破坏，工程建成会对区内植被类型产生一定的影响，根据 HJ19-2022 要求采用生态机理分析法进行植被类型影响分析。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工程施工期前对评价区植被类型现状的影响程度见表 5. 1-5 、工程施工后对评价区 植被类型现状的影响程度见表 5. 1-6。</w:t>
      </w:r>
    </w:p>
    <w:p>
      <w:pPr>
        <w:spacing w:before="1" w:line="221" w:lineRule="auto"/>
        <w:ind w:left="2639"/>
        <w:rPr>
          <w:rFonts w:ascii="宋体" w:hAnsi="宋体" w:eastAsia="宋体" w:cs="宋体"/>
          <w:color w:val="auto"/>
          <w:sz w:val="23"/>
          <w:szCs w:val="23"/>
          <w:highlight w:val="none"/>
        </w:rPr>
      </w:pPr>
      <w:r>
        <w:rPr>
          <w:rFonts w:ascii="宋体" w:hAnsi="宋体" w:eastAsia="宋体" w:cs="宋体"/>
          <w:color w:val="auto"/>
          <w:spacing w:val="8"/>
          <w:sz w:val="23"/>
          <w:szCs w:val="23"/>
          <w:highlight w:val="none"/>
          <w14:textOutline w14:w="4358" w14:cap="sq" w14:cmpd="sng">
            <w14:solidFill>
              <w14:srgbClr w14:val="000000"/>
            </w14:solidFill>
            <w14:prstDash w14:val="solid"/>
            <w14:bevel/>
          </w14:textOutline>
        </w:rPr>
        <w:t>表</w:t>
      </w:r>
      <w:r>
        <w:rPr>
          <w:rFonts w:ascii="宋体" w:hAnsi="宋体" w:eastAsia="宋体" w:cs="宋体"/>
          <w:color w:val="auto"/>
          <w:spacing w:val="8"/>
          <w:sz w:val="23"/>
          <w:szCs w:val="23"/>
          <w:highlight w:val="none"/>
        </w:rPr>
        <w:t xml:space="preserve"> </w:t>
      </w:r>
      <w:r>
        <w:rPr>
          <w:rFonts w:ascii="Times New Roman" w:hAnsi="Times New Roman" w:eastAsia="Times New Roman" w:cs="Times New Roman"/>
          <w:b/>
          <w:bCs/>
          <w:color w:val="auto"/>
          <w:spacing w:val="8"/>
          <w:sz w:val="23"/>
          <w:szCs w:val="23"/>
          <w:highlight w:val="none"/>
        </w:rPr>
        <w:t>5</w:t>
      </w:r>
      <w:r>
        <w:rPr>
          <w:rFonts w:ascii="Times New Roman" w:hAnsi="Times New Roman" w:eastAsia="Times New Roman" w:cs="Times New Roman"/>
          <w:b/>
          <w:bCs/>
          <w:color w:val="auto"/>
          <w:spacing w:val="5"/>
          <w:sz w:val="23"/>
          <w:szCs w:val="23"/>
          <w:highlight w:val="none"/>
        </w:rPr>
        <w:t>.</w:t>
      </w:r>
      <w:r>
        <w:rPr>
          <w:rFonts w:ascii="Times New Roman" w:hAnsi="Times New Roman" w:eastAsia="Times New Roman" w:cs="Times New Roman"/>
          <w:b/>
          <w:bCs/>
          <w:color w:val="auto"/>
          <w:spacing w:val="4"/>
          <w:sz w:val="23"/>
          <w:szCs w:val="23"/>
          <w:highlight w:val="none"/>
        </w:rPr>
        <w:t>1-5</w:t>
      </w:r>
      <w:r>
        <w:rPr>
          <w:rFonts w:ascii="Times New Roman" w:hAnsi="Times New Roman" w:eastAsia="Times New Roman" w:cs="Times New Roman"/>
          <w:color w:val="auto"/>
          <w:spacing w:val="4"/>
          <w:sz w:val="23"/>
          <w:szCs w:val="23"/>
          <w:highlight w:val="none"/>
        </w:rPr>
        <w:t xml:space="preserve">      </w:t>
      </w:r>
      <w:r>
        <w:rPr>
          <w:rFonts w:ascii="宋体" w:hAnsi="宋体" w:eastAsia="宋体" w:cs="宋体"/>
          <w:color w:val="auto"/>
          <w:spacing w:val="4"/>
          <w:sz w:val="23"/>
          <w:szCs w:val="23"/>
          <w:highlight w:val="none"/>
          <w14:textOutline w14:w="4358" w14:cap="sq" w14:cmpd="sng">
            <w14:solidFill>
              <w14:srgbClr w14:val="000000"/>
            </w14:solidFill>
            <w14:prstDash w14:val="solid"/>
            <w14:bevel/>
          </w14:textOutline>
        </w:rPr>
        <w:t>工程占地前植被类型现状表</w:t>
      </w:r>
    </w:p>
    <w:tbl>
      <w:tblPr>
        <w:tblStyle w:val="20"/>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02"/>
        <w:gridCol w:w="2344"/>
        <w:gridCol w:w="2186"/>
        <w:gridCol w:w="18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2902" w:type="dxa"/>
            <w:vMerge w:val="restart"/>
            <w:tcBorders>
              <w:left w:val="single" w:color="000000" w:sz="10" w:space="0"/>
              <w:bottom w:val="nil"/>
            </w:tcBorders>
            <w:vAlign w:val="top"/>
          </w:tcPr>
          <w:p>
            <w:pPr>
              <w:spacing w:line="326" w:lineRule="auto"/>
              <w:rPr>
                <w:rFonts w:ascii="Arial"/>
                <w:color w:val="auto"/>
                <w:sz w:val="21"/>
                <w:highlight w:val="none"/>
              </w:rPr>
            </w:pPr>
          </w:p>
          <w:p>
            <w:pPr>
              <w:spacing w:before="65" w:line="228" w:lineRule="auto"/>
              <w:ind w:left="1023"/>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14:textOutline w14:w="3795" w14:cap="sq" w14:cmpd="sng">
                  <w14:solidFill>
                    <w14:srgbClr w14:val="000000"/>
                  </w14:solidFill>
                  <w14:prstDash w14:val="solid"/>
                  <w14:bevel/>
                </w14:textOutline>
              </w:rPr>
              <w:t>植</w:t>
            </w:r>
            <w:r>
              <w:rPr>
                <w:rFonts w:ascii="宋体" w:hAnsi="宋体" w:eastAsia="宋体" w:cs="宋体"/>
                <w:color w:val="auto"/>
                <w:spacing w:val="8"/>
                <w:sz w:val="20"/>
                <w:szCs w:val="20"/>
                <w:highlight w:val="none"/>
                <w14:textOutline w14:w="3795" w14:cap="sq" w14:cmpd="sng">
                  <w14:solidFill>
                    <w14:srgbClr w14:val="000000"/>
                  </w14:solidFill>
                  <w14:prstDash w14:val="solid"/>
                  <w14:bevel/>
                </w14:textOutline>
              </w:rPr>
              <w:t>被类型</w:t>
            </w:r>
          </w:p>
        </w:tc>
        <w:tc>
          <w:tcPr>
            <w:tcW w:w="6380" w:type="dxa"/>
            <w:gridSpan w:val="3"/>
            <w:tcBorders>
              <w:right w:val="single" w:color="000000" w:sz="10" w:space="0"/>
            </w:tcBorders>
            <w:vAlign w:val="top"/>
          </w:tcPr>
          <w:p>
            <w:pPr>
              <w:spacing w:before="76" w:line="228" w:lineRule="auto"/>
              <w:ind w:left="2278"/>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14:textOutline w14:w="3795" w14:cap="sq" w14:cmpd="sng">
                  <w14:solidFill>
                    <w14:srgbClr w14:val="000000"/>
                  </w14:solidFill>
                  <w14:prstDash w14:val="solid"/>
                  <w14:bevel/>
                </w14:textOutline>
              </w:rPr>
              <w:t>占地区植被类型类</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902" w:type="dxa"/>
            <w:vMerge w:val="continue"/>
            <w:tcBorders>
              <w:top w:val="nil"/>
              <w:left w:val="single" w:color="000000" w:sz="10" w:space="0"/>
            </w:tcBorders>
            <w:vAlign w:val="top"/>
          </w:tcPr>
          <w:p>
            <w:pPr>
              <w:rPr>
                <w:rFonts w:ascii="Arial"/>
                <w:color w:val="auto"/>
                <w:sz w:val="21"/>
                <w:highlight w:val="none"/>
              </w:rPr>
            </w:pPr>
          </w:p>
        </w:tc>
        <w:tc>
          <w:tcPr>
            <w:tcW w:w="2344" w:type="dxa"/>
            <w:vAlign w:val="top"/>
          </w:tcPr>
          <w:p>
            <w:pPr>
              <w:spacing w:before="11" w:line="289" w:lineRule="exact"/>
              <w:ind w:left="330"/>
              <w:rPr>
                <w:rFonts w:ascii="宋体" w:hAnsi="宋体" w:eastAsia="宋体" w:cs="宋体"/>
                <w:color w:val="auto"/>
                <w:sz w:val="20"/>
                <w:szCs w:val="20"/>
                <w:highlight w:val="none"/>
              </w:rPr>
            </w:pPr>
            <w:r>
              <w:rPr>
                <w:rFonts w:ascii="Times New Roman" w:hAnsi="Times New Roman" w:eastAsia="Times New Roman" w:cs="Times New Roman"/>
                <w:b/>
                <w:bCs/>
                <w:color w:val="auto"/>
                <w:spacing w:val="10"/>
                <w:position w:val="1"/>
                <w:sz w:val="20"/>
                <w:szCs w:val="20"/>
                <w:highlight w:val="none"/>
              </w:rPr>
              <w:t>5</w:t>
            </w:r>
            <w:r>
              <w:rPr>
                <w:rFonts w:ascii="Times New Roman" w:hAnsi="Times New Roman" w:eastAsia="Times New Roman" w:cs="Times New Roman"/>
                <w:b/>
                <w:bCs/>
                <w:color w:val="auto"/>
                <w:spacing w:val="8"/>
                <w:position w:val="1"/>
                <w:sz w:val="20"/>
                <w:szCs w:val="20"/>
                <w:highlight w:val="none"/>
              </w:rPr>
              <w:t>00</w:t>
            </w:r>
            <w:r>
              <w:rPr>
                <w:rFonts w:ascii="Times New Roman" w:hAnsi="Times New Roman" w:eastAsia="Times New Roman" w:cs="Times New Roman"/>
                <w:b/>
                <w:bCs/>
                <w:color w:val="auto"/>
                <w:position w:val="1"/>
                <w:sz w:val="20"/>
                <w:szCs w:val="20"/>
                <w:highlight w:val="none"/>
              </w:rPr>
              <w:t>kV</w:t>
            </w:r>
            <w:r>
              <w:rPr>
                <w:rFonts w:ascii="Times New Roman" w:hAnsi="Times New Roman" w:eastAsia="Times New Roman" w:cs="Times New Roman"/>
                <w:color w:val="auto"/>
                <w:spacing w:val="8"/>
                <w:position w:val="1"/>
                <w:sz w:val="20"/>
                <w:szCs w:val="20"/>
                <w:highlight w:val="none"/>
              </w:rPr>
              <w:t xml:space="preserve"> </w:t>
            </w:r>
            <w:r>
              <w:rPr>
                <w:rFonts w:ascii="宋体" w:hAnsi="宋体" w:eastAsia="宋体" w:cs="宋体"/>
                <w:color w:val="auto"/>
                <w:spacing w:val="8"/>
                <w:position w:val="1"/>
                <w:sz w:val="20"/>
                <w:szCs w:val="20"/>
                <w:highlight w:val="none"/>
                <w14:textOutline w14:w="3795" w14:cap="sq" w14:cmpd="sng">
                  <w14:solidFill>
                    <w14:srgbClr w14:val="000000"/>
                  </w14:solidFill>
                  <w14:prstDash w14:val="solid"/>
                  <w14:bevel/>
                </w14:textOutline>
              </w:rPr>
              <w:t>汇集站面积</w:t>
            </w:r>
          </w:p>
          <w:p>
            <w:pPr>
              <w:spacing w:before="23" w:line="289" w:lineRule="exact"/>
              <w:ind w:left="795"/>
              <w:rPr>
                <w:rFonts w:ascii="宋体" w:hAnsi="宋体" w:eastAsia="宋体" w:cs="宋体"/>
                <w:color w:val="auto"/>
                <w:sz w:val="20"/>
                <w:szCs w:val="20"/>
                <w:highlight w:val="none"/>
              </w:rPr>
            </w:pPr>
            <w:r>
              <w:rPr>
                <w:rFonts w:ascii="宋体" w:hAnsi="宋体" w:eastAsia="宋体" w:cs="宋体"/>
                <w:color w:val="auto"/>
                <w:spacing w:val="27"/>
                <w:position w:val="1"/>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position w:val="1"/>
                <w:sz w:val="20"/>
                <w:szCs w:val="20"/>
                <w:highlight w:val="none"/>
              </w:rPr>
              <w:t>hm</w:t>
            </w:r>
            <w:r>
              <w:rPr>
                <w:rFonts w:ascii="Times New Roman" w:hAnsi="Times New Roman" w:eastAsia="Times New Roman" w:cs="Times New Roman"/>
                <w:b/>
                <w:bCs/>
                <w:color w:val="auto"/>
                <w:spacing w:val="27"/>
                <w:position w:val="7"/>
                <w:sz w:val="13"/>
                <w:szCs w:val="13"/>
                <w:highlight w:val="none"/>
              </w:rPr>
              <w:t>2</w:t>
            </w:r>
            <w:r>
              <w:rPr>
                <w:rFonts w:ascii="Times New Roman" w:hAnsi="Times New Roman" w:eastAsia="Times New Roman" w:cs="Times New Roman"/>
                <w:color w:val="auto"/>
                <w:spacing w:val="27"/>
                <w:position w:val="7"/>
                <w:sz w:val="13"/>
                <w:szCs w:val="13"/>
                <w:highlight w:val="none"/>
              </w:rPr>
              <w:t xml:space="preserve"> </w:t>
            </w:r>
            <w:r>
              <w:rPr>
                <w:rFonts w:ascii="宋体" w:hAnsi="宋体" w:eastAsia="宋体" w:cs="宋体"/>
                <w:color w:val="auto"/>
                <w:spacing w:val="26"/>
                <w:position w:val="1"/>
                <w:sz w:val="20"/>
                <w:szCs w:val="20"/>
                <w:highlight w:val="none"/>
                <w14:textOutline w14:w="3795" w14:cap="sq" w14:cmpd="sng">
                  <w14:solidFill>
                    <w14:srgbClr w14:val="000000"/>
                  </w14:solidFill>
                  <w14:prstDash w14:val="solid"/>
                  <w14:bevel/>
                </w14:textOutline>
              </w:rPr>
              <w:t>)</w:t>
            </w:r>
          </w:p>
        </w:tc>
        <w:tc>
          <w:tcPr>
            <w:tcW w:w="2186" w:type="dxa"/>
            <w:vAlign w:val="top"/>
          </w:tcPr>
          <w:p>
            <w:pPr>
              <w:spacing w:before="167" w:line="289" w:lineRule="exact"/>
              <w:ind w:left="115"/>
              <w:rPr>
                <w:rFonts w:ascii="宋体" w:hAnsi="宋体" w:eastAsia="宋体" w:cs="宋体"/>
                <w:color w:val="auto"/>
                <w:sz w:val="20"/>
                <w:szCs w:val="20"/>
                <w:highlight w:val="none"/>
              </w:rPr>
            </w:pPr>
            <w:r>
              <w:rPr>
                <w:rFonts w:ascii="宋体" w:hAnsi="宋体" w:eastAsia="宋体" w:cs="宋体"/>
                <w:color w:val="auto"/>
                <w:spacing w:val="11"/>
                <w:position w:val="1"/>
                <w:sz w:val="20"/>
                <w:szCs w:val="20"/>
                <w:highlight w:val="none"/>
                <w14:textOutline w14:w="3795" w14:cap="sq" w14:cmpd="sng">
                  <w14:solidFill>
                    <w14:srgbClr w14:val="000000"/>
                  </w14:solidFill>
                  <w14:prstDash w14:val="solid"/>
                  <w14:bevel/>
                </w14:textOutline>
              </w:rPr>
              <w:t>输</w:t>
            </w:r>
            <w:r>
              <w:rPr>
                <w:rFonts w:ascii="宋体" w:hAnsi="宋体" w:eastAsia="宋体" w:cs="宋体"/>
                <w:color w:val="auto"/>
                <w:spacing w:val="8"/>
                <w:position w:val="1"/>
                <w:sz w:val="20"/>
                <w:szCs w:val="20"/>
                <w:highlight w:val="none"/>
                <w14:textOutline w14:w="3795" w14:cap="sq" w14:cmpd="sng">
                  <w14:solidFill>
                    <w14:srgbClr w14:val="000000"/>
                  </w14:solidFill>
                  <w14:prstDash w14:val="solid"/>
                  <w14:bevel/>
                </w14:textOutline>
              </w:rPr>
              <w:t>电线路工程</w:t>
            </w:r>
            <w:r>
              <w:rPr>
                <w:rFonts w:ascii="宋体" w:hAnsi="宋体" w:eastAsia="宋体" w:cs="宋体"/>
                <w:color w:val="auto"/>
                <w:spacing w:val="8"/>
                <w:position w:val="1"/>
                <w:sz w:val="20"/>
                <w:szCs w:val="20"/>
                <w:highlight w:val="none"/>
              </w:rPr>
              <w:t xml:space="preserve"> </w:t>
            </w:r>
            <w:r>
              <w:rPr>
                <w:rFonts w:ascii="宋体" w:hAnsi="宋体" w:eastAsia="宋体" w:cs="宋体"/>
                <w:color w:val="auto"/>
                <w:spacing w:val="8"/>
                <w:position w:val="1"/>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position w:val="1"/>
                <w:sz w:val="20"/>
                <w:szCs w:val="20"/>
                <w:highlight w:val="none"/>
              </w:rPr>
              <w:t>hm</w:t>
            </w:r>
            <w:r>
              <w:rPr>
                <w:rFonts w:ascii="宋体" w:hAnsi="宋体" w:eastAsia="宋体" w:cs="宋体"/>
                <w:color w:val="auto"/>
                <w:spacing w:val="8"/>
                <w:position w:val="1"/>
                <w:sz w:val="20"/>
                <w:szCs w:val="20"/>
                <w:highlight w:val="none"/>
                <w14:textOutline w14:w="3795" w14:cap="sq" w14:cmpd="sng">
                  <w14:solidFill>
                    <w14:srgbClr w14:val="000000"/>
                  </w14:solidFill>
                  <w14:prstDash w14:val="solid"/>
                  <w14:bevel/>
                </w14:textOutline>
              </w:rPr>
              <w:t>²)</w:t>
            </w:r>
          </w:p>
        </w:tc>
        <w:tc>
          <w:tcPr>
            <w:tcW w:w="1850" w:type="dxa"/>
            <w:tcBorders>
              <w:right w:val="single" w:color="000000" w:sz="10" w:space="0"/>
            </w:tcBorders>
            <w:vAlign w:val="top"/>
          </w:tcPr>
          <w:p>
            <w:pPr>
              <w:spacing w:before="208" w:line="229" w:lineRule="auto"/>
              <w:ind w:left="722"/>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14:textOutline w14:w="3795" w14:cap="sq" w14:cmpd="sng">
                  <w14:solidFill>
                    <w14:srgbClr w14:val="000000"/>
                  </w14:solidFill>
                  <w14:prstDash w14:val="solid"/>
                  <w14:bevel/>
                </w14:textOutline>
              </w:rPr>
              <w:t>合</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02" w:type="dxa"/>
            <w:tcBorders>
              <w:left w:val="single" w:color="000000" w:sz="10" w:space="0"/>
            </w:tcBorders>
            <w:vAlign w:val="top"/>
          </w:tcPr>
          <w:p>
            <w:pPr>
              <w:spacing w:before="52" w:line="228" w:lineRule="auto"/>
              <w:ind w:left="105"/>
              <w:jc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spacing w:val="8"/>
                <w:sz w:val="20"/>
                <w:szCs w:val="20"/>
                <w:highlight w:val="none"/>
                <w:lang w:eastAsia="zh-CN"/>
              </w:rPr>
              <w:t>玉米</w:t>
            </w:r>
          </w:p>
        </w:tc>
        <w:tc>
          <w:tcPr>
            <w:tcW w:w="2344" w:type="dxa"/>
            <w:vAlign w:val="top"/>
          </w:tcPr>
          <w:p>
            <w:pPr>
              <w:spacing w:before="88" w:line="198" w:lineRule="auto"/>
              <w:ind w:left="664"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pacing w:val="4"/>
                <w:sz w:val="20"/>
                <w:szCs w:val="20"/>
                <w:highlight w:val="none"/>
              </w:rPr>
              <w:t>3</w:t>
            </w:r>
            <w:r>
              <w:rPr>
                <w:rFonts w:hint="eastAsia" w:ascii="Times New Roman" w:hAnsi="Times New Roman" w:eastAsia="宋体" w:cs="Times New Roman"/>
                <w:color w:val="auto"/>
                <w:spacing w:val="4"/>
                <w:sz w:val="20"/>
                <w:szCs w:val="20"/>
                <w:highlight w:val="none"/>
                <w:lang w:val="en-US" w:eastAsia="zh-CN"/>
              </w:rPr>
              <w:t>.</w:t>
            </w:r>
            <w:r>
              <w:rPr>
                <w:rFonts w:hint="eastAsia" w:ascii="Times New Roman" w:hAnsi="Times New Roman" w:eastAsia="Times New Roman" w:cs="Times New Roman"/>
                <w:color w:val="auto"/>
                <w:spacing w:val="4"/>
                <w:sz w:val="20"/>
                <w:szCs w:val="20"/>
                <w:highlight w:val="none"/>
              </w:rPr>
              <w:t>1575</w:t>
            </w:r>
          </w:p>
        </w:tc>
        <w:tc>
          <w:tcPr>
            <w:tcW w:w="2186" w:type="dxa"/>
            <w:vAlign w:val="top"/>
          </w:tcPr>
          <w:p>
            <w:pPr>
              <w:spacing w:before="88" w:line="195" w:lineRule="auto"/>
              <w:ind w:left="797"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z w:val="20"/>
                <w:szCs w:val="20"/>
                <w:highlight w:val="none"/>
              </w:rPr>
              <w:t>9.1755</w:t>
            </w:r>
          </w:p>
        </w:tc>
        <w:tc>
          <w:tcPr>
            <w:tcW w:w="1850" w:type="dxa"/>
            <w:tcBorders>
              <w:right w:val="single" w:color="000000" w:sz="10" w:space="0"/>
            </w:tcBorders>
            <w:vAlign w:val="top"/>
          </w:tcPr>
          <w:p>
            <w:pPr>
              <w:spacing w:before="88" w:line="198" w:lineRule="auto"/>
              <w:ind w:left="478"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z w:val="20"/>
                <w:szCs w:val="20"/>
                <w:highlight w:val="none"/>
              </w:rPr>
              <w:t>12.333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02" w:type="dxa"/>
            <w:tcBorders>
              <w:left w:val="single" w:color="000000" w:sz="10" w:space="0"/>
            </w:tcBorders>
            <w:vAlign w:val="top"/>
          </w:tcPr>
          <w:p>
            <w:pPr>
              <w:spacing w:before="53" w:line="228" w:lineRule="auto"/>
              <w:ind w:left="107"/>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rPr>
              <w:t>草</w:t>
            </w:r>
            <w:r>
              <w:rPr>
                <w:rFonts w:ascii="宋体" w:hAnsi="宋体" w:eastAsia="宋体" w:cs="宋体"/>
                <w:color w:val="auto"/>
                <w:spacing w:val="9"/>
                <w:sz w:val="20"/>
                <w:szCs w:val="20"/>
                <w:highlight w:val="none"/>
              </w:rPr>
              <w:t>丛</w:t>
            </w:r>
            <w:r>
              <w:rPr>
                <w:rFonts w:ascii="宋体" w:hAnsi="宋体" w:eastAsia="宋体" w:cs="宋体"/>
                <w:color w:val="auto"/>
                <w:spacing w:val="7"/>
                <w:sz w:val="20"/>
                <w:szCs w:val="20"/>
                <w:highlight w:val="none"/>
              </w:rPr>
              <w:t xml:space="preserve"> (</w:t>
            </w:r>
            <w:r>
              <w:rPr>
                <w:rFonts w:hint="eastAsia" w:ascii="宋体" w:hAnsi="宋体" w:eastAsia="宋体" w:cs="宋体"/>
                <w:color w:val="auto"/>
                <w:spacing w:val="7"/>
                <w:sz w:val="20"/>
                <w:szCs w:val="20"/>
                <w:highlight w:val="none"/>
                <w:lang w:eastAsia="zh-CN"/>
              </w:rPr>
              <w:t>羊草、狼尾草等</w:t>
            </w:r>
            <w:r>
              <w:rPr>
                <w:rFonts w:ascii="宋体" w:hAnsi="宋体" w:eastAsia="宋体" w:cs="宋体"/>
                <w:color w:val="auto"/>
                <w:spacing w:val="7"/>
                <w:sz w:val="20"/>
                <w:szCs w:val="20"/>
                <w:highlight w:val="none"/>
              </w:rPr>
              <w:t>)</w:t>
            </w:r>
          </w:p>
        </w:tc>
        <w:tc>
          <w:tcPr>
            <w:tcW w:w="2344" w:type="dxa"/>
            <w:vAlign w:val="top"/>
          </w:tcPr>
          <w:p>
            <w:pPr>
              <w:spacing w:before="89" w:line="195" w:lineRule="auto"/>
              <w:ind w:left="853" w:leftChars="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0</w:t>
            </w:r>
          </w:p>
        </w:tc>
        <w:tc>
          <w:tcPr>
            <w:tcW w:w="2186" w:type="dxa"/>
            <w:vAlign w:val="top"/>
          </w:tcPr>
          <w:p>
            <w:pPr>
              <w:spacing w:before="89" w:line="198" w:lineRule="auto"/>
              <w:ind w:left="660"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z w:val="20"/>
                <w:szCs w:val="20"/>
                <w:highlight w:val="none"/>
                <w:lang w:eastAsia="zh-CN"/>
              </w:rPr>
              <w:t>13.735</w:t>
            </w:r>
          </w:p>
        </w:tc>
        <w:tc>
          <w:tcPr>
            <w:tcW w:w="1850" w:type="dxa"/>
            <w:tcBorders>
              <w:right w:val="single" w:color="000000" w:sz="10" w:space="0"/>
            </w:tcBorders>
            <w:vAlign w:val="top"/>
          </w:tcPr>
          <w:p>
            <w:pPr>
              <w:spacing w:before="89" w:line="198" w:lineRule="auto"/>
              <w:ind w:left="531"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z w:val="20"/>
                <w:szCs w:val="20"/>
                <w:highlight w:val="none"/>
                <w:lang w:eastAsia="zh-CN"/>
              </w:rPr>
              <w:t>13.735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02" w:type="dxa"/>
            <w:tcBorders>
              <w:left w:val="single" w:color="000000" w:sz="10" w:space="0"/>
            </w:tcBorders>
            <w:vAlign w:val="top"/>
          </w:tcPr>
          <w:p>
            <w:pPr>
              <w:spacing w:before="57" w:line="229" w:lineRule="auto"/>
              <w:ind w:left="1237"/>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合计</w:t>
            </w:r>
          </w:p>
        </w:tc>
        <w:tc>
          <w:tcPr>
            <w:tcW w:w="2344" w:type="dxa"/>
            <w:vAlign w:val="top"/>
          </w:tcPr>
          <w:p>
            <w:pPr>
              <w:spacing w:before="90" w:line="198" w:lineRule="auto"/>
              <w:ind w:left="664"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pacing w:val="4"/>
                <w:sz w:val="20"/>
                <w:szCs w:val="20"/>
                <w:highlight w:val="none"/>
              </w:rPr>
              <w:t>3</w:t>
            </w:r>
            <w:r>
              <w:rPr>
                <w:rFonts w:hint="eastAsia" w:ascii="Times New Roman" w:hAnsi="Times New Roman" w:eastAsia="Times New Roman" w:cs="Times New Roman"/>
                <w:color w:val="auto"/>
                <w:spacing w:val="4"/>
                <w:sz w:val="20"/>
                <w:szCs w:val="20"/>
                <w:highlight w:val="none"/>
                <w:lang w:val="en-US" w:eastAsia="zh-CN"/>
              </w:rPr>
              <w:t>.</w:t>
            </w:r>
            <w:r>
              <w:rPr>
                <w:rFonts w:hint="eastAsia" w:ascii="Times New Roman" w:hAnsi="Times New Roman" w:eastAsia="Times New Roman" w:cs="Times New Roman"/>
                <w:color w:val="auto"/>
                <w:spacing w:val="4"/>
                <w:sz w:val="20"/>
                <w:szCs w:val="20"/>
                <w:highlight w:val="none"/>
              </w:rPr>
              <w:t>1575</w:t>
            </w:r>
          </w:p>
        </w:tc>
        <w:tc>
          <w:tcPr>
            <w:tcW w:w="2186" w:type="dxa"/>
            <w:vAlign w:val="top"/>
          </w:tcPr>
          <w:p>
            <w:pPr>
              <w:spacing w:before="90" w:line="195" w:lineRule="auto"/>
              <w:ind w:left="629" w:leftChars="0"/>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z w:val="20"/>
                <w:szCs w:val="20"/>
                <w:highlight w:val="none"/>
                <w:lang w:val="en-US" w:eastAsia="zh-CN"/>
              </w:rPr>
              <w:t>22.911</w:t>
            </w:r>
          </w:p>
        </w:tc>
        <w:tc>
          <w:tcPr>
            <w:tcW w:w="1850" w:type="dxa"/>
            <w:tcBorders>
              <w:right w:val="single" w:color="000000" w:sz="10" w:space="0"/>
            </w:tcBorders>
            <w:vAlign w:val="top"/>
          </w:tcPr>
          <w:p>
            <w:pPr>
              <w:spacing w:before="90" w:line="195" w:lineRule="auto"/>
              <w:ind w:left="447" w:leftChars="0"/>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sz w:val="20"/>
                <w:szCs w:val="20"/>
                <w:highlight w:val="none"/>
                <w:lang w:val="en-US" w:eastAsia="zh-CN"/>
              </w:rPr>
              <w:t>26.08</w:t>
            </w:r>
          </w:p>
        </w:tc>
      </w:tr>
    </w:tbl>
    <w:p>
      <w:pPr>
        <w:spacing w:before="37" w:line="221" w:lineRule="auto"/>
        <w:ind w:left="2821"/>
        <w:rPr>
          <w:rFonts w:ascii="宋体" w:hAnsi="宋体" w:eastAsia="宋体" w:cs="宋体"/>
          <w:color w:val="auto"/>
          <w:sz w:val="23"/>
          <w:szCs w:val="23"/>
          <w:highlight w:val="none"/>
        </w:rPr>
      </w:pPr>
      <w:r>
        <w:rPr>
          <w:rFonts w:ascii="宋体" w:hAnsi="宋体" w:eastAsia="宋体" w:cs="宋体"/>
          <w:color w:val="auto"/>
          <w:spacing w:val="4"/>
          <w:sz w:val="23"/>
          <w:szCs w:val="23"/>
          <w:highlight w:val="none"/>
          <w14:textOutline w14:w="4358" w14:cap="sq" w14:cmpd="sng">
            <w14:solidFill>
              <w14:srgbClr w14:val="000000"/>
            </w14:solidFill>
            <w14:prstDash w14:val="solid"/>
            <w14:bevel/>
          </w14:textOutline>
        </w:rPr>
        <w:t>表</w:t>
      </w:r>
      <w:r>
        <w:rPr>
          <w:rFonts w:ascii="宋体" w:hAnsi="宋体" w:eastAsia="宋体" w:cs="宋体"/>
          <w:color w:val="auto"/>
          <w:spacing w:val="4"/>
          <w:sz w:val="23"/>
          <w:szCs w:val="23"/>
          <w:highlight w:val="none"/>
        </w:rPr>
        <w:t xml:space="preserve"> </w:t>
      </w:r>
      <w:r>
        <w:rPr>
          <w:rFonts w:ascii="Times New Roman" w:hAnsi="Times New Roman" w:eastAsia="Times New Roman" w:cs="Times New Roman"/>
          <w:b/>
          <w:bCs/>
          <w:color w:val="auto"/>
          <w:spacing w:val="4"/>
          <w:sz w:val="23"/>
          <w:szCs w:val="23"/>
          <w:highlight w:val="none"/>
        </w:rPr>
        <w:t>5.1-6</w:t>
      </w:r>
      <w:r>
        <w:rPr>
          <w:rFonts w:ascii="Times New Roman" w:hAnsi="Times New Roman" w:eastAsia="Times New Roman" w:cs="Times New Roman"/>
          <w:color w:val="auto"/>
          <w:spacing w:val="4"/>
          <w:sz w:val="23"/>
          <w:szCs w:val="23"/>
          <w:highlight w:val="none"/>
        </w:rPr>
        <w:t xml:space="preserve">        </w:t>
      </w:r>
      <w:r>
        <w:rPr>
          <w:rFonts w:ascii="宋体" w:hAnsi="宋体" w:eastAsia="宋体" w:cs="宋体"/>
          <w:color w:val="auto"/>
          <w:spacing w:val="4"/>
          <w:sz w:val="23"/>
          <w:szCs w:val="23"/>
          <w:highlight w:val="none"/>
          <w14:textOutline w14:w="4358" w14:cap="sq" w14:cmpd="sng">
            <w14:solidFill>
              <w14:srgbClr w14:val="000000"/>
            </w14:solidFill>
            <w14:prstDash w14:val="solid"/>
            <w14:bevel/>
          </w14:textOutline>
        </w:rPr>
        <w:t>工程占地后植被类型</w:t>
      </w:r>
      <w:r>
        <w:rPr>
          <w:rFonts w:ascii="宋体" w:hAnsi="宋体" w:eastAsia="宋体" w:cs="宋体"/>
          <w:color w:val="auto"/>
          <w:sz w:val="23"/>
          <w:szCs w:val="23"/>
          <w:highlight w:val="none"/>
          <w14:textOutline w14:w="4358" w14:cap="sq" w14:cmpd="sng">
            <w14:solidFill>
              <w14:srgbClr w14:val="000000"/>
            </w14:solidFill>
            <w14:prstDash w14:val="solid"/>
            <w14:bevel/>
          </w14:textOutline>
        </w:rPr>
        <w:t>表</w:t>
      </w:r>
    </w:p>
    <w:tbl>
      <w:tblPr>
        <w:tblStyle w:val="20"/>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51"/>
        <w:gridCol w:w="1636"/>
        <w:gridCol w:w="1509"/>
        <w:gridCol w:w="1150"/>
        <w:gridCol w:w="16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3351" w:type="dxa"/>
            <w:vMerge w:val="restart"/>
            <w:tcBorders>
              <w:left w:val="single" w:color="000000" w:sz="10" w:space="0"/>
              <w:bottom w:val="nil"/>
            </w:tcBorders>
            <w:vAlign w:val="top"/>
          </w:tcPr>
          <w:p>
            <w:pPr>
              <w:spacing w:line="369" w:lineRule="auto"/>
              <w:rPr>
                <w:rFonts w:ascii="Arial"/>
                <w:color w:val="0000FF"/>
                <w:sz w:val="21"/>
                <w:highlight w:val="none"/>
              </w:rPr>
            </w:pPr>
          </w:p>
          <w:p>
            <w:pPr>
              <w:spacing w:before="65" w:line="228" w:lineRule="auto"/>
              <w:ind w:left="1249"/>
              <w:rPr>
                <w:rFonts w:ascii="宋体" w:hAnsi="宋体" w:eastAsia="宋体" w:cs="宋体"/>
                <w:color w:val="0000FF"/>
                <w:sz w:val="20"/>
                <w:szCs w:val="20"/>
                <w:highlight w:val="none"/>
              </w:rPr>
            </w:pPr>
            <w:r>
              <w:rPr>
                <w:rFonts w:ascii="宋体" w:hAnsi="宋体" w:eastAsia="宋体" w:cs="宋体"/>
                <w:color w:val="0000FF"/>
                <w:spacing w:val="9"/>
                <w:sz w:val="20"/>
                <w:szCs w:val="20"/>
                <w:highlight w:val="none"/>
                <w14:textOutline w14:w="3795" w14:cap="sq" w14:cmpd="sng">
                  <w14:solidFill>
                    <w14:srgbClr w14:val="000000"/>
                  </w14:solidFill>
                  <w14:prstDash w14:val="solid"/>
                  <w14:bevel/>
                </w14:textOutline>
              </w:rPr>
              <w:t>植</w:t>
            </w:r>
            <w:r>
              <w:rPr>
                <w:rFonts w:ascii="宋体" w:hAnsi="宋体" w:eastAsia="宋体" w:cs="宋体"/>
                <w:color w:val="0000FF"/>
                <w:spacing w:val="8"/>
                <w:sz w:val="20"/>
                <w:szCs w:val="20"/>
                <w:highlight w:val="none"/>
                <w14:textOutline w14:w="3795" w14:cap="sq" w14:cmpd="sng">
                  <w14:solidFill>
                    <w14:srgbClr w14:val="000000"/>
                  </w14:solidFill>
                  <w14:prstDash w14:val="solid"/>
                  <w14:bevel/>
                </w14:textOutline>
              </w:rPr>
              <w:t>被类型</w:t>
            </w:r>
          </w:p>
        </w:tc>
        <w:tc>
          <w:tcPr>
            <w:tcW w:w="4295" w:type="dxa"/>
            <w:gridSpan w:val="3"/>
            <w:vAlign w:val="top"/>
          </w:tcPr>
          <w:p>
            <w:pPr>
              <w:spacing w:before="120" w:line="228" w:lineRule="auto"/>
              <w:ind w:left="1452"/>
              <w:rPr>
                <w:rFonts w:ascii="宋体" w:hAnsi="宋体" w:eastAsia="宋体" w:cs="宋体"/>
                <w:color w:val="0000FF"/>
                <w:sz w:val="20"/>
                <w:szCs w:val="20"/>
                <w:highlight w:val="none"/>
              </w:rPr>
            </w:pPr>
            <w:r>
              <w:rPr>
                <w:rFonts w:ascii="宋体" w:hAnsi="宋体" w:eastAsia="宋体" w:cs="宋体"/>
                <w:color w:val="0000FF"/>
                <w:spacing w:val="7"/>
                <w:sz w:val="20"/>
                <w:szCs w:val="20"/>
                <w:highlight w:val="none"/>
                <w14:textOutline w14:w="3795" w14:cap="sq" w14:cmpd="sng">
                  <w14:solidFill>
                    <w14:srgbClr w14:val="000000"/>
                  </w14:solidFill>
                  <w14:prstDash w14:val="solid"/>
                  <w14:bevel/>
                </w14:textOutline>
              </w:rPr>
              <w:t>占</w:t>
            </w:r>
            <w:r>
              <w:rPr>
                <w:rFonts w:ascii="宋体" w:hAnsi="宋体" w:eastAsia="宋体" w:cs="宋体"/>
                <w:color w:val="0000FF"/>
                <w:spacing w:val="4"/>
                <w:sz w:val="20"/>
                <w:szCs w:val="20"/>
                <w:highlight w:val="none"/>
                <w14:textOutline w14:w="3795" w14:cap="sq" w14:cmpd="sng">
                  <w14:solidFill>
                    <w14:srgbClr w14:val="000000"/>
                  </w14:solidFill>
                  <w14:prstDash w14:val="solid"/>
                  <w14:bevel/>
                </w14:textOutline>
              </w:rPr>
              <w:t>地后植被类型</w:t>
            </w:r>
          </w:p>
        </w:tc>
        <w:tc>
          <w:tcPr>
            <w:tcW w:w="1636" w:type="dxa"/>
            <w:vMerge w:val="restart"/>
            <w:tcBorders>
              <w:bottom w:val="nil"/>
              <w:right w:val="single" w:color="000000" w:sz="10" w:space="0"/>
            </w:tcBorders>
            <w:vAlign w:val="top"/>
          </w:tcPr>
          <w:p>
            <w:pPr>
              <w:spacing w:before="281" w:line="303" w:lineRule="auto"/>
              <w:ind w:left="133" w:right="99" w:hanging="9"/>
              <w:rPr>
                <w:rFonts w:ascii="宋体" w:hAnsi="宋体" w:eastAsia="宋体" w:cs="宋体"/>
                <w:color w:val="0000FF"/>
                <w:sz w:val="20"/>
                <w:szCs w:val="20"/>
                <w:highlight w:val="none"/>
              </w:rPr>
            </w:pPr>
            <w:r>
              <w:rPr>
                <w:rFonts w:ascii="宋体" w:hAnsi="宋体" w:eastAsia="宋体" w:cs="宋体"/>
                <w:color w:val="0000FF"/>
                <w:spacing w:val="33"/>
                <w:sz w:val="20"/>
                <w:szCs w:val="20"/>
                <w:highlight w:val="none"/>
                <w14:textOutline w14:w="3795" w14:cap="sq" w14:cmpd="sng">
                  <w14:solidFill>
                    <w14:srgbClr w14:val="000000"/>
                  </w14:solidFill>
                  <w14:prstDash w14:val="solid"/>
                  <w14:bevel/>
                </w14:textOutline>
              </w:rPr>
              <w:t>植被类型变</w:t>
            </w:r>
            <w:r>
              <w:rPr>
                <w:rFonts w:ascii="宋体" w:hAnsi="宋体" w:eastAsia="宋体" w:cs="宋体"/>
                <w:color w:val="0000FF"/>
                <w:spacing w:val="32"/>
                <w:sz w:val="20"/>
                <w:szCs w:val="20"/>
                <w:highlight w:val="none"/>
                <w14:textOutline w14:w="3795" w14:cap="sq" w14:cmpd="sng">
                  <w14:solidFill>
                    <w14:srgbClr w14:val="000000"/>
                  </w14:solidFill>
                  <w14:prstDash w14:val="solid"/>
                  <w14:bevel/>
                </w14:textOutline>
              </w:rPr>
              <w:t>化</w:t>
            </w:r>
            <w:r>
              <w:rPr>
                <w:rFonts w:ascii="宋体" w:hAnsi="宋体" w:eastAsia="宋体" w:cs="宋体"/>
                <w:color w:val="0000FF"/>
                <w:sz w:val="20"/>
                <w:szCs w:val="20"/>
                <w:highlight w:val="none"/>
              </w:rPr>
              <w:t xml:space="preserve"> </w:t>
            </w:r>
            <w:r>
              <w:rPr>
                <w:rFonts w:ascii="宋体" w:hAnsi="宋体" w:eastAsia="宋体" w:cs="宋体"/>
                <w:color w:val="0000FF"/>
                <w:spacing w:val="37"/>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0000FF"/>
                <w:sz w:val="20"/>
                <w:szCs w:val="20"/>
                <w:highlight w:val="none"/>
              </w:rPr>
              <w:t>hm</w:t>
            </w:r>
            <w:r>
              <w:rPr>
                <w:rFonts w:ascii="宋体" w:hAnsi="宋体" w:eastAsia="宋体" w:cs="宋体"/>
                <w:color w:val="0000FF"/>
                <w:spacing w:val="36"/>
                <w:sz w:val="20"/>
                <w:szCs w:val="20"/>
                <w:highlight w:val="none"/>
                <w14:textOutline w14:w="3795" w14:cap="sq" w14:cmpd="sng">
                  <w14:solidFill>
                    <w14:srgbClr w14:val="000000"/>
                  </w14:solidFill>
                  <w14:prstDash w14:val="solid"/>
                  <w14:bevel/>
                </w14:textOutline>
              </w:rPr>
              <w:t>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48" w:hRule="atLeast"/>
        </w:trPr>
        <w:tc>
          <w:tcPr>
            <w:tcW w:w="3351" w:type="dxa"/>
            <w:vMerge w:val="continue"/>
            <w:tcBorders>
              <w:top w:val="nil"/>
              <w:left w:val="single" w:color="000000" w:sz="10" w:space="0"/>
            </w:tcBorders>
            <w:vAlign w:val="top"/>
          </w:tcPr>
          <w:p>
            <w:pPr>
              <w:rPr>
                <w:rFonts w:ascii="Arial"/>
                <w:color w:val="0000FF"/>
                <w:sz w:val="21"/>
                <w:highlight w:val="none"/>
              </w:rPr>
            </w:pPr>
          </w:p>
        </w:tc>
        <w:tc>
          <w:tcPr>
            <w:tcW w:w="1636" w:type="dxa"/>
            <w:vAlign w:val="top"/>
          </w:tcPr>
          <w:p>
            <w:pPr>
              <w:spacing w:before="13" w:line="293" w:lineRule="auto"/>
              <w:ind w:left="221" w:right="184" w:hanging="35"/>
              <w:rPr>
                <w:rFonts w:ascii="宋体" w:hAnsi="宋体" w:eastAsia="宋体" w:cs="宋体"/>
                <w:color w:val="0000FF"/>
                <w:sz w:val="20"/>
                <w:szCs w:val="20"/>
                <w:highlight w:val="none"/>
              </w:rPr>
            </w:pPr>
            <w:r>
              <w:rPr>
                <w:rFonts w:ascii="Times New Roman" w:hAnsi="Times New Roman" w:eastAsia="Times New Roman" w:cs="Times New Roman"/>
                <w:b/>
                <w:bCs/>
                <w:color w:val="0000FF"/>
                <w:spacing w:val="8"/>
                <w:sz w:val="20"/>
                <w:szCs w:val="20"/>
                <w:highlight w:val="none"/>
              </w:rPr>
              <w:t>500</w:t>
            </w:r>
            <w:r>
              <w:rPr>
                <w:rFonts w:ascii="Times New Roman" w:hAnsi="Times New Roman" w:eastAsia="Times New Roman" w:cs="Times New Roman"/>
                <w:b/>
                <w:bCs/>
                <w:color w:val="0000FF"/>
                <w:sz w:val="20"/>
                <w:szCs w:val="20"/>
                <w:highlight w:val="none"/>
              </w:rPr>
              <w:t>kV</w:t>
            </w:r>
            <w:r>
              <w:rPr>
                <w:rFonts w:ascii="Times New Roman" w:hAnsi="Times New Roman" w:eastAsia="Times New Roman" w:cs="Times New Roman"/>
                <w:color w:val="0000FF"/>
                <w:spacing w:val="8"/>
                <w:sz w:val="20"/>
                <w:szCs w:val="20"/>
                <w:highlight w:val="none"/>
              </w:rPr>
              <w:t xml:space="preserve"> </w:t>
            </w:r>
            <w:r>
              <w:rPr>
                <w:rFonts w:ascii="宋体" w:hAnsi="宋体" w:eastAsia="宋体" w:cs="宋体"/>
                <w:color w:val="0000FF"/>
                <w:spacing w:val="8"/>
                <w:sz w:val="20"/>
                <w:szCs w:val="20"/>
                <w:highlight w:val="none"/>
                <w14:textOutline w14:w="3795" w14:cap="sq" w14:cmpd="sng">
                  <w14:solidFill>
                    <w14:srgbClr w14:val="000000"/>
                  </w14:solidFill>
                  <w14:prstDash w14:val="solid"/>
                  <w14:bevel/>
                </w14:textOutline>
              </w:rPr>
              <w:t>汇集</w:t>
            </w:r>
            <w:r>
              <w:rPr>
                <w:rFonts w:ascii="宋体" w:hAnsi="宋体" w:eastAsia="宋体" w:cs="宋体"/>
                <w:color w:val="0000FF"/>
                <w:spacing w:val="6"/>
                <w:sz w:val="20"/>
                <w:szCs w:val="20"/>
                <w:highlight w:val="none"/>
                <w14:textOutline w14:w="3795" w14:cap="sq" w14:cmpd="sng">
                  <w14:solidFill>
                    <w14:srgbClr w14:val="000000"/>
                  </w14:solidFill>
                  <w14:prstDash w14:val="solid"/>
                  <w14:bevel/>
                </w14:textOutline>
              </w:rPr>
              <w:t>站</w:t>
            </w:r>
            <w:r>
              <w:rPr>
                <w:rFonts w:ascii="宋体" w:hAnsi="宋体" w:eastAsia="宋体" w:cs="宋体"/>
                <w:color w:val="0000FF"/>
                <w:sz w:val="20"/>
                <w:szCs w:val="20"/>
                <w:highlight w:val="none"/>
              </w:rPr>
              <w:t xml:space="preserve"> </w:t>
            </w:r>
            <w:r>
              <w:rPr>
                <w:rFonts w:ascii="宋体" w:hAnsi="宋体" w:eastAsia="宋体" w:cs="宋体"/>
                <w:color w:val="0000FF"/>
                <w:spacing w:val="9"/>
                <w:sz w:val="20"/>
                <w:szCs w:val="20"/>
                <w:highlight w:val="none"/>
                <w14:textOutline w14:w="3795" w14:cap="sq" w14:cmpd="sng">
                  <w14:solidFill>
                    <w14:srgbClr w14:val="000000"/>
                  </w14:solidFill>
                  <w14:prstDash w14:val="solid"/>
                  <w14:bevel/>
                </w14:textOutline>
              </w:rPr>
              <w:t>面</w:t>
            </w:r>
            <w:r>
              <w:rPr>
                <w:rFonts w:ascii="宋体" w:hAnsi="宋体" w:eastAsia="宋体" w:cs="宋体"/>
                <w:color w:val="0000FF"/>
                <w:spacing w:val="5"/>
                <w:sz w:val="20"/>
                <w:szCs w:val="20"/>
                <w:highlight w:val="none"/>
                <w14:textOutline w14:w="3795" w14:cap="sq" w14:cmpd="sng">
                  <w14:solidFill>
                    <w14:srgbClr w14:val="000000"/>
                  </w14:solidFill>
                  <w14:prstDash w14:val="solid"/>
                  <w14:bevel/>
                </w14:textOutline>
              </w:rPr>
              <w:t>积</w:t>
            </w:r>
            <w:r>
              <w:rPr>
                <w:rFonts w:ascii="宋体" w:hAnsi="宋体" w:eastAsia="宋体" w:cs="宋体"/>
                <w:color w:val="0000FF"/>
                <w:spacing w:val="5"/>
                <w:sz w:val="20"/>
                <w:szCs w:val="20"/>
                <w:highlight w:val="none"/>
              </w:rPr>
              <w:t xml:space="preserve"> </w:t>
            </w:r>
            <w:r>
              <w:rPr>
                <w:rFonts w:ascii="宋体" w:hAnsi="宋体" w:eastAsia="宋体" w:cs="宋体"/>
                <w:color w:val="0000FF"/>
                <w:spacing w:val="5"/>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0000FF"/>
                <w:sz w:val="20"/>
                <w:szCs w:val="20"/>
                <w:highlight w:val="none"/>
              </w:rPr>
              <w:t>hm</w:t>
            </w:r>
            <w:r>
              <w:rPr>
                <w:rFonts w:ascii="Times New Roman" w:hAnsi="Times New Roman" w:eastAsia="Times New Roman" w:cs="Times New Roman"/>
                <w:b/>
                <w:bCs/>
                <w:color w:val="0000FF"/>
                <w:spacing w:val="5"/>
                <w:position w:val="6"/>
                <w:sz w:val="13"/>
                <w:szCs w:val="13"/>
                <w:highlight w:val="none"/>
              </w:rPr>
              <w:t>2</w:t>
            </w:r>
            <w:r>
              <w:rPr>
                <w:rFonts w:ascii="Times New Roman" w:hAnsi="Times New Roman" w:eastAsia="Times New Roman" w:cs="Times New Roman"/>
                <w:color w:val="0000FF"/>
                <w:spacing w:val="5"/>
                <w:position w:val="6"/>
                <w:sz w:val="13"/>
                <w:szCs w:val="13"/>
                <w:highlight w:val="none"/>
              </w:rPr>
              <w:t xml:space="preserve"> </w:t>
            </w:r>
            <w:r>
              <w:rPr>
                <w:rFonts w:ascii="宋体" w:hAnsi="宋体" w:eastAsia="宋体" w:cs="宋体"/>
                <w:color w:val="0000FF"/>
                <w:spacing w:val="5"/>
                <w:sz w:val="20"/>
                <w:szCs w:val="20"/>
                <w:highlight w:val="none"/>
                <w14:textOutline w14:w="3795" w14:cap="sq" w14:cmpd="sng">
                  <w14:solidFill>
                    <w14:srgbClr w14:val="000000"/>
                  </w14:solidFill>
                  <w14:prstDash w14:val="solid"/>
                  <w14:bevel/>
                </w14:textOutline>
              </w:rPr>
              <w:t>)</w:t>
            </w:r>
          </w:p>
        </w:tc>
        <w:tc>
          <w:tcPr>
            <w:tcW w:w="1509" w:type="dxa"/>
            <w:vAlign w:val="top"/>
          </w:tcPr>
          <w:p>
            <w:pPr>
              <w:spacing w:before="53" w:line="228" w:lineRule="auto"/>
              <w:ind w:left="129"/>
              <w:rPr>
                <w:rFonts w:ascii="宋体" w:hAnsi="宋体" w:eastAsia="宋体" w:cs="宋体"/>
                <w:color w:val="0000FF"/>
                <w:sz w:val="20"/>
                <w:szCs w:val="20"/>
                <w:highlight w:val="none"/>
              </w:rPr>
            </w:pPr>
            <w:r>
              <w:rPr>
                <w:rFonts w:ascii="宋体" w:hAnsi="宋体" w:eastAsia="宋体" w:cs="宋体"/>
                <w:color w:val="0000FF"/>
                <w:spacing w:val="10"/>
                <w:sz w:val="20"/>
                <w:szCs w:val="20"/>
                <w:highlight w:val="none"/>
                <w14:textOutline w14:w="3795" w14:cap="sq" w14:cmpd="sng">
                  <w14:solidFill>
                    <w14:srgbClr w14:val="000000"/>
                  </w14:solidFill>
                  <w14:prstDash w14:val="solid"/>
                  <w14:bevel/>
                </w14:textOutline>
              </w:rPr>
              <w:t>输</w:t>
            </w:r>
            <w:r>
              <w:rPr>
                <w:rFonts w:ascii="宋体" w:hAnsi="宋体" w:eastAsia="宋体" w:cs="宋体"/>
                <w:color w:val="0000FF"/>
                <w:spacing w:val="9"/>
                <w:sz w:val="20"/>
                <w:szCs w:val="20"/>
                <w:highlight w:val="none"/>
                <w14:textOutline w14:w="3795" w14:cap="sq" w14:cmpd="sng">
                  <w14:solidFill>
                    <w14:srgbClr w14:val="000000"/>
                  </w14:solidFill>
                  <w14:prstDash w14:val="solid"/>
                  <w14:bevel/>
                </w14:textOutline>
              </w:rPr>
              <w:t>电线路工程</w:t>
            </w:r>
          </w:p>
          <w:p>
            <w:pPr>
              <w:spacing w:before="24" w:line="289" w:lineRule="exact"/>
              <w:ind w:left="363"/>
              <w:rPr>
                <w:rFonts w:ascii="宋体" w:hAnsi="宋体" w:eastAsia="宋体" w:cs="宋体"/>
                <w:color w:val="0000FF"/>
                <w:sz w:val="20"/>
                <w:szCs w:val="20"/>
                <w:highlight w:val="none"/>
              </w:rPr>
            </w:pPr>
            <w:r>
              <w:rPr>
                <w:rFonts w:ascii="宋体" w:hAnsi="宋体" w:eastAsia="宋体" w:cs="宋体"/>
                <w:color w:val="0000FF"/>
                <w:spacing w:val="37"/>
                <w:position w:val="1"/>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0000FF"/>
                <w:position w:val="1"/>
                <w:sz w:val="20"/>
                <w:szCs w:val="20"/>
                <w:highlight w:val="none"/>
              </w:rPr>
              <w:t>hm</w:t>
            </w:r>
            <w:r>
              <w:rPr>
                <w:rFonts w:ascii="宋体" w:hAnsi="宋体" w:eastAsia="宋体" w:cs="宋体"/>
                <w:color w:val="0000FF"/>
                <w:spacing w:val="36"/>
                <w:position w:val="1"/>
                <w:sz w:val="20"/>
                <w:szCs w:val="20"/>
                <w:highlight w:val="none"/>
                <w14:textOutline w14:w="3795" w14:cap="sq" w14:cmpd="sng">
                  <w14:solidFill>
                    <w14:srgbClr w14:val="000000"/>
                  </w14:solidFill>
                  <w14:prstDash w14:val="solid"/>
                  <w14:bevel/>
                </w14:textOutline>
              </w:rPr>
              <w:t>²)</w:t>
            </w:r>
          </w:p>
        </w:tc>
        <w:tc>
          <w:tcPr>
            <w:tcW w:w="1150" w:type="dxa"/>
            <w:vAlign w:val="top"/>
          </w:tcPr>
          <w:p>
            <w:pPr>
              <w:spacing w:before="209" w:line="229" w:lineRule="auto"/>
              <w:ind w:left="376"/>
              <w:rPr>
                <w:rFonts w:ascii="宋体" w:hAnsi="宋体" w:eastAsia="宋体" w:cs="宋体"/>
                <w:color w:val="0000FF"/>
                <w:sz w:val="20"/>
                <w:szCs w:val="20"/>
                <w:highlight w:val="none"/>
              </w:rPr>
            </w:pPr>
            <w:r>
              <w:rPr>
                <w:rFonts w:ascii="宋体" w:hAnsi="宋体" w:eastAsia="宋体" w:cs="宋体"/>
                <w:color w:val="0000FF"/>
                <w:spacing w:val="6"/>
                <w:sz w:val="20"/>
                <w:szCs w:val="20"/>
                <w:highlight w:val="none"/>
                <w14:textOutline w14:w="3795" w14:cap="sq" w14:cmpd="sng">
                  <w14:solidFill>
                    <w14:srgbClr w14:val="000000"/>
                  </w14:solidFill>
                  <w14:prstDash w14:val="solid"/>
                  <w14:bevel/>
                </w14:textOutline>
              </w:rPr>
              <w:t>合</w:t>
            </w:r>
            <w:r>
              <w:rPr>
                <w:rFonts w:ascii="宋体" w:hAnsi="宋体" w:eastAsia="宋体" w:cs="宋体"/>
                <w:color w:val="0000FF"/>
                <w:spacing w:val="5"/>
                <w:sz w:val="20"/>
                <w:szCs w:val="20"/>
                <w:highlight w:val="none"/>
                <w14:textOutline w14:w="3795" w14:cap="sq" w14:cmpd="sng">
                  <w14:solidFill>
                    <w14:srgbClr w14:val="000000"/>
                  </w14:solidFill>
                  <w14:prstDash w14:val="solid"/>
                  <w14:bevel/>
                </w14:textOutline>
              </w:rPr>
              <w:t>计</w:t>
            </w:r>
          </w:p>
        </w:tc>
        <w:tc>
          <w:tcPr>
            <w:tcW w:w="1636" w:type="dxa"/>
            <w:vMerge w:val="continue"/>
            <w:tcBorders>
              <w:top w:val="nil"/>
              <w:right w:val="single" w:color="000000" w:sz="10" w:space="0"/>
            </w:tcBorders>
            <w:vAlign w:val="top"/>
          </w:tcPr>
          <w:p>
            <w:pPr>
              <w:rPr>
                <w:rFonts w:ascii="Arial"/>
                <w:color w:val="0000FF"/>
                <w:sz w:val="21"/>
                <w:highlight w:val="none"/>
              </w:rPr>
            </w:pPr>
          </w:p>
        </w:tc>
      </w:tr>
    </w:tbl>
    <w:p>
      <w:pPr>
        <w:rPr>
          <w:rFonts w:ascii="Arial"/>
          <w:color w:val="0000FF"/>
          <w:sz w:val="21"/>
          <w:highlight w:val="none"/>
        </w:rPr>
      </w:pPr>
    </w:p>
    <w:p>
      <w:pPr>
        <w:rPr>
          <w:color w:val="0000FF"/>
          <w:highlight w:val="none"/>
        </w:rPr>
        <w:sectPr>
          <w:headerReference r:id="rId9" w:type="default"/>
          <w:footerReference r:id="rId10" w:type="default"/>
          <w:pgSz w:w="11906" w:h="16839"/>
          <w:pgMar w:top="1212" w:right="1302" w:bottom="1156" w:left="1295" w:header="970" w:footer="996" w:gutter="0"/>
          <w:pgBorders>
            <w:top w:val="none" w:sz="0" w:space="0"/>
            <w:left w:val="none" w:sz="0" w:space="0"/>
            <w:bottom w:val="none" w:sz="0" w:space="0"/>
            <w:right w:val="none" w:sz="0" w:space="0"/>
          </w:pgBorders>
          <w:pgNumType w:fmt="decimal"/>
          <w:cols w:space="720" w:num="1"/>
        </w:sectPr>
      </w:pPr>
    </w:p>
    <w:p>
      <w:pPr>
        <w:spacing w:line="205" w:lineRule="exact"/>
        <w:rPr>
          <w:color w:val="0000FF"/>
          <w:highlight w:val="none"/>
        </w:rPr>
      </w:pPr>
    </w:p>
    <w:tbl>
      <w:tblPr>
        <w:tblStyle w:val="20"/>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51"/>
        <w:gridCol w:w="1636"/>
        <w:gridCol w:w="1509"/>
        <w:gridCol w:w="1150"/>
        <w:gridCol w:w="16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351" w:type="dxa"/>
            <w:tcBorders>
              <w:left w:val="single" w:color="000000" w:sz="10" w:space="0"/>
            </w:tcBorders>
            <w:vAlign w:val="top"/>
          </w:tcPr>
          <w:p>
            <w:pPr>
              <w:spacing w:before="53" w:line="228" w:lineRule="auto"/>
              <w:jc w:val="center"/>
              <w:rPr>
                <w:rFonts w:ascii="宋体" w:hAnsi="宋体" w:eastAsia="宋体" w:cs="宋体"/>
                <w:color w:val="0000FF"/>
                <w:sz w:val="20"/>
                <w:szCs w:val="20"/>
                <w:highlight w:val="none"/>
              </w:rPr>
            </w:pPr>
            <w:r>
              <w:rPr>
                <w:rFonts w:hint="eastAsia" w:ascii="宋体" w:hAnsi="宋体" w:eastAsia="宋体" w:cs="宋体"/>
                <w:color w:val="auto"/>
                <w:spacing w:val="10"/>
                <w:sz w:val="20"/>
                <w:szCs w:val="20"/>
                <w:highlight w:val="none"/>
                <w:lang w:eastAsia="zh-CN"/>
              </w:rPr>
              <w:t>玉米</w:t>
            </w:r>
          </w:p>
        </w:tc>
        <w:tc>
          <w:tcPr>
            <w:tcW w:w="1636" w:type="dxa"/>
            <w:vAlign w:val="top"/>
          </w:tcPr>
          <w:p>
            <w:pPr>
              <w:spacing w:before="89" w:line="195" w:lineRule="auto"/>
              <w:ind w:left="758" w:leftChars="0"/>
              <w:rPr>
                <w:rFonts w:ascii="Times New Roman" w:hAnsi="Times New Roman" w:eastAsia="Times New Roman" w:cs="Times New Roman"/>
                <w:color w:val="0000FF"/>
                <w:sz w:val="20"/>
                <w:szCs w:val="20"/>
                <w:highlight w:val="none"/>
              </w:rPr>
            </w:pPr>
            <w:r>
              <w:rPr>
                <w:rFonts w:ascii="Times New Roman" w:hAnsi="Times New Roman" w:eastAsia="Times New Roman" w:cs="Times New Roman"/>
                <w:color w:val="auto"/>
                <w:sz w:val="20"/>
                <w:szCs w:val="20"/>
                <w:highlight w:val="none"/>
              </w:rPr>
              <w:t>0</w:t>
            </w:r>
          </w:p>
        </w:tc>
        <w:tc>
          <w:tcPr>
            <w:tcW w:w="1509" w:type="dxa"/>
            <w:vAlign w:val="top"/>
          </w:tcPr>
          <w:p>
            <w:pPr>
              <w:spacing w:before="89" w:line="195" w:lineRule="auto"/>
              <w:ind w:left="705" w:leftChars="0"/>
              <w:rPr>
                <w:rFonts w:hint="eastAsia" w:ascii="Times New Roman" w:hAnsi="Times New Roman" w:eastAsia="宋体" w:cs="Times New Roman"/>
                <w:color w:val="0000FF"/>
                <w:sz w:val="20"/>
                <w:szCs w:val="20"/>
                <w:highlight w:val="none"/>
                <w:lang w:eastAsia="zh-CN"/>
              </w:rPr>
            </w:pPr>
            <w:r>
              <w:rPr>
                <w:rFonts w:hint="eastAsia" w:ascii="Times New Roman" w:hAnsi="Times New Roman" w:eastAsia="宋体" w:cs="Times New Roman"/>
                <w:color w:val="auto"/>
                <w:sz w:val="20"/>
                <w:szCs w:val="20"/>
                <w:highlight w:val="none"/>
                <w:lang w:val="en-US" w:eastAsia="zh-CN"/>
              </w:rPr>
              <w:t>8.72</w:t>
            </w:r>
          </w:p>
        </w:tc>
        <w:tc>
          <w:tcPr>
            <w:tcW w:w="1150" w:type="dxa"/>
            <w:vAlign w:val="top"/>
          </w:tcPr>
          <w:p>
            <w:pPr>
              <w:spacing w:before="89" w:line="195" w:lineRule="auto"/>
              <w:ind w:left="705" w:leftChars="0"/>
              <w:rPr>
                <w:rFonts w:hint="eastAsia" w:ascii="Times New Roman" w:hAnsi="Times New Roman" w:eastAsia="宋体" w:cs="Times New Roman"/>
                <w:color w:val="0000FF"/>
                <w:sz w:val="20"/>
                <w:szCs w:val="20"/>
                <w:highlight w:val="none"/>
                <w:lang w:eastAsia="zh-CN"/>
              </w:rPr>
            </w:pPr>
            <w:r>
              <w:rPr>
                <w:rFonts w:hint="eastAsia" w:ascii="Times New Roman" w:hAnsi="Times New Roman" w:eastAsia="宋体" w:cs="Times New Roman"/>
                <w:color w:val="auto"/>
                <w:sz w:val="20"/>
                <w:szCs w:val="20"/>
                <w:highlight w:val="none"/>
                <w:lang w:val="en-US" w:eastAsia="zh-CN"/>
              </w:rPr>
              <w:t>8.72</w:t>
            </w:r>
          </w:p>
        </w:tc>
        <w:tc>
          <w:tcPr>
            <w:tcW w:w="1636" w:type="dxa"/>
            <w:tcBorders>
              <w:right w:val="single" w:color="000000" w:sz="10" w:space="0"/>
            </w:tcBorders>
            <w:vAlign w:val="top"/>
          </w:tcPr>
          <w:p>
            <w:pPr>
              <w:spacing w:before="89" w:line="198" w:lineRule="auto"/>
              <w:ind w:left="434" w:leftChars="0"/>
              <w:rPr>
                <w:rFonts w:ascii="Times New Roman" w:hAnsi="Times New Roman" w:eastAsia="Times New Roman" w:cs="Times New Roman"/>
                <w:color w:val="0000FF"/>
                <w:sz w:val="20"/>
                <w:szCs w:val="20"/>
                <w:highlight w:val="none"/>
              </w:rPr>
            </w:pPr>
            <w:r>
              <w:rPr>
                <w:rFonts w:ascii="Times New Roman" w:hAnsi="Times New Roman" w:eastAsia="Times New Roman" w:cs="Times New Roman"/>
                <w:color w:val="auto"/>
                <w:spacing w:val="3"/>
                <w:sz w:val="20"/>
                <w:szCs w:val="20"/>
                <w:highlight w:val="none"/>
              </w:rPr>
              <w:t>-</w:t>
            </w:r>
            <w:r>
              <w:rPr>
                <w:rFonts w:hint="eastAsia" w:ascii="Times New Roman" w:hAnsi="Times New Roman" w:eastAsia="宋体" w:cs="Times New Roman"/>
                <w:color w:val="auto"/>
                <w:spacing w:val="3"/>
                <w:sz w:val="20"/>
                <w:szCs w:val="20"/>
                <w:highlight w:val="none"/>
                <w:lang w:val="en-US" w:eastAsia="zh-CN"/>
              </w:rPr>
              <w:t>3.1575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351" w:type="dxa"/>
            <w:tcBorders>
              <w:left w:val="single" w:color="000000" w:sz="10" w:space="0"/>
            </w:tcBorders>
            <w:vAlign w:val="top"/>
          </w:tcPr>
          <w:p>
            <w:pPr>
              <w:spacing w:before="53" w:line="228" w:lineRule="auto"/>
              <w:ind w:left="107" w:leftChars="0"/>
              <w:rPr>
                <w:rFonts w:ascii="宋体" w:hAnsi="宋体" w:eastAsia="宋体" w:cs="宋体"/>
                <w:color w:val="0000FF"/>
                <w:sz w:val="20"/>
                <w:szCs w:val="20"/>
                <w:highlight w:val="none"/>
              </w:rPr>
            </w:pPr>
            <w:r>
              <w:rPr>
                <w:rFonts w:ascii="宋体" w:hAnsi="宋体" w:eastAsia="宋体" w:cs="宋体"/>
                <w:color w:val="auto"/>
                <w:spacing w:val="14"/>
                <w:sz w:val="20"/>
                <w:szCs w:val="20"/>
                <w:highlight w:val="none"/>
              </w:rPr>
              <w:t>草</w:t>
            </w:r>
            <w:r>
              <w:rPr>
                <w:rFonts w:ascii="宋体" w:hAnsi="宋体" w:eastAsia="宋体" w:cs="宋体"/>
                <w:color w:val="auto"/>
                <w:spacing w:val="9"/>
                <w:sz w:val="20"/>
                <w:szCs w:val="20"/>
                <w:highlight w:val="none"/>
              </w:rPr>
              <w:t>丛</w:t>
            </w:r>
            <w:r>
              <w:rPr>
                <w:rFonts w:ascii="宋体" w:hAnsi="宋体" w:eastAsia="宋体" w:cs="宋体"/>
                <w:color w:val="auto"/>
                <w:spacing w:val="7"/>
                <w:sz w:val="20"/>
                <w:szCs w:val="20"/>
                <w:highlight w:val="none"/>
              </w:rPr>
              <w:t xml:space="preserve"> (</w:t>
            </w:r>
            <w:r>
              <w:rPr>
                <w:rFonts w:hint="eastAsia" w:ascii="宋体" w:hAnsi="宋体" w:eastAsia="宋体" w:cs="宋体"/>
                <w:color w:val="auto"/>
                <w:spacing w:val="7"/>
                <w:sz w:val="20"/>
                <w:szCs w:val="20"/>
                <w:highlight w:val="none"/>
                <w:lang w:eastAsia="zh-CN"/>
              </w:rPr>
              <w:t>羊草、狼尾草等</w:t>
            </w:r>
            <w:r>
              <w:rPr>
                <w:rFonts w:ascii="宋体" w:hAnsi="宋体" w:eastAsia="宋体" w:cs="宋体"/>
                <w:color w:val="auto"/>
                <w:spacing w:val="7"/>
                <w:sz w:val="20"/>
                <w:szCs w:val="20"/>
                <w:highlight w:val="none"/>
              </w:rPr>
              <w:t>)</w:t>
            </w:r>
          </w:p>
        </w:tc>
        <w:tc>
          <w:tcPr>
            <w:tcW w:w="1636" w:type="dxa"/>
            <w:vAlign w:val="top"/>
          </w:tcPr>
          <w:p>
            <w:pPr>
              <w:spacing w:before="111" w:line="195" w:lineRule="auto"/>
              <w:ind w:left="758" w:leftChars="0"/>
              <w:rPr>
                <w:rFonts w:ascii="Times New Roman" w:hAnsi="Times New Roman" w:eastAsia="Times New Roman" w:cs="Times New Roman"/>
                <w:color w:val="0000FF"/>
                <w:sz w:val="20"/>
                <w:szCs w:val="20"/>
                <w:highlight w:val="none"/>
              </w:rPr>
            </w:pPr>
            <w:r>
              <w:rPr>
                <w:rFonts w:ascii="Times New Roman" w:hAnsi="Times New Roman" w:eastAsia="Times New Roman" w:cs="Times New Roman"/>
                <w:color w:val="auto"/>
                <w:sz w:val="20"/>
                <w:szCs w:val="20"/>
                <w:highlight w:val="none"/>
              </w:rPr>
              <w:t>0</w:t>
            </w:r>
          </w:p>
        </w:tc>
        <w:tc>
          <w:tcPr>
            <w:tcW w:w="1509" w:type="dxa"/>
            <w:vAlign w:val="top"/>
          </w:tcPr>
          <w:p>
            <w:pPr>
              <w:spacing w:before="111" w:line="198" w:lineRule="auto"/>
              <w:ind w:left="570" w:leftChars="0"/>
              <w:rPr>
                <w:rFonts w:hint="eastAsia" w:ascii="Times New Roman" w:hAnsi="Times New Roman" w:eastAsia="宋体" w:cs="Times New Roman"/>
                <w:color w:val="0000FF"/>
                <w:sz w:val="20"/>
                <w:szCs w:val="20"/>
                <w:highlight w:val="none"/>
                <w:lang w:eastAsia="zh-CN"/>
              </w:rPr>
            </w:pPr>
            <w:r>
              <w:rPr>
                <w:rFonts w:hint="eastAsia" w:ascii="Times New Roman" w:hAnsi="Times New Roman" w:eastAsia="宋体" w:cs="Times New Roman"/>
                <w:color w:val="auto"/>
                <w:sz w:val="20"/>
                <w:szCs w:val="20"/>
                <w:highlight w:val="none"/>
                <w:lang w:val="en-US" w:eastAsia="zh-CN"/>
              </w:rPr>
              <w:t>13.215</w:t>
            </w:r>
          </w:p>
        </w:tc>
        <w:tc>
          <w:tcPr>
            <w:tcW w:w="1150" w:type="dxa"/>
            <w:vAlign w:val="top"/>
          </w:tcPr>
          <w:p>
            <w:pPr>
              <w:spacing w:before="111" w:line="198" w:lineRule="auto"/>
              <w:ind w:left="570" w:leftChars="0"/>
              <w:rPr>
                <w:rFonts w:hint="eastAsia" w:ascii="Times New Roman" w:hAnsi="Times New Roman" w:eastAsia="宋体" w:cs="Times New Roman"/>
                <w:color w:val="0000FF"/>
                <w:sz w:val="20"/>
                <w:szCs w:val="20"/>
                <w:highlight w:val="none"/>
                <w:lang w:eastAsia="zh-CN"/>
              </w:rPr>
            </w:pPr>
            <w:r>
              <w:rPr>
                <w:rFonts w:hint="eastAsia" w:ascii="Times New Roman" w:hAnsi="Times New Roman" w:eastAsia="宋体" w:cs="Times New Roman"/>
                <w:color w:val="auto"/>
                <w:sz w:val="20"/>
                <w:szCs w:val="20"/>
                <w:highlight w:val="none"/>
                <w:lang w:val="en-US" w:eastAsia="zh-CN"/>
              </w:rPr>
              <w:t>13.215</w:t>
            </w:r>
          </w:p>
        </w:tc>
        <w:tc>
          <w:tcPr>
            <w:tcW w:w="1636" w:type="dxa"/>
            <w:tcBorders>
              <w:right w:val="single" w:color="000000" w:sz="10" w:space="0"/>
            </w:tcBorders>
            <w:vAlign w:val="top"/>
          </w:tcPr>
          <w:p>
            <w:pPr>
              <w:spacing w:before="111" w:line="198" w:lineRule="auto"/>
              <w:ind w:left="487" w:leftChars="0"/>
              <w:rPr>
                <w:rFonts w:ascii="Times New Roman" w:hAnsi="Times New Roman" w:eastAsia="Times New Roman" w:cs="Times New Roman"/>
                <w:color w:val="0000FF"/>
                <w:sz w:val="20"/>
                <w:szCs w:val="20"/>
                <w:highlight w:val="none"/>
              </w:rPr>
            </w:pPr>
            <w:r>
              <w:rPr>
                <w:rFonts w:ascii="Times New Roman" w:hAnsi="Times New Roman" w:eastAsia="Times New Roman" w:cs="Times New Roman"/>
                <w:color w:val="auto"/>
                <w:spacing w:val="-8"/>
                <w:sz w:val="20"/>
                <w:szCs w:val="20"/>
                <w:highlight w:val="none"/>
              </w:rPr>
              <w:t>-</w:t>
            </w:r>
            <w:r>
              <w:rPr>
                <w:rFonts w:ascii="Times New Roman" w:hAnsi="Times New Roman" w:eastAsia="Times New Roman" w:cs="Times New Roman"/>
                <w:color w:val="auto"/>
                <w:spacing w:val="-6"/>
                <w:sz w:val="20"/>
                <w:szCs w:val="20"/>
                <w:highlight w:val="none"/>
              </w:rPr>
              <w:t xml:space="preserve"> </w:t>
            </w:r>
            <w:r>
              <w:rPr>
                <w:rFonts w:hint="eastAsia" w:ascii="Times New Roman" w:hAnsi="Times New Roman" w:eastAsia="宋体" w:cs="Times New Roman"/>
                <w:color w:val="auto"/>
                <w:spacing w:val="-6"/>
                <w:sz w:val="20"/>
                <w:szCs w:val="20"/>
                <w:highlight w:val="none"/>
                <w:lang w:val="en-US" w:eastAsia="zh-CN"/>
              </w:rPr>
              <w:t>0.976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3351" w:type="dxa"/>
            <w:tcBorders>
              <w:left w:val="single" w:color="000000" w:sz="10" w:space="0"/>
            </w:tcBorders>
            <w:vAlign w:val="top"/>
          </w:tcPr>
          <w:p>
            <w:pPr>
              <w:spacing w:before="57" w:line="228" w:lineRule="auto"/>
              <w:ind w:left="1253"/>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工</w:t>
            </w:r>
            <w:r>
              <w:rPr>
                <w:rFonts w:ascii="宋体" w:hAnsi="宋体" w:eastAsia="宋体" w:cs="宋体"/>
                <w:color w:val="auto"/>
                <w:spacing w:val="6"/>
                <w:sz w:val="20"/>
                <w:szCs w:val="20"/>
                <w:highlight w:val="none"/>
              </w:rPr>
              <w:t>矿用地</w:t>
            </w:r>
          </w:p>
        </w:tc>
        <w:tc>
          <w:tcPr>
            <w:tcW w:w="1636" w:type="dxa"/>
            <w:vAlign w:val="top"/>
          </w:tcPr>
          <w:p>
            <w:pPr>
              <w:spacing w:before="88" w:line="198" w:lineRule="auto"/>
              <w:ind w:left="571" w:leftChars="0"/>
              <w:rPr>
                <w:rFonts w:ascii="Times New Roman" w:hAnsi="Times New Roman" w:eastAsia="Times New Roman" w:cs="Times New Roman"/>
                <w:color w:val="0000FF"/>
                <w:sz w:val="20"/>
                <w:szCs w:val="20"/>
                <w:highlight w:val="none"/>
              </w:rPr>
            </w:pPr>
            <w:r>
              <w:rPr>
                <w:rFonts w:hint="eastAsia" w:ascii="Times New Roman" w:hAnsi="Times New Roman" w:eastAsia="Times New Roman" w:cs="Times New Roman"/>
                <w:color w:val="auto"/>
                <w:spacing w:val="6"/>
                <w:sz w:val="20"/>
                <w:szCs w:val="20"/>
                <w:highlight w:val="none"/>
              </w:rPr>
              <w:t>3</w:t>
            </w:r>
            <w:r>
              <w:rPr>
                <w:rFonts w:hint="eastAsia" w:ascii="Times New Roman" w:hAnsi="Times New Roman" w:eastAsia="Times New Roman" w:cs="Times New Roman"/>
                <w:color w:val="auto"/>
                <w:spacing w:val="6"/>
                <w:sz w:val="20"/>
                <w:szCs w:val="20"/>
                <w:highlight w:val="none"/>
                <w:lang w:val="en-US" w:eastAsia="zh-CN"/>
              </w:rPr>
              <w:t>.</w:t>
            </w:r>
            <w:r>
              <w:rPr>
                <w:rFonts w:hint="eastAsia" w:ascii="Times New Roman" w:hAnsi="Times New Roman" w:eastAsia="Times New Roman" w:cs="Times New Roman"/>
                <w:color w:val="auto"/>
                <w:spacing w:val="6"/>
                <w:sz w:val="20"/>
                <w:szCs w:val="20"/>
                <w:highlight w:val="none"/>
              </w:rPr>
              <w:t>1575</w:t>
            </w:r>
          </w:p>
        </w:tc>
        <w:tc>
          <w:tcPr>
            <w:tcW w:w="1509" w:type="dxa"/>
            <w:vAlign w:val="top"/>
          </w:tcPr>
          <w:p>
            <w:pPr>
              <w:spacing w:before="88" w:line="198" w:lineRule="auto"/>
              <w:ind w:left="590" w:leftChars="0"/>
              <w:rPr>
                <w:rFonts w:ascii="Times New Roman" w:hAnsi="Times New Roman" w:eastAsia="Times New Roman" w:cs="Times New Roman"/>
                <w:color w:val="0000FF"/>
                <w:sz w:val="20"/>
                <w:szCs w:val="20"/>
                <w:highlight w:val="none"/>
              </w:rPr>
            </w:pPr>
            <w:r>
              <w:rPr>
                <w:rFonts w:hint="eastAsia" w:ascii="Times New Roman" w:hAnsi="Times New Roman" w:eastAsia="宋体" w:cs="Times New Roman"/>
                <w:color w:val="auto"/>
                <w:spacing w:val="-2"/>
                <w:sz w:val="20"/>
                <w:szCs w:val="20"/>
                <w:highlight w:val="none"/>
                <w:lang w:val="en-US" w:eastAsia="zh-CN"/>
              </w:rPr>
              <w:t>0.976</w:t>
            </w:r>
          </w:p>
        </w:tc>
        <w:tc>
          <w:tcPr>
            <w:tcW w:w="1150" w:type="dxa"/>
            <w:vAlign w:val="top"/>
          </w:tcPr>
          <w:p>
            <w:pPr>
              <w:spacing w:before="88" w:line="195" w:lineRule="auto"/>
              <w:ind w:left="524" w:leftChars="0"/>
              <w:rPr>
                <w:rFonts w:hint="eastAsia" w:ascii="Times New Roman" w:hAnsi="Times New Roman" w:eastAsia="宋体" w:cs="Times New Roman"/>
                <w:color w:val="0000FF"/>
                <w:sz w:val="20"/>
                <w:szCs w:val="20"/>
                <w:highlight w:val="none"/>
                <w:lang w:eastAsia="zh-CN"/>
              </w:rPr>
            </w:pPr>
            <w:r>
              <w:rPr>
                <w:rFonts w:hint="eastAsia" w:ascii="Times New Roman" w:hAnsi="Times New Roman" w:eastAsia="宋体" w:cs="Times New Roman"/>
                <w:color w:val="auto"/>
                <w:spacing w:val="3"/>
                <w:sz w:val="20"/>
                <w:szCs w:val="20"/>
                <w:highlight w:val="none"/>
                <w:lang w:eastAsia="zh-CN"/>
              </w:rPr>
              <w:t>4.134</w:t>
            </w:r>
          </w:p>
        </w:tc>
        <w:tc>
          <w:tcPr>
            <w:tcW w:w="1636" w:type="dxa"/>
            <w:tcBorders>
              <w:right w:val="single" w:color="000000" w:sz="10" w:space="0"/>
            </w:tcBorders>
            <w:vAlign w:val="top"/>
          </w:tcPr>
          <w:p>
            <w:pPr>
              <w:spacing w:before="15" w:line="281" w:lineRule="exact"/>
              <w:ind w:left="406" w:leftChars="0"/>
              <w:rPr>
                <w:rFonts w:hint="eastAsia" w:ascii="Times New Roman" w:hAnsi="Times New Roman" w:eastAsia="宋体" w:cs="Times New Roman"/>
                <w:color w:val="0000FF"/>
                <w:sz w:val="20"/>
                <w:szCs w:val="20"/>
                <w:highlight w:val="none"/>
                <w:lang w:eastAsia="zh-CN"/>
              </w:rPr>
            </w:pPr>
            <w:r>
              <w:rPr>
                <w:rFonts w:ascii="Times New Roman" w:hAnsi="Times New Roman" w:eastAsia="Times New Roman" w:cs="Times New Roman"/>
                <w:color w:val="auto"/>
                <w:spacing w:val="5"/>
                <w:position w:val="2"/>
                <w:sz w:val="20"/>
                <w:szCs w:val="20"/>
                <w:highlight w:val="none"/>
              </w:rPr>
              <w:t>+</w:t>
            </w:r>
            <w:r>
              <w:rPr>
                <w:rFonts w:hint="eastAsia" w:ascii="Times New Roman" w:hAnsi="Times New Roman" w:eastAsia="宋体" w:cs="Times New Roman"/>
                <w:color w:val="auto"/>
                <w:spacing w:val="4"/>
                <w:position w:val="2"/>
                <w:sz w:val="20"/>
                <w:szCs w:val="20"/>
                <w:highlight w:val="none"/>
                <w:lang w:eastAsia="zh-CN"/>
              </w:rPr>
              <w:t>4.134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351" w:type="dxa"/>
            <w:tcBorders>
              <w:left w:val="single" w:color="000000" w:sz="10" w:space="0"/>
            </w:tcBorders>
            <w:vAlign w:val="top"/>
          </w:tcPr>
          <w:p>
            <w:pPr>
              <w:spacing w:before="59" w:line="229" w:lineRule="auto"/>
              <w:ind w:left="1460"/>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合计</w:t>
            </w:r>
          </w:p>
        </w:tc>
        <w:tc>
          <w:tcPr>
            <w:tcW w:w="1636" w:type="dxa"/>
            <w:vAlign w:val="top"/>
          </w:tcPr>
          <w:p>
            <w:pPr>
              <w:spacing w:before="90" w:line="198" w:lineRule="auto"/>
              <w:ind w:left="571" w:leftChars="0"/>
              <w:rPr>
                <w:rFonts w:ascii="Times New Roman" w:hAnsi="Times New Roman" w:eastAsia="Times New Roman" w:cs="Times New Roman"/>
                <w:color w:val="0000FF"/>
                <w:sz w:val="20"/>
                <w:szCs w:val="20"/>
                <w:highlight w:val="none"/>
              </w:rPr>
            </w:pPr>
            <w:r>
              <w:rPr>
                <w:rFonts w:hint="eastAsia" w:ascii="Times New Roman" w:hAnsi="Times New Roman" w:eastAsia="Times New Roman" w:cs="Times New Roman"/>
                <w:color w:val="auto"/>
                <w:spacing w:val="6"/>
                <w:sz w:val="20"/>
                <w:szCs w:val="20"/>
                <w:highlight w:val="none"/>
              </w:rPr>
              <w:t>3</w:t>
            </w:r>
            <w:r>
              <w:rPr>
                <w:rFonts w:hint="eastAsia" w:ascii="Times New Roman" w:hAnsi="Times New Roman" w:eastAsia="Times New Roman" w:cs="Times New Roman"/>
                <w:color w:val="auto"/>
                <w:spacing w:val="6"/>
                <w:sz w:val="20"/>
                <w:szCs w:val="20"/>
                <w:highlight w:val="none"/>
                <w:lang w:val="en-US" w:eastAsia="zh-CN"/>
              </w:rPr>
              <w:t>.</w:t>
            </w:r>
            <w:r>
              <w:rPr>
                <w:rFonts w:hint="eastAsia" w:ascii="Times New Roman" w:hAnsi="Times New Roman" w:eastAsia="Times New Roman" w:cs="Times New Roman"/>
                <w:color w:val="auto"/>
                <w:spacing w:val="6"/>
                <w:sz w:val="20"/>
                <w:szCs w:val="20"/>
                <w:highlight w:val="none"/>
              </w:rPr>
              <w:t>1575</w:t>
            </w:r>
          </w:p>
        </w:tc>
        <w:tc>
          <w:tcPr>
            <w:tcW w:w="1509" w:type="dxa"/>
            <w:vAlign w:val="top"/>
          </w:tcPr>
          <w:p>
            <w:pPr>
              <w:spacing w:before="90" w:line="195" w:lineRule="auto"/>
              <w:ind w:left="590" w:leftChars="0"/>
              <w:rPr>
                <w:rFonts w:ascii="Times New Roman" w:hAnsi="Times New Roman" w:eastAsia="Times New Roman" w:cs="Times New Roman"/>
                <w:color w:val="0000FF"/>
                <w:sz w:val="20"/>
                <w:szCs w:val="20"/>
                <w:highlight w:val="none"/>
              </w:rPr>
            </w:pPr>
            <w:r>
              <w:rPr>
                <w:rFonts w:hint="eastAsia" w:ascii="Times New Roman" w:hAnsi="Times New Roman" w:eastAsia="Times New Roman" w:cs="Times New Roman"/>
                <w:color w:val="auto"/>
                <w:sz w:val="20"/>
                <w:szCs w:val="20"/>
                <w:highlight w:val="none"/>
                <w:lang w:val="en-US" w:eastAsia="zh-CN"/>
              </w:rPr>
              <w:fldChar w:fldCharType="begin"/>
            </w:r>
            <w:r>
              <w:rPr>
                <w:rFonts w:hint="eastAsia" w:ascii="Times New Roman" w:hAnsi="Times New Roman" w:eastAsia="Times New Roman" w:cs="Times New Roman"/>
                <w:color w:val="auto"/>
                <w:sz w:val="20"/>
                <w:szCs w:val="20"/>
                <w:highlight w:val="none"/>
                <w:lang w:val="en-US" w:eastAsia="zh-CN"/>
              </w:rPr>
              <w:instrText xml:space="preserve"> = sum(F3:F5) \* MERGEFORMAT </w:instrText>
            </w:r>
            <w:r>
              <w:rPr>
                <w:rFonts w:hint="eastAsia" w:ascii="Times New Roman" w:hAnsi="Times New Roman" w:eastAsia="Times New Roman" w:cs="Times New Roman"/>
                <w:color w:val="auto"/>
                <w:sz w:val="20"/>
                <w:szCs w:val="20"/>
                <w:highlight w:val="none"/>
                <w:lang w:val="en-US" w:eastAsia="zh-CN"/>
              </w:rPr>
              <w:fldChar w:fldCharType="separate"/>
            </w:r>
            <w:r>
              <w:rPr>
                <w:rFonts w:hint="eastAsia" w:ascii="Times New Roman" w:hAnsi="Times New Roman" w:eastAsia="Times New Roman" w:cs="Times New Roman"/>
                <w:color w:val="auto"/>
                <w:sz w:val="20"/>
                <w:szCs w:val="20"/>
                <w:highlight w:val="none"/>
                <w:lang w:val="en-US" w:eastAsia="zh-CN"/>
              </w:rPr>
              <w:t>22.911</w:t>
            </w:r>
            <w:r>
              <w:rPr>
                <w:rFonts w:hint="eastAsia" w:ascii="Times New Roman" w:hAnsi="Times New Roman" w:eastAsia="Times New Roman" w:cs="Times New Roman"/>
                <w:color w:val="auto"/>
                <w:sz w:val="20"/>
                <w:szCs w:val="20"/>
                <w:highlight w:val="none"/>
                <w:lang w:val="en-US" w:eastAsia="zh-CN"/>
              </w:rPr>
              <w:fldChar w:fldCharType="end"/>
            </w:r>
          </w:p>
        </w:tc>
        <w:tc>
          <w:tcPr>
            <w:tcW w:w="1150" w:type="dxa"/>
            <w:vAlign w:val="top"/>
          </w:tcPr>
          <w:p>
            <w:pPr>
              <w:spacing w:before="90" w:line="195" w:lineRule="auto"/>
              <w:ind w:left="489" w:leftChars="0"/>
              <w:rPr>
                <w:rFonts w:hint="eastAsia" w:ascii="Times New Roman" w:hAnsi="Times New Roman" w:eastAsia="宋体" w:cs="Times New Roman"/>
                <w:color w:val="0000FF"/>
                <w:sz w:val="20"/>
                <w:szCs w:val="20"/>
                <w:highlight w:val="none"/>
                <w:lang w:eastAsia="zh-CN"/>
              </w:rPr>
            </w:pPr>
            <w:r>
              <w:rPr>
                <w:rFonts w:hint="eastAsia" w:ascii="Times New Roman" w:hAnsi="Times New Roman" w:eastAsia="宋体" w:cs="Times New Roman"/>
                <w:color w:val="auto"/>
                <w:sz w:val="20"/>
                <w:szCs w:val="20"/>
                <w:highlight w:val="none"/>
                <w:lang w:eastAsia="zh-CN"/>
              </w:rPr>
              <w:fldChar w:fldCharType="begin"/>
            </w:r>
            <w:r>
              <w:rPr>
                <w:rFonts w:hint="eastAsia" w:ascii="Times New Roman" w:hAnsi="Times New Roman" w:eastAsia="宋体" w:cs="Times New Roman"/>
                <w:color w:val="auto"/>
                <w:sz w:val="20"/>
                <w:szCs w:val="20"/>
                <w:highlight w:val="none"/>
                <w:lang w:eastAsia="zh-CN"/>
              </w:rPr>
              <w:instrText xml:space="preserve"> = sum(G3:G5) \* MERGEFORMAT </w:instrText>
            </w:r>
            <w:r>
              <w:rPr>
                <w:rFonts w:hint="eastAsia" w:ascii="Times New Roman" w:hAnsi="Times New Roman" w:eastAsia="宋体" w:cs="Times New Roman"/>
                <w:color w:val="auto"/>
                <w:sz w:val="20"/>
                <w:szCs w:val="20"/>
                <w:highlight w:val="none"/>
                <w:lang w:eastAsia="zh-CN"/>
              </w:rPr>
              <w:fldChar w:fldCharType="separate"/>
            </w:r>
            <w:r>
              <w:rPr>
                <w:rFonts w:hint="eastAsia" w:ascii="Times New Roman" w:hAnsi="Times New Roman" w:eastAsia="宋体" w:cs="Times New Roman"/>
                <w:color w:val="auto"/>
                <w:sz w:val="20"/>
                <w:szCs w:val="20"/>
                <w:highlight w:val="none"/>
                <w:lang w:eastAsia="zh-CN"/>
              </w:rPr>
              <w:t>26.069</w:t>
            </w:r>
            <w:r>
              <w:rPr>
                <w:rFonts w:hint="eastAsia" w:ascii="Times New Roman" w:hAnsi="Times New Roman" w:eastAsia="宋体" w:cs="Times New Roman"/>
                <w:color w:val="auto"/>
                <w:sz w:val="20"/>
                <w:szCs w:val="20"/>
                <w:highlight w:val="none"/>
                <w:lang w:eastAsia="zh-CN"/>
              </w:rPr>
              <w:fldChar w:fldCharType="end"/>
            </w:r>
          </w:p>
        </w:tc>
        <w:tc>
          <w:tcPr>
            <w:tcW w:w="1636" w:type="dxa"/>
            <w:tcBorders>
              <w:right w:val="single" w:color="000000" w:sz="10" w:space="0"/>
            </w:tcBorders>
            <w:vAlign w:val="top"/>
          </w:tcPr>
          <w:p>
            <w:pPr>
              <w:spacing w:before="90" w:line="195" w:lineRule="auto"/>
              <w:ind w:left="654" w:leftChars="0"/>
              <w:rPr>
                <w:rFonts w:ascii="Times New Roman" w:hAnsi="Times New Roman" w:eastAsia="Times New Roman" w:cs="Times New Roman"/>
                <w:color w:val="0000FF"/>
                <w:sz w:val="20"/>
                <w:szCs w:val="20"/>
                <w:highlight w:val="none"/>
              </w:rPr>
            </w:pPr>
            <w:r>
              <w:rPr>
                <w:rFonts w:ascii="Times New Roman" w:hAnsi="Times New Roman" w:eastAsia="Times New Roman" w:cs="Times New Roman"/>
                <w:color w:val="auto"/>
                <w:sz w:val="20"/>
                <w:szCs w:val="20"/>
                <w:highlight w:val="none"/>
              </w:rPr>
              <w:t>0</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从表 5. 1-5 和表 5. 1-6 对比可知，本工程施工前后植被类型变化中以500kV 汇集站及塔基占用玉米为主， 占地面积为4.614hm²，占地区内4.614hm²玉米被破坏及压占，转换为工业用地；输电线路建设过程中永久占地主要占用羊草、狼尾草等，其中永久占地破坏羊草、狼尾草0.456hm²。</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工程沿线草地以羊草、狼尾草等为主，广泛分布区评价区内，对区内水土保持，防风固沙具有一定的作用，本次工程施工部分杆塔布置在草地区，会对草地生态系统造成一定的影响，使得区内草地植被生物量和生产力下降，但工程施工是短暂的，对植被的生态影响会随着施工结束而结束，施工结束后对临时占用的耕地进行土地整治复耕，工程永久占地面积小，且塔基建成后，塔基下方位置仍可以播撒草籽，塔基四角占地面积更小，所带来的产量损失小，不会对草地生态产生明显影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输电线路永久占地仅为塔基占地，临时占地包括塔基区、施工道路区、跨越场地区，永久占地和临时占地会造成部分区域植被的损失，但是临时占地后期会进植被恢复，塔基区除四个塔腿外也均可以进行恢复；输电线路采用无人机展放牵引绳，不会对线路走廊植被造成破坏。因此对植被的影响是可以接受的。</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(2)对群落多样性及系统稳定性影响分析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实地调查与查阅相关资料，塔基永久占地占用其他草地，这类植被在当地分布普遍，群落内都为常见的植物物种，工程建设会造成植物数量减少，但对于植物群落的多样性影响有限，不会造成评价区内植物多样性及植被多样性的明显减少。</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本工程占地面积较小，丧失的植被不会影响到植被群落整体的结构和功能，也不会影响沿线生态系统的稳定性。</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(3)外来物种对当地植被群落的影响分析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本工程建设期，工程人员及各种运输设施进入评价区范围，有可能有意无意将外来 物种带入该区域。带有入侵性的外来物种具有生态适应能力强、繁殖能力强、传播能力 强等特点，很容易对本地植被群落造成一定的影响。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评价区内线路影响地区玉米和草地植被类型，草地植被多为本地区的优势植被，有较稳定、抗性强等特点，具有一定占领本地生态系统 优势位的实力。因此，总体而言外来物种对当地的植被群落影响较小。</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但若工程临时占地未能及时恢复本土植被，这些裸地便可能为外来物种的发展提供条件，逐步形成外来物种为优势种的群落，排斥本土物种，最终影响本区原生植物群落的自然演替，降低区域的生物多样性。因此，建设后期要加强本土植被的恢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(4)植被覆盖度影响分析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本工程汇集站新建，对新增征地会产生植被破坏。输电线路施工会对占地区内植被 造成破坏，工程建成会对区内植被覆盖度产生一定的影响，根据 HJ19-2022 要求采用生态机理分析法进行植被类型影响分析。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工程施工期前对评价区植被覆盖度现状的影响程度见表 5. 1-7 、工程施工后对评价 区植被覆盖度现状的影响程度见表 5. 1-8。</w:t>
      </w:r>
    </w:p>
    <w:p>
      <w:pPr>
        <w:spacing w:before="1" w:line="221" w:lineRule="auto"/>
        <w:ind w:left="2519"/>
        <w:rPr>
          <w:rFonts w:ascii="宋体" w:hAnsi="宋体" w:eastAsia="宋体" w:cs="宋体"/>
          <w:color w:val="auto"/>
          <w:sz w:val="23"/>
          <w:szCs w:val="23"/>
          <w:highlight w:val="none"/>
        </w:rPr>
      </w:pPr>
      <w:r>
        <w:rPr>
          <w:rFonts w:ascii="宋体" w:hAnsi="宋体" w:eastAsia="宋体" w:cs="宋体"/>
          <w:color w:val="auto"/>
          <w:spacing w:val="8"/>
          <w:sz w:val="23"/>
          <w:szCs w:val="23"/>
          <w:highlight w:val="none"/>
          <w14:textOutline w14:w="4358" w14:cap="sq" w14:cmpd="sng">
            <w14:solidFill>
              <w14:srgbClr w14:val="000000"/>
            </w14:solidFill>
            <w14:prstDash w14:val="solid"/>
            <w14:bevel/>
          </w14:textOutline>
        </w:rPr>
        <w:t>表</w:t>
      </w:r>
      <w:r>
        <w:rPr>
          <w:rFonts w:ascii="宋体" w:hAnsi="宋体" w:eastAsia="宋体" w:cs="宋体"/>
          <w:color w:val="auto"/>
          <w:spacing w:val="8"/>
          <w:sz w:val="23"/>
          <w:szCs w:val="23"/>
          <w:highlight w:val="none"/>
        </w:rPr>
        <w:t xml:space="preserve"> </w:t>
      </w:r>
      <w:r>
        <w:rPr>
          <w:rFonts w:ascii="Times New Roman" w:hAnsi="Times New Roman" w:eastAsia="Times New Roman" w:cs="Times New Roman"/>
          <w:b/>
          <w:bCs/>
          <w:color w:val="auto"/>
          <w:spacing w:val="8"/>
          <w:sz w:val="23"/>
          <w:szCs w:val="23"/>
          <w:highlight w:val="none"/>
        </w:rPr>
        <w:t>5.</w:t>
      </w:r>
      <w:r>
        <w:rPr>
          <w:rFonts w:ascii="Times New Roman" w:hAnsi="Times New Roman" w:eastAsia="Times New Roman" w:cs="Times New Roman"/>
          <w:b/>
          <w:bCs/>
          <w:color w:val="auto"/>
          <w:spacing w:val="7"/>
          <w:sz w:val="23"/>
          <w:szCs w:val="23"/>
          <w:highlight w:val="none"/>
        </w:rPr>
        <w:t>1</w:t>
      </w:r>
      <w:r>
        <w:rPr>
          <w:rFonts w:ascii="Times New Roman" w:hAnsi="Times New Roman" w:eastAsia="Times New Roman" w:cs="Times New Roman"/>
          <w:b/>
          <w:bCs/>
          <w:color w:val="auto"/>
          <w:spacing w:val="4"/>
          <w:sz w:val="23"/>
          <w:szCs w:val="23"/>
          <w:highlight w:val="none"/>
        </w:rPr>
        <w:t>-7</w:t>
      </w:r>
      <w:r>
        <w:rPr>
          <w:rFonts w:ascii="Times New Roman" w:hAnsi="Times New Roman" w:eastAsia="Times New Roman" w:cs="Times New Roman"/>
          <w:color w:val="auto"/>
          <w:spacing w:val="4"/>
          <w:sz w:val="23"/>
          <w:szCs w:val="23"/>
          <w:highlight w:val="none"/>
        </w:rPr>
        <w:t xml:space="preserve">      </w:t>
      </w:r>
      <w:r>
        <w:rPr>
          <w:rFonts w:ascii="宋体" w:hAnsi="宋体" w:eastAsia="宋体" w:cs="宋体"/>
          <w:color w:val="auto"/>
          <w:spacing w:val="4"/>
          <w:sz w:val="23"/>
          <w:szCs w:val="23"/>
          <w:highlight w:val="none"/>
          <w14:textOutline w14:w="4358" w14:cap="sq" w14:cmpd="sng">
            <w14:solidFill>
              <w14:srgbClr w14:val="000000"/>
            </w14:solidFill>
            <w14:prstDash w14:val="solid"/>
            <w14:bevel/>
          </w14:textOutline>
        </w:rPr>
        <w:t>工程占地前植被覆盖度现状表</w:t>
      </w:r>
    </w:p>
    <w:tbl>
      <w:tblPr>
        <w:tblStyle w:val="20"/>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02"/>
        <w:gridCol w:w="2344"/>
        <w:gridCol w:w="2186"/>
        <w:gridCol w:w="18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02" w:type="dxa"/>
            <w:vMerge w:val="restart"/>
            <w:tcBorders>
              <w:left w:val="single" w:color="000000" w:sz="10" w:space="0"/>
              <w:bottom w:val="nil"/>
            </w:tcBorders>
            <w:vAlign w:val="top"/>
          </w:tcPr>
          <w:p>
            <w:pPr>
              <w:spacing w:line="325" w:lineRule="auto"/>
              <w:rPr>
                <w:rFonts w:ascii="Arial"/>
                <w:color w:val="auto"/>
                <w:sz w:val="21"/>
                <w:highlight w:val="none"/>
              </w:rPr>
            </w:pPr>
          </w:p>
          <w:p>
            <w:pPr>
              <w:spacing w:before="65" w:line="228" w:lineRule="auto"/>
              <w:ind w:left="1023"/>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14:textOutline w14:w="3795" w14:cap="sq" w14:cmpd="sng">
                  <w14:solidFill>
                    <w14:srgbClr w14:val="000000"/>
                  </w14:solidFill>
                  <w14:prstDash w14:val="solid"/>
                  <w14:bevel/>
                </w14:textOutline>
              </w:rPr>
              <w:t>植</w:t>
            </w:r>
            <w:r>
              <w:rPr>
                <w:rFonts w:ascii="宋体" w:hAnsi="宋体" w:eastAsia="宋体" w:cs="宋体"/>
                <w:color w:val="auto"/>
                <w:spacing w:val="8"/>
                <w:sz w:val="20"/>
                <w:szCs w:val="20"/>
                <w:highlight w:val="none"/>
                <w14:textOutline w14:w="3795" w14:cap="sq" w14:cmpd="sng">
                  <w14:solidFill>
                    <w14:srgbClr w14:val="000000"/>
                  </w14:solidFill>
                  <w14:prstDash w14:val="solid"/>
                  <w14:bevel/>
                </w14:textOutline>
              </w:rPr>
              <w:t>被类型</w:t>
            </w:r>
          </w:p>
        </w:tc>
        <w:tc>
          <w:tcPr>
            <w:tcW w:w="6380" w:type="dxa"/>
            <w:gridSpan w:val="3"/>
            <w:tcBorders>
              <w:right w:val="single" w:color="000000" w:sz="10" w:space="0"/>
            </w:tcBorders>
            <w:vAlign w:val="top"/>
          </w:tcPr>
          <w:p>
            <w:pPr>
              <w:spacing w:before="75" w:line="228" w:lineRule="auto"/>
              <w:ind w:left="2384"/>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14:textOutline w14:w="3795" w14:cap="sq" w14:cmpd="sng">
                  <w14:solidFill>
                    <w14:srgbClr w14:val="000000"/>
                  </w14:solidFill>
                  <w14:prstDash w14:val="solid"/>
                  <w14:bevel/>
                </w14:textOutline>
              </w:rPr>
              <w:t>占</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地区植被覆盖度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902" w:type="dxa"/>
            <w:vMerge w:val="continue"/>
            <w:tcBorders>
              <w:top w:val="nil"/>
              <w:left w:val="single" w:color="000000" w:sz="10" w:space="0"/>
            </w:tcBorders>
            <w:vAlign w:val="top"/>
          </w:tcPr>
          <w:p>
            <w:pPr>
              <w:rPr>
                <w:rFonts w:ascii="Arial"/>
                <w:color w:val="auto"/>
                <w:sz w:val="21"/>
                <w:highlight w:val="none"/>
              </w:rPr>
            </w:pPr>
          </w:p>
        </w:tc>
        <w:tc>
          <w:tcPr>
            <w:tcW w:w="2344" w:type="dxa"/>
            <w:vAlign w:val="top"/>
          </w:tcPr>
          <w:p>
            <w:pPr>
              <w:spacing w:before="11" w:line="289" w:lineRule="exact"/>
              <w:ind w:left="330"/>
              <w:rPr>
                <w:rFonts w:ascii="宋体" w:hAnsi="宋体" w:eastAsia="宋体" w:cs="宋体"/>
                <w:color w:val="auto"/>
                <w:sz w:val="20"/>
                <w:szCs w:val="20"/>
                <w:highlight w:val="none"/>
              </w:rPr>
            </w:pPr>
            <w:r>
              <w:rPr>
                <w:rFonts w:ascii="Times New Roman" w:hAnsi="Times New Roman" w:eastAsia="Times New Roman" w:cs="Times New Roman"/>
                <w:b/>
                <w:bCs/>
                <w:color w:val="auto"/>
                <w:spacing w:val="10"/>
                <w:position w:val="1"/>
                <w:sz w:val="20"/>
                <w:szCs w:val="20"/>
                <w:highlight w:val="none"/>
              </w:rPr>
              <w:t>5</w:t>
            </w:r>
            <w:r>
              <w:rPr>
                <w:rFonts w:ascii="Times New Roman" w:hAnsi="Times New Roman" w:eastAsia="Times New Roman" w:cs="Times New Roman"/>
                <w:b/>
                <w:bCs/>
                <w:color w:val="auto"/>
                <w:spacing w:val="8"/>
                <w:position w:val="1"/>
                <w:sz w:val="20"/>
                <w:szCs w:val="20"/>
                <w:highlight w:val="none"/>
              </w:rPr>
              <w:t>00</w:t>
            </w:r>
            <w:r>
              <w:rPr>
                <w:rFonts w:ascii="Times New Roman" w:hAnsi="Times New Roman" w:eastAsia="Times New Roman" w:cs="Times New Roman"/>
                <w:b/>
                <w:bCs/>
                <w:color w:val="auto"/>
                <w:position w:val="1"/>
                <w:sz w:val="20"/>
                <w:szCs w:val="20"/>
                <w:highlight w:val="none"/>
              </w:rPr>
              <w:t>kV</w:t>
            </w:r>
            <w:r>
              <w:rPr>
                <w:rFonts w:ascii="Times New Roman" w:hAnsi="Times New Roman" w:eastAsia="Times New Roman" w:cs="Times New Roman"/>
                <w:color w:val="auto"/>
                <w:spacing w:val="8"/>
                <w:position w:val="1"/>
                <w:sz w:val="20"/>
                <w:szCs w:val="20"/>
                <w:highlight w:val="none"/>
              </w:rPr>
              <w:t xml:space="preserve"> </w:t>
            </w:r>
            <w:r>
              <w:rPr>
                <w:rFonts w:ascii="宋体" w:hAnsi="宋体" w:eastAsia="宋体" w:cs="宋体"/>
                <w:color w:val="auto"/>
                <w:spacing w:val="8"/>
                <w:position w:val="1"/>
                <w:sz w:val="20"/>
                <w:szCs w:val="20"/>
                <w:highlight w:val="none"/>
                <w14:textOutline w14:w="3795" w14:cap="sq" w14:cmpd="sng">
                  <w14:solidFill>
                    <w14:srgbClr w14:val="000000"/>
                  </w14:solidFill>
                  <w14:prstDash w14:val="solid"/>
                  <w14:bevel/>
                </w14:textOutline>
              </w:rPr>
              <w:t>汇集站面积</w:t>
            </w:r>
          </w:p>
          <w:p>
            <w:pPr>
              <w:spacing w:before="23" w:line="288" w:lineRule="exact"/>
              <w:ind w:left="795"/>
              <w:rPr>
                <w:rFonts w:ascii="宋体" w:hAnsi="宋体" w:eastAsia="宋体" w:cs="宋体"/>
                <w:color w:val="auto"/>
                <w:sz w:val="20"/>
                <w:szCs w:val="20"/>
                <w:highlight w:val="none"/>
              </w:rPr>
            </w:pPr>
            <w:r>
              <w:rPr>
                <w:rFonts w:ascii="宋体" w:hAnsi="宋体" w:eastAsia="宋体" w:cs="宋体"/>
                <w:color w:val="auto"/>
                <w:spacing w:val="27"/>
                <w:position w:val="1"/>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position w:val="1"/>
                <w:sz w:val="20"/>
                <w:szCs w:val="20"/>
                <w:highlight w:val="none"/>
              </w:rPr>
              <w:t>hm</w:t>
            </w:r>
            <w:r>
              <w:rPr>
                <w:rFonts w:ascii="Times New Roman" w:hAnsi="Times New Roman" w:eastAsia="Times New Roman" w:cs="Times New Roman"/>
                <w:b/>
                <w:bCs/>
                <w:color w:val="auto"/>
                <w:spacing w:val="27"/>
                <w:position w:val="7"/>
                <w:sz w:val="13"/>
                <w:szCs w:val="13"/>
                <w:highlight w:val="none"/>
              </w:rPr>
              <w:t>2</w:t>
            </w:r>
            <w:r>
              <w:rPr>
                <w:rFonts w:ascii="Times New Roman" w:hAnsi="Times New Roman" w:eastAsia="Times New Roman" w:cs="Times New Roman"/>
                <w:color w:val="auto"/>
                <w:spacing w:val="27"/>
                <w:position w:val="7"/>
                <w:sz w:val="13"/>
                <w:szCs w:val="13"/>
                <w:highlight w:val="none"/>
              </w:rPr>
              <w:t xml:space="preserve"> </w:t>
            </w:r>
            <w:r>
              <w:rPr>
                <w:rFonts w:ascii="宋体" w:hAnsi="宋体" w:eastAsia="宋体" w:cs="宋体"/>
                <w:color w:val="auto"/>
                <w:spacing w:val="26"/>
                <w:position w:val="1"/>
                <w:sz w:val="20"/>
                <w:szCs w:val="20"/>
                <w:highlight w:val="none"/>
                <w14:textOutline w14:w="3795" w14:cap="sq" w14:cmpd="sng">
                  <w14:solidFill>
                    <w14:srgbClr w14:val="000000"/>
                  </w14:solidFill>
                  <w14:prstDash w14:val="solid"/>
                  <w14:bevel/>
                </w14:textOutline>
              </w:rPr>
              <w:t>)</w:t>
            </w:r>
          </w:p>
        </w:tc>
        <w:tc>
          <w:tcPr>
            <w:tcW w:w="2186" w:type="dxa"/>
            <w:vAlign w:val="top"/>
          </w:tcPr>
          <w:p>
            <w:pPr>
              <w:spacing w:before="167" w:line="289" w:lineRule="exact"/>
              <w:ind w:left="115"/>
              <w:rPr>
                <w:rFonts w:ascii="宋体" w:hAnsi="宋体" w:eastAsia="宋体" w:cs="宋体"/>
                <w:color w:val="auto"/>
                <w:sz w:val="20"/>
                <w:szCs w:val="20"/>
                <w:highlight w:val="none"/>
              </w:rPr>
            </w:pPr>
            <w:r>
              <w:rPr>
                <w:rFonts w:ascii="宋体" w:hAnsi="宋体" w:eastAsia="宋体" w:cs="宋体"/>
                <w:color w:val="auto"/>
                <w:spacing w:val="11"/>
                <w:position w:val="1"/>
                <w:sz w:val="20"/>
                <w:szCs w:val="20"/>
                <w:highlight w:val="none"/>
                <w14:textOutline w14:w="3795" w14:cap="sq" w14:cmpd="sng">
                  <w14:solidFill>
                    <w14:srgbClr w14:val="000000"/>
                  </w14:solidFill>
                  <w14:prstDash w14:val="solid"/>
                  <w14:bevel/>
                </w14:textOutline>
              </w:rPr>
              <w:t>输</w:t>
            </w:r>
            <w:r>
              <w:rPr>
                <w:rFonts w:ascii="宋体" w:hAnsi="宋体" w:eastAsia="宋体" w:cs="宋体"/>
                <w:color w:val="auto"/>
                <w:spacing w:val="8"/>
                <w:position w:val="1"/>
                <w:sz w:val="20"/>
                <w:szCs w:val="20"/>
                <w:highlight w:val="none"/>
                <w14:textOutline w14:w="3795" w14:cap="sq" w14:cmpd="sng">
                  <w14:solidFill>
                    <w14:srgbClr w14:val="000000"/>
                  </w14:solidFill>
                  <w14:prstDash w14:val="solid"/>
                  <w14:bevel/>
                </w14:textOutline>
              </w:rPr>
              <w:t>电线路工程</w:t>
            </w:r>
            <w:r>
              <w:rPr>
                <w:rFonts w:ascii="宋体" w:hAnsi="宋体" w:eastAsia="宋体" w:cs="宋体"/>
                <w:color w:val="auto"/>
                <w:spacing w:val="8"/>
                <w:position w:val="1"/>
                <w:sz w:val="20"/>
                <w:szCs w:val="20"/>
                <w:highlight w:val="none"/>
              </w:rPr>
              <w:t xml:space="preserve"> </w:t>
            </w:r>
            <w:r>
              <w:rPr>
                <w:rFonts w:ascii="宋体" w:hAnsi="宋体" w:eastAsia="宋体" w:cs="宋体"/>
                <w:color w:val="auto"/>
                <w:spacing w:val="8"/>
                <w:position w:val="1"/>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position w:val="1"/>
                <w:sz w:val="20"/>
                <w:szCs w:val="20"/>
                <w:highlight w:val="none"/>
              </w:rPr>
              <w:t>hm</w:t>
            </w:r>
            <w:r>
              <w:rPr>
                <w:rFonts w:ascii="宋体" w:hAnsi="宋体" w:eastAsia="宋体" w:cs="宋体"/>
                <w:color w:val="auto"/>
                <w:spacing w:val="8"/>
                <w:position w:val="1"/>
                <w:sz w:val="20"/>
                <w:szCs w:val="20"/>
                <w:highlight w:val="none"/>
                <w14:textOutline w14:w="3795" w14:cap="sq" w14:cmpd="sng">
                  <w14:solidFill>
                    <w14:srgbClr w14:val="000000"/>
                  </w14:solidFill>
                  <w14:prstDash w14:val="solid"/>
                  <w14:bevel/>
                </w14:textOutline>
              </w:rPr>
              <w:t>²)</w:t>
            </w:r>
          </w:p>
        </w:tc>
        <w:tc>
          <w:tcPr>
            <w:tcW w:w="1850" w:type="dxa"/>
            <w:tcBorders>
              <w:right w:val="single" w:color="000000" w:sz="10" w:space="0"/>
            </w:tcBorders>
            <w:vAlign w:val="top"/>
          </w:tcPr>
          <w:p>
            <w:pPr>
              <w:spacing w:before="208" w:line="229" w:lineRule="auto"/>
              <w:ind w:left="722"/>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14:textOutline w14:w="3795" w14:cap="sq" w14:cmpd="sng">
                  <w14:solidFill>
                    <w14:srgbClr w14:val="000000"/>
                  </w14:solidFill>
                  <w14:prstDash w14:val="solid"/>
                  <w14:bevel/>
                </w14:textOutline>
              </w:rPr>
              <w:t>合</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902" w:type="dxa"/>
            <w:tcBorders>
              <w:left w:val="single" w:color="000000" w:sz="10" w:space="0"/>
            </w:tcBorders>
            <w:vAlign w:val="top"/>
          </w:tcPr>
          <w:p>
            <w:pPr>
              <w:spacing w:before="55" w:line="228" w:lineRule="auto"/>
              <w:ind w:left="1044"/>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中</w:t>
            </w:r>
            <w:r>
              <w:rPr>
                <w:rFonts w:ascii="宋体" w:hAnsi="宋体" w:eastAsia="宋体" w:cs="宋体"/>
                <w:color w:val="auto"/>
                <w:spacing w:val="2"/>
                <w:sz w:val="20"/>
                <w:szCs w:val="20"/>
                <w:highlight w:val="none"/>
              </w:rPr>
              <w:t>覆盖度</w:t>
            </w:r>
          </w:p>
        </w:tc>
        <w:tc>
          <w:tcPr>
            <w:tcW w:w="2344" w:type="dxa"/>
            <w:vAlign w:val="top"/>
          </w:tcPr>
          <w:p>
            <w:pPr>
              <w:spacing w:before="88" w:line="198" w:lineRule="auto"/>
              <w:ind w:left="664"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pacing w:val="4"/>
                <w:sz w:val="20"/>
                <w:szCs w:val="20"/>
                <w:highlight w:val="none"/>
              </w:rPr>
              <w:t>3</w:t>
            </w:r>
            <w:r>
              <w:rPr>
                <w:rFonts w:hint="eastAsia" w:ascii="Times New Roman" w:hAnsi="Times New Roman" w:eastAsia="宋体" w:cs="Times New Roman"/>
                <w:color w:val="auto"/>
                <w:spacing w:val="4"/>
                <w:sz w:val="20"/>
                <w:szCs w:val="20"/>
                <w:highlight w:val="none"/>
                <w:lang w:val="en-US" w:eastAsia="zh-CN"/>
              </w:rPr>
              <w:t>.</w:t>
            </w:r>
            <w:r>
              <w:rPr>
                <w:rFonts w:hint="eastAsia" w:ascii="Times New Roman" w:hAnsi="Times New Roman" w:eastAsia="Times New Roman" w:cs="Times New Roman"/>
                <w:color w:val="auto"/>
                <w:spacing w:val="4"/>
                <w:sz w:val="20"/>
                <w:szCs w:val="20"/>
                <w:highlight w:val="none"/>
              </w:rPr>
              <w:t>1575</w:t>
            </w:r>
          </w:p>
        </w:tc>
        <w:tc>
          <w:tcPr>
            <w:tcW w:w="2186" w:type="dxa"/>
            <w:vAlign w:val="top"/>
          </w:tcPr>
          <w:p>
            <w:pPr>
              <w:spacing w:before="88" w:line="195" w:lineRule="auto"/>
              <w:ind w:left="797"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z w:val="20"/>
                <w:szCs w:val="20"/>
                <w:highlight w:val="none"/>
              </w:rPr>
              <w:t>9.1755</w:t>
            </w:r>
          </w:p>
        </w:tc>
        <w:tc>
          <w:tcPr>
            <w:tcW w:w="1850" w:type="dxa"/>
            <w:tcBorders>
              <w:right w:val="single" w:color="000000" w:sz="10" w:space="0"/>
            </w:tcBorders>
            <w:vAlign w:val="top"/>
          </w:tcPr>
          <w:p>
            <w:pPr>
              <w:spacing w:before="88" w:line="198" w:lineRule="auto"/>
              <w:ind w:left="478"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z w:val="20"/>
                <w:szCs w:val="20"/>
                <w:highlight w:val="none"/>
              </w:rPr>
              <w:t>12.333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02" w:type="dxa"/>
            <w:tcBorders>
              <w:left w:val="single" w:color="000000" w:sz="10" w:space="0"/>
            </w:tcBorders>
            <w:vAlign w:val="top"/>
          </w:tcPr>
          <w:p>
            <w:pPr>
              <w:spacing w:before="76" w:line="226" w:lineRule="auto"/>
              <w:ind w:left="1024"/>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中覆盖度</w:t>
            </w:r>
          </w:p>
        </w:tc>
        <w:tc>
          <w:tcPr>
            <w:tcW w:w="2344" w:type="dxa"/>
            <w:vAlign w:val="top"/>
          </w:tcPr>
          <w:p>
            <w:pPr>
              <w:spacing w:before="89" w:line="195" w:lineRule="auto"/>
              <w:ind w:left="853" w:leftChars="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0</w:t>
            </w:r>
          </w:p>
        </w:tc>
        <w:tc>
          <w:tcPr>
            <w:tcW w:w="2186" w:type="dxa"/>
            <w:vAlign w:val="top"/>
          </w:tcPr>
          <w:p>
            <w:pPr>
              <w:spacing w:before="89" w:line="198" w:lineRule="auto"/>
              <w:ind w:left="660"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z w:val="20"/>
                <w:szCs w:val="20"/>
                <w:highlight w:val="none"/>
                <w:lang w:eastAsia="zh-CN"/>
              </w:rPr>
              <w:t>13.735</w:t>
            </w:r>
          </w:p>
        </w:tc>
        <w:tc>
          <w:tcPr>
            <w:tcW w:w="1850" w:type="dxa"/>
            <w:tcBorders>
              <w:right w:val="single" w:color="000000" w:sz="10" w:space="0"/>
            </w:tcBorders>
            <w:vAlign w:val="top"/>
          </w:tcPr>
          <w:p>
            <w:pPr>
              <w:spacing w:before="89" w:line="198" w:lineRule="auto"/>
              <w:ind w:left="531"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z w:val="20"/>
                <w:szCs w:val="20"/>
                <w:highlight w:val="none"/>
                <w:lang w:eastAsia="zh-CN"/>
              </w:rPr>
              <w:t>13.735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2902" w:type="dxa"/>
            <w:tcBorders>
              <w:left w:val="single" w:color="000000" w:sz="10" w:space="0"/>
            </w:tcBorders>
            <w:vAlign w:val="top"/>
          </w:tcPr>
          <w:p>
            <w:pPr>
              <w:spacing w:before="54" w:line="229" w:lineRule="auto"/>
              <w:ind w:left="1237"/>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合计</w:t>
            </w:r>
          </w:p>
        </w:tc>
        <w:tc>
          <w:tcPr>
            <w:tcW w:w="2344" w:type="dxa"/>
            <w:vAlign w:val="top"/>
          </w:tcPr>
          <w:p>
            <w:pPr>
              <w:spacing w:before="90" w:line="198" w:lineRule="auto"/>
              <w:ind w:left="664"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pacing w:val="4"/>
                <w:sz w:val="20"/>
                <w:szCs w:val="20"/>
                <w:highlight w:val="none"/>
              </w:rPr>
              <w:t>3</w:t>
            </w:r>
            <w:r>
              <w:rPr>
                <w:rFonts w:hint="eastAsia" w:ascii="Times New Roman" w:hAnsi="Times New Roman" w:eastAsia="Times New Roman" w:cs="Times New Roman"/>
                <w:color w:val="auto"/>
                <w:spacing w:val="4"/>
                <w:sz w:val="20"/>
                <w:szCs w:val="20"/>
                <w:highlight w:val="none"/>
                <w:lang w:val="en-US" w:eastAsia="zh-CN"/>
              </w:rPr>
              <w:t>.</w:t>
            </w:r>
            <w:r>
              <w:rPr>
                <w:rFonts w:hint="eastAsia" w:ascii="Times New Roman" w:hAnsi="Times New Roman" w:eastAsia="Times New Roman" w:cs="Times New Roman"/>
                <w:color w:val="auto"/>
                <w:spacing w:val="4"/>
                <w:sz w:val="20"/>
                <w:szCs w:val="20"/>
                <w:highlight w:val="none"/>
              </w:rPr>
              <w:t>1575</w:t>
            </w:r>
          </w:p>
        </w:tc>
        <w:tc>
          <w:tcPr>
            <w:tcW w:w="2186" w:type="dxa"/>
            <w:vAlign w:val="top"/>
          </w:tcPr>
          <w:p>
            <w:pPr>
              <w:spacing w:before="90" w:line="195" w:lineRule="auto"/>
              <w:ind w:left="629" w:leftChars="0"/>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z w:val="20"/>
                <w:szCs w:val="20"/>
                <w:highlight w:val="none"/>
                <w:lang w:val="en-US" w:eastAsia="zh-CN"/>
              </w:rPr>
              <w:t>22.911</w:t>
            </w:r>
          </w:p>
        </w:tc>
        <w:tc>
          <w:tcPr>
            <w:tcW w:w="1850" w:type="dxa"/>
            <w:tcBorders>
              <w:right w:val="single" w:color="000000" w:sz="10" w:space="0"/>
            </w:tcBorders>
            <w:vAlign w:val="top"/>
          </w:tcPr>
          <w:p>
            <w:pPr>
              <w:spacing w:before="90" w:line="195" w:lineRule="auto"/>
              <w:ind w:left="447" w:leftChars="0"/>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sz w:val="20"/>
                <w:szCs w:val="20"/>
                <w:highlight w:val="none"/>
                <w:lang w:val="en-US" w:eastAsia="zh-CN"/>
              </w:rPr>
              <w:t>26.08</w:t>
            </w:r>
          </w:p>
        </w:tc>
      </w:tr>
    </w:tbl>
    <w:p>
      <w:pPr>
        <w:spacing w:before="37" w:line="221" w:lineRule="auto"/>
        <w:ind w:left="2699"/>
        <w:rPr>
          <w:rFonts w:ascii="宋体" w:hAnsi="宋体" w:eastAsia="宋体" w:cs="宋体"/>
          <w:color w:val="auto"/>
          <w:sz w:val="23"/>
          <w:szCs w:val="23"/>
          <w:highlight w:val="none"/>
        </w:rPr>
      </w:pPr>
      <w:r>
        <w:rPr>
          <w:rFonts w:ascii="宋体" w:hAnsi="宋体" w:eastAsia="宋体" w:cs="宋体"/>
          <w:color w:val="auto"/>
          <w:spacing w:val="8"/>
          <w:sz w:val="23"/>
          <w:szCs w:val="23"/>
          <w:highlight w:val="none"/>
          <w14:textOutline w14:w="4358" w14:cap="sq" w14:cmpd="sng">
            <w14:solidFill>
              <w14:srgbClr w14:val="000000"/>
            </w14:solidFill>
            <w14:prstDash w14:val="solid"/>
            <w14:bevel/>
          </w14:textOutline>
        </w:rPr>
        <w:t>表</w:t>
      </w:r>
      <w:r>
        <w:rPr>
          <w:rFonts w:ascii="宋体" w:hAnsi="宋体" w:eastAsia="宋体" w:cs="宋体"/>
          <w:color w:val="auto"/>
          <w:spacing w:val="4"/>
          <w:sz w:val="23"/>
          <w:szCs w:val="23"/>
          <w:highlight w:val="none"/>
        </w:rPr>
        <w:t xml:space="preserve"> </w:t>
      </w:r>
      <w:r>
        <w:rPr>
          <w:rFonts w:ascii="Times New Roman" w:hAnsi="Times New Roman" w:eastAsia="Times New Roman" w:cs="Times New Roman"/>
          <w:b/>
          <w:bCs/>
          <w:color w:val="auto"/>
          <w:spacing w:val="4"/>
          <w:sz w:val="23"/>
          <w:szCs w:val="23"/>
          <w:highlight w:val="none"/>
        </w:rPr>
        <w:t>5.1-8</w:t>
      </w:r>
      <w:r>
        <w:rPr>
          <w:rFonts w:ascii="Times New Roman" w:hAnsi="Times New Roman" w:eastAsia="Times New Roman" w:cs="Times New Roman"/>
          <w:color w:val="auto"/>
          <w:spacing w:val="4"/>
          <w:sz w:val="23"/>
          <w:szCs w:val="23"/>
          <w:highlight w:val="none"/>
        </w:rPr>
        <w:t xml:space="preserve">        </w:t>
      </w:r>
      <w:r>
        <w:rPr>
          <w:rFonts w:ascii="宋体" w:hAnsi="宋体" w:eastAsia="宋体" w:cs="宋体"/>
          <w:color w:val="auto"/>
          <w:spacing w:val="4"/>
          <w:sz w:val="23"/>
          <w:szCs w:val="23"/>
          <w:highlight w:val="none"/>
          <w14:textOutline w14:w="4358" w14:cap="sq" w14:cmpd="sng">
            <w14:solidFill>
              <w14:srgbClr w14:val="000000"/>
            </w14:solidFill>
            <w14:prstDash w14:val="solid"/>
            <w14:bevel/>
          </w14:textOutline>
        </w:rPr>
        <w:t>工程占地后植被覆盖度表</w:t>
      </w:r>
    </w:p>
    <w:tbl>
      <w:tblPr>
        <w:tblStyle w:val="20"/>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51"/>
        <w:gridCol w:w="1636"/>
        <w:gridCol w:w="1509"/>
        <w:gridCol w:w="1150"/>
        <w:gridCol w:w="16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3351" w:type="dxa"/>
            <w:vMerge w:val="restart"/>
            <w:tcBorders>
              <w:left w:val="single" w:color="000000" w:sz="10" w:space="0"/>
              <w:bottom w:val="nil"/>
            </w:tcBorders>
            <w:vAlign w:val="top"/>
          </w:tcPr>
          <w:p>
            <w:pPr>
              <w:spacing w:line="369" w:lineRule="auto"/>
              <w:rPr>
                <w:rFonts w:ascii="Arial"/>
                <w:color w:val="auto"/>
                <w:sz w:val="21"/>
                <w:highlight w:val="none"/>
              </w:rPr>
            </w:pPr>
          </w:p>
          <w:p>
            <w:pPr>
              <w:spacing w:before="65" w:line="228" w:lineRule="auto"/>
              <w:ind w:left="1249"/>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14:textOutline w14:w="3795" w14:cap="sq" w14:cmpd="sng">
                  <w14:solidFill>
                    <w14:srgbClr w14:val="000000"/>
                  </w14:solidFill>
                  <w14:prstDash w14:val="solid"/>
                  <w14:bevel/>
                </w14:textOutline>
              </w:rPr>
              <w:t>植</w:t>
            </w:r>
            <w:r>
              <w:rPr>
                <w:rFonts w:ascii="宋体" w:hAnsi="宋体" w:eastAsia="宋体" w:cs="宋体"/>
                <w:color w:val="auto"/>
                <w:spacing w:val="8"/>
                <w:sz w:val="20"/>
                <w:szCs w:val="20"/>
                <w:highlight w:val="none"/>
                <w14:textOutline w14:w="3795" w14:cap="sq" w14:cmpd="sng">
                  <w14:solidFill>
                    <w14:srgbClr w14:val="000000"/>
                  </w14:solidFill>
                  <w14:prstDash w14:val="solid"/>
                  <w14:bevel/>
                </w14:textOutline>
              </w:rPr>
              <w:t>被类型</w:t>
            </w:r>
          </w:p>
        </w:tc>
        <w:tc>
          <w:tcPr>
            <w:tcW w:w="4295" w:type="dxa"/>
            <w:gridSpan w:val="3"/>
            <w:vAlign w:val="top"/>
          </w:tcPr>
          <w:p>
            <w:pPr>
              <w:spacing w:before="120" w:line="228" w:lineRule="auto"/>
              <w:ind w:left="1347"/>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占地后植被覆盖度</w:t>
            </w:r>
          </w:p>
        </w:tc>
        <w:tc>
          <w:tcPr>
            <w:tcW w:w="1636" w:type="dxa"/>
            <w:vMerge w:val="restart"/>
            <w:tcBorders>
              <w:bottom w:val="nil"/>
              <w:right w:val="single" w:color="000000" w:sz="10" w:space="0"/>
            </w:tcBorders>
            <w:vAlign w:val="top"/>
          </w:tcPr>
          <w:p>
            <w:pPr>
              <w:spacing w:before="282" w:line="302" w:lineRule="auto"/>
              <w:ind w:left="123" w:right="285"/>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14:textOutline w14:w="3795" w14:cap="sq" w14:cmpd="sng">
                  <w14:solidFill>
                    <w14:srgbClr w14:val="000000"/>
                  </w14:solidFill>
                  <w14:prstDash w14:val="solid"/>
                  <w14:bevel/>
                </w14:textOutline>
              </w:rPr>
              <w:t>植</w:t>
            </w:r>
            <w:r>
              <w:rPr>
                <w:rFonts w:ascii="宋体" w:hAnsi="宋体" w:eastAsia="宋体" w:cs="宋体"/>
                <w:color w:val="auto"/>
                <w:spacing w:val="8"/>
                <w:sz w:val="20"/>
                <w:szCs w:val="20"/>
                <w:highlight w:val="none"/>
                <w14:textOutline w14:w="3795" w14:cap="sq" w14:cmpd="sng">
                  <w14:solidFill>
                    <w14:srgbClr w14:val="000000"/>
                  </w14:solidFill>
                  <w14:prstDash w14:val="solid"/>
                  <w14:bevel/>
                </w14:textOutline>
              </w:rPr>
              <w:t>被覆盖度</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14:textOutline w14:w="3795" w14:cap="sq" w14:cmpd="sng">
                  <w14:solidFill>
                    <w14:srgbClr w14:val="000000"/>
                  </w14:solidFill>
                  <w14:prstDash w14:val="solid"/>
                  <w14:bevel/>
                </w14:textOutline>
              </w:rPr>
              <w:t>变</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化</w:t>
            </w:r>
            <w:r>
              <w:rPr>
                <w:rFonts w:ascii="宋体" w:hAnsi="宋体" w:eastAsia="宋体" w:cs="宋体"/>
                <w:color w:val="auto"/>
                <w:spacing w:val="5"/>
                <w:sz w:val="20"/>
                <w:szCs w:val="20"/>
                <w:highlight w:val="none"/>
              </w:rPr>
              <w:t xml:space="preserve"> </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sz w:val="20"/>
                <w:szCs w:val="20"/>
                <w:highlight w:val="none"/>
              </w:rPr>
              <w:t>hm</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351" w:type="dxa"/>
            <w:vMerge w:val="continue"/>
            <w:tcBorders>
              <w:top w:val="nil"/>
              <w:left w:val="single" w:color="000000" w:sz="10" w:space="0"/>
            </w:tcBorders>
            <w:vAlign w:val="top"/>
          </w:tcPr>
          <w:p>
            <w:pPr>
              <w:rPr>
                <w:rFonts w:ascii="Arial"/>
                <w:color w:val="auto"/>
                <w:sz w:val="21"/>
                <w:highlight w:val="none"/>
              </w:rPr>
            </w:pPr>
          </w:p>
        </w:tc>
        <w:tc>
          <w:tcPr>
            <w:tcW w:w="1636" w:type="dxa"/>
            <w:vAlign w:val="top"/>
          </w:tcPr>
          <w:p>
            <w:pPr>
              <w:spacing w:before="10" w:line="285" w:lineRule="auto"/>
              <w:ind w:left="221" w:right="184" w:hanging="35"/>
              <w:rPr>
                <w:rFonts w:ascii="宋体" w:hAnsi="宋体" w:eastAsia="宋体" w:cs="宋体"/>
                <w:color w:val="auto"/>
                <w:sz w:val="20"/>
                <w:szCs w:val="20"/>
                <w:highlight w:val="none"/>
              </w:rPr>
            </w:pPr>
            <w:r>
              <w:rPr>
                <w:rFonts w:ascii="Times New Roman" w:hAnsi="Times New Roman" w:eastAsia="Times New Roman" w:cs="Times New Roman"/>
                <w:b/>
                <w:bCs/>
                <w:color w:val="auto"/>
                <w:spacing w:val="8"/>
                <w:sz w:val="20"/>
                <w:szCs w:val="20"/>
                <w:highlight w:val="none"/>
              </w:rPr>
              <w:t>500</w:t>
            </w:r>
            <w:r>
              <w:rPr>
                <w:rFonts w:ascii="Times New Roman" w:hAnsi="Times New Roman" w:eastAsia="Times New Roman" w:cs="Times New Roman"/>
                <w:b/>
                <w:bCs/>
                <w:color w:val="auto"/>
                <w:sz w:val="20"/>
                <w:szCs w:val="20"/>
                <w:highlight w:val="none"/>
              </w:rPr>
              <w:t>kV</w:t>
            </w:r>
            <w:r>
              <w:rPr>
                <w:rFonts w:ascii="Times New Roman" w:hAnsi="Times New Roman" w:eastAsia="Times New Roman" w:cs="Times New Roman"/>
                <w:color w:val="auto"/>
                <w:spacing w:val="8"/>
                <w:sz w:val="20"/>
                <w:szCs w:val="20"/>
                <w:highlight w:val="none"/>
              </w:rPr>
              <w:t xml:space="preserve"> </w:t>
            </w:r>
            <w:r>
              <w:rPr>
                <w:rFonts w:ascii="宋体" w:hAnsi="宋体" w:eastAsia="宋体" w:cs="宋体"/>
                <w:color w:val="auto"/>
                <w:spacing w:val="8"/>
                <w:sz w:val="20"/>
                <w:szCs w:val="20"/>
                <w:highlight w:val="none"/>
                <w14:textOutline w14:w="3795" w14:cap="sq" w14:cmpd="sng">
                  <w14:solidFill>
                    <w14:srgbClr w14:val="000000"/>
                  </w14:solidFill>
                  <w14:prstDash w14:val="solid"/>
                  <w14:bevel/>
                </w14:textOutline>
              </w:rPr>
              <w:t>汇集</w:t>
            </w:r>
            <w:r>
              <w:rPr>
                <w:rFonts w:ascii="宋体" w:hAnsi="宋体" w:eastAsia="宋体" w:cs="宋体"/>
                <w:color w:val="auto"/>
                <w:spacing w:val="6"/>
                <w:sz w:val="20"/>
                <w:szCs w:val="20"/>
                <w:highlight w:val="none"/>
                <w14:textOutline w14:w="3795" w14:cap="sq" w14:cmpd="sng">
                  <w14:solidFill>
                    <w14:srgbClr w14:val="000000"/>
                  </w14:solidFill>
                  <w14:prstDash w14:val="solid"/>
                  <w14:bevel/>
                </w14:textOutline>
              </w:rPr>
              <w:t>站</w:t>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14:textOutline w14:w="3795" w14:cap="sq" w14:cmpd="sng">
                  <w14:solidFill>
                    <w14:srgbClr w14:val="000000"/>
                  </w14:solidFill>
                  <w14:prstDash w14:val="solid"/>
                  <w14:bevel/>
                </w14:textOutline>
              </w:rPr>
              <w:t>面</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积</w:t>
            </w:r>
            <w:r>
              <w:rPr>
                <w:rFonts w:ascii="宋体" w:hAnsi="宋体" w:eastAsia="宋体" w:cs="宋体"/>
                <w:color w:val="auto"/>
                <w:spacing w:val="5"/>
                <w:sz w:val="20"/>
                <w:szCs w:val="20"/>
                <w:highlight w:val="none"/>
              </w:rPr>
              <w:t xml:space="preserve"> </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sz w:val="20"/>
                <w:szCs w:val="20"/>
                <w:highlight w:val="none"/>
              </w:rPr>
              <w:t>hm</w:t>
            </w:r>
            <w:r>
              <w:rPr>
                <w:rFonts w:ascii="Times New Roman" w:hAnsi="Times New Roman" w:eastAsia="Times New Roman" w:cs="Times New Roman"/>
                <w:b/>
                <w:bCs/>
                <w:color w:val="auto"/>
                <w:spacing w:val="5"/>
                <w:position w:val="6"/>
                <w:sz w:val="13"/>
                <w:szCs w:val="13"/>
                <w:highlight w:val="none"/>
              </w:rPr>
              <w:t>2</w:t>
            </w:r>
            <w:r>
              <w:rPr>
                <w:rFonts w:ascii="Times New Roman" w:hAnsi="Times New Roman" w:eastAsia="Times New Roman" w:cs="Times New Roman"/>
                <w:color w:val="auto"/>
                <w:spacing w:val="5"/>
                <w:position w:val="6"/>
                <w:sz w:val="13"/>
                <w:szCs w:val="13"/>
                <w:highlight w:val="none"/>
              </w:rPr>
              <w:t xml:space="preserve"> </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w:t>
            </w:r>
          </w:p>
        </w:tc>
        <w:tc>
          <w:tcPr>
            <w:tcW w:w="1509" w:type="dxa"/>
            <w:vAlign w:val="top"/>
          </w:tcPr>
          <w:p>
            <w:pPr>
              <w:spacing w:before="51" w:line="228" w:lineRule="auto"/>
              <w:ind w:left="129"/>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14:textOutline w14:w="3795" w14:cap="sq" w14:cmpd="sng">
                  <w14:solidFill>
                    <w14:srgbClr w14:val="000000"/>
                  </w14:solidFill>
                  <w14:prstDash w14:val="solid"/>
                  <w14:bevel/>
                </w14:textOutline>
              </w:rPr>
              <w:t>输</w:t>
            </w:r>
            <w:r>
              <w:rPr>
                <w:rFonts w:ascii="宋体" w:hAnsi="宋体" w:eastAsia="宋体" w:cs="宋体"/>
                <w:color w:val="auto"/>
                <w:spacing w:val="9"/>
                <w:sz w:val="20"/>
                <w:szCs w:val="20"/>
                <w:highlight w:val="none"/>
                <w14:textOutline w14:w="3795" w14:cap="sq" w14:cmpd="sng">
                  <w14:solidFill>
                    <w14:srgbClr w14:val="000000"/>
                  </w14:solidFill>
                  <w14:prstDash w14:val="solid"/>
                  <w14:bevel/>
                </w14:textOutline>
              </w:rPr>
              <w:t>电线路工程</w:t>
            </w:r>
          </w:p>
          <w:p>
            <w:pPr>
              <w:spacing w:before="24" w:line="289" w:lineRule="exact"/>
              <w:ind w:left="363"/>
              <w:rPr>
                <w:rFonts w:ascii="宋体" w:hAnsi="宋体" w:eastAsia="宋体" w:cs="宋体"/>
                <w:color w:val="auto"/>
                <w:sz w:val="20"/>
                <w:szCs w:val="20"/>
                <w:highlight w:val="none"/>
              </w:rPr>
            </w:pPr>
            <w:r>
              <w:rPr>
                <w:rFonts w:ascii="宋体" w:hAnsi="宋体" w:eastAsia="宋体" w:cs="宋体"/>
                <w:color w:val="auto"/>
                <w:spacing w:val="37"/>
                <w:position w:val="1"/>
                <w:sz w:val="20"/>
                <w:szCs w:val="20"/>
                <w:highlight w:val="none"/>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position w:val="1"/>
                <w:sz w:val="20"/>
                <w:szCs w:val="20"/>
                <w:highlight w:val="none"/>
              </w:rPr>
              <w:t>hm</w:t>
            </w:r>
            <w:r>
              <w:rPr>
                <w:rFonts w:ascii="宋体" w:hAnsi="宋体" w:eastAsia="宋体" w:cs="宋体"/>
                <w:color w:val="auto"/>
                <w:spacing w:val="36"/>
                <w:position w:val="1"/>
                <w:sz w:val="20"/>
                <w:szCs w:val="20"/>
                <w:highlight w:val="none"/>
                <w14:textOutline w14:w="3795" w14:cap="sq" w14:cmpd="sng">
                  <w14:solidFill>
                    <w14:srgbClr w14:val="000000"/>
                  </w14:solidFill>
                  <w14:prstDash w14:val="solid"/>
                  <w14:bevel/>
                </w14:textOutline>
              </w:rPr>
              <w:t>²)</w:t>
            </w:r>
          </w:p>
        </w:tc>
        <w:tc>
          <w:tcPr>
            <w:tcW w:w="1150" w:type="dxa"/>
            <w:vAlign w:val="top"/>
          </w:tcPr>
          <w:p>
            <w:pPr>
              <w:spacing w:before="208" w:line="229" w:lineRule="auto"/>
              <w:ind w:left="376"/>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14:textOutline w14:w="3795" w14:cap="sq" w14:cmpd="sng">
                  <w14:solidFill>
                    <w14:srgbClr w14:val="000000"/>
                  </w14:solidFill>
                  <w14:prstDash w14:val="solid"/>
                  <w14:bevel/>
                </w14:textOutline>
              </w:rPr>
              <w:t>合</w:t>
            </w: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计</w:t>
            </w:r>
          </w:p>
        </w:tc>
        <w:tc>
          <w:tcPr>
            <w:tcW w:w="1636" w:type="dxa"/>
            <w:vMerge w:val="continue"/>
            <w:tcBorders>
              <w:top w:val="nil"/>
              <w:right w:val="single" w:color="000000" w:sz="10" w:space="0"/>
            </w:tcBorders>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351" w:type="dxa"/>
            <w:tcBorders>
              <w:left w:val="single" w:color="000000" w:sz="10" w:space="0"/>
            </w:tcBorders>
            <w:vAlign w:val="top"/>
          </w:tcPr>
          <w:p>
            <w:pPr>
              <w:spacing w:before="53" w:line="228" w:lineRule="auto"/>
              <w:ind w:left="1270"/>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中</w:t>
            </w:r>
            <w:r>
              <w:rPr>
                <w:rFonts w:ascii="宋体" w:hAnsi="宋体" w:eastAsia="宋体" w:cs="宋体"/>
                <w:color w:val="auto"/>
                <w:spacing w:val="2"/>
                <w:sz w:val="20"/>
                <w:szCs w:val="20"/>
                <w:highlight w:val="none"/>
              </w:rPr>
              <w:t>覆盖度</w:t>
            </w:r>
          </w:p>
        </w:tc>
        <w:tc>
          <w:tcPr>
            <w:tcW w:w="1636" w:type="dxa"/>
            <w:vAlign w:val="top"/>
          </w:tcPr>
          <w:p>
            <w:pPr>
              <w:spacing w:before="89" w:line="195" w:lineRule="auto"/>
              <w:ind w:left="758" w:leftChars="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0</w:t>
            </w:r>
          </w:p>
        </w:tc>
        <w:tc>
          <w:tcPr>
            <w:tcW w:w="1509" w:type="dxa"/>
            <w:vAlign w:val="top"/>
          </w:tcPr>
          <w:p>
            <w:pPr>
              <w:spacing w:before="89" w:line="195" w:lineRule="auto"/>
              <w:ind w:left="705" w:leftChars="0"/>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z w:val="20"/>
                <w:szCs w:val="20"/>
                <w:highlight w:val="none"/>
                <w:lang w:val="en-US" w:eastAsia="zh-CN"/>
              </w:rPr>
              <w:t>8.72</w:t>
            </w:r>
          </w:p>
        </w:tc>
        <w:tc>
          <w:tcPr>
            <w:tcW w:w="1150" w:type="dxa"/>
            <w:vAlign w:val="top"/>
          </w:tcPr>
          <w:p>
            <w:pPr>
              <w:spacing w:before="89" w:line="195" w:lineRule="auto"/>
              <w:ind w:left="705" w:leftChars="0"/>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z w:val="20"/>
                <w:szCs w:val="20"/>
                <w:highlight w:val="none"/>
                <w:lang w:val="en-US" w:eastAsia="zh-CN"/>
              </w:rPr>
              <w:t>8.72</w:t>
            </w:r>
          </w:p>
        </w:tc>
        <w:tc>
          <w:tcPr>
            <w:tcW w:w="1636" w:type="dxa"/>
            <w:tcBorders>
              <w:right w:val="single" w:color="000000" w:sz="10" w:space="0"/>
            </w:tcBorders>
            <w:vAlign w:val="top"/>
          </w:tcPr>
          <w:p>
            <w:pPr>
              <w:spacing w:before="89" w:line="198" w:lineRule="auto"/>
              <w:ind w:left="434" w:leftChars="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3"/>
                <w:sz w:val="20"/>
                <w:szCs w:val="20"/>
                <w:highlight w:val="none"/>
              </w:rPr>
              <w:t>-</w:t>
            </w:r>
            <w:r>
              <w:rPr>
                <w:rFonts w:hint="eastAsia" w:ascii="Times New Roman" w:hAnsi="Times New Roman" w:eastAsia="宋体" w:cs="Times New Roman"/>
                <w:color w:val="auto"/>
                <w:spacing w:val="3"/>
                <w:sz w:val="20"/>
                <w:szCs w:val="20"/>
                <w:highlight w:val="none"/>
                <w:lang w:val="en-US" w:eastAsia="zh-CN"/>
              </w:rPr>
              <w:t>3.1575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351" w:type="dxa"/>
            <w:tcBorders>
              <w:left w:val="single" w:color="000000" w:sz="10" w:space="0"/>
            </w:tcBorders>
            <w:vAlign w:val="top"/>
          </w:tcPr>
          <w:p>
            <w:pPr>
              <w:spacing w:before="53" w:line="226" w:lineRule="auto"/>
              <w:ind w:left="1249"/>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中覆盖度</w:t>
            </w:r>
          </w:p>
        </w:tc>
        <w:tc>
          <w:tcPr>
            <w:tcW w:w="1636" w:type="dxa"/>
            <w:vAlign w:val="top"/>
          </w:tcPr>
          <w:p>
            <w:pPr>
              <w:spacing w:before="111" w:line="195" w:lineRule="auto"/>
              <w:ind w:left="758" w:leftChars="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0</w:t>
            </w:r>
          </w:p>
        </w:tc>
        <w:tc>
          <w:tcPr>
            <w:tcW w:w="1509" w:type="dxa"/>
            <w:vAlign w:val="top"/>
          </w:tcPr>
          <w:p>
            <w:pPr>
              <w:spacing w:before="111" w:line="198" w:lineRule="auto"/>
              <w:ind w:left="570" w:leftChars="0"/>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sz w:val="20"/>
                <w:szCs w:val="20"/>
                <w:highlight w:val="none"/>
                <w:lang w:val="en-US" w:eastAsia="zh-CN"/>
              </w:rPr>
              <w:t>13.215</w:t>
            </w:r>
          </w:p>
        </w:tc>
        <w:tc>
          <w:tcPr>
            <w:tcW w:w="1150" w:type="dxa"/>
            <w:vAlign w:val="top"/>
          </w:tcPr>
          <w:p>
            <w:pPr>
              <w:spacing w:before="111" w:line="198" w:lineRule="auto"/>
              <w:ind w:left="570" w:leftChars="0"/>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sz w:val="20"/>
                <w:szCs w:val="20"/>
                <w:highlight w:val="none"/>
                <w:lang w:val="en-US" w:eastAsia="zh-CN"/>
              </w:rPr>
              <w:t>13.215</w:t>
            </w:r>
          </w:p>
        </w:tc>
        <w:tc>
          <w:tcPr>
            <w:tcW w:w="1636" w:type="dxa"/>
            <w:tcBorders>
              <w:right w:val="single" w:color="000000" w:sz="10" w:space="0"/>
            </w:tcBorders>
            <w:vAlign w:val="top"/>
          </w:tcPr>
          <w:p>
            <w:pPr>
              <w:spacing w:before="111" w:line="198" w:lineRule="auto"/>
              <w:ind w:left="487" w:leftChars="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w:t>
            </w:r>
            <w:r>
              <w:rPr>
                <w:rFonts w:ascii="Times New Roman" w:hAnsi="Times New Roman" w:eastAsia="Times New Roman" w:cs="Times New Roman"/>
                <w:color w:val="auto"/>
                <w:spacing w:val="-6"/>
                <w:sz w:val="20"/>
                <w:szCs w:val="20"/>
                <w:highlight w:val="none"/>
              </w:rPr>
              <w:t xml:space="preserve"> </w:t>
            </w:r>
            <w:r>
              <w:rPr>
                <w:rFonts w:hint="eastAsia" w:ascii="Times New Roman" w:hAnsi="Times New Roman" w:eastAsia="宋体" w:cs="Times New Roman"/>
                <w:color w:val="auto"/>
                <w:spacing w:val="-6"/>
                <w:sz w:val="20"/>
                <w:szCs w:val="20"/>
                <w:highlight w:val="none"/>
                <w:lang w:val="en-US" w:eastAsia="zh-CN"/>
              </w:rPr>
              <w:t>0.976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351" w:type="dxa"/>
            <w:tcBorders>
              <w:left w:val="single" w:color="000000" w:sz="10" w:space="0"/>
            </w:tcBorders>
            <w:vAlign w:val="top"/>
          </w:tcPr>
          <w:p>
            <w:pPr>
              <w:spacing w:before="55" w:line="228" w:lineRule="auto"/>
              <w:ind w:left="1253"/>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工</w:t>
            </w:r>
            <w:r>
              <w:rPr>
                <w:rFonts w:ascii="宋体" w:hAnsi="宋体" w:eastAsia="宋体" w:cs="宋体"/>
                <w:color w:val="auto"/>
                <w:spacing w:val="6"/>
                <w:sz w:val="20"/>
                <w:szCs w:val="20"/>
                <w:highlight w:val="none"/>
              </w:rPr>
              <w:t>矿用地</w:t>
            </w:r>
          </w:p>
        </w:tc>
        <w:tc>
          <w:tcPr>
            <w:tcW w:w="1636" w:type="dxa"/>
            <w:vAlign w:val="top"/>
          </w:tcPr>
          <w:p>
            <w:pPr>
              <w:spacing w:before="88" w:line="198" w:lineRule="auto"/>
              <w:ind w:left="571"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pacing w:val="6"/>
                <w:sz w:val="20"/>
                <w:szCs w:val="20"/>
                <w:highlight w:val="none"/>
              </w:rPr>
              <w:t>3</w:t>
            </w:r>
            <w:r>
              <w:rPr>
                <w:rFonts w:hint="eastAsia" w:ascii="Times New Roman" w:hAnsi="Times New Roman" w:eastAsia="Times New Roman" w:cs="Times New Roman"/>
                <w:color w:val="auto"/>
                <w:spacing w:val="6"/>
                <w:sz w:val="20"/>
                <w:szCs w:val="20"/>
                <w:highlight w:val="none"/>
                <w:lang w:val="en-US" w:eastAsia="zh-CN"/>
              </w:rPr>
              <w:t>.</w:t>
            </w:r>
            <w:r>
              <w:rPr>
                <w:rFonts w:hint="eastAsia" w:ascii="Times New Roman" w:hAnsi="Times New Roman" w:eastAsia="Times New Roman" w:cs="Times New Roman"/>
                <w:color w:val="auto"/>
                <w:spacing w:val="6"/>
                <w:sz w:val="20"/>
                <w:szCs w:val="20"/>
                <w:highlight w:val="none"/>
              </w:rPr>
              <w:t>1575</w:t>
            </w:r>
          </w:p>
        </w:tc>
        <w:tc>
          <w:tcPr>
            <w:tcW w:w="1509" w:type="dxa"/>
            <w:vAlign w:val="top"/>
          </w:tcPr>
          <w:p>
            <w:pPr>
              <w:spacing w:before="88" w:line="198" w:lineRule="auto"/>
              <w:ind w:left="590" w:leftChars="0"/>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pacing w:val="-2"/>
                <w:sz w:val="20"/>
                <w:szCs w:val="20"/>
                <w:highlight w:val="none"/>
                <w:lang w:val="en-US" w:eastAsia="zh-CN"/>
              </w:rPr>
              <w:t>0.976</w:t>
            </w:r>
          </w:p>
        </w:tc>
        <w:tc>
          <w:tcPr>
            <w:tcW w:w="1150" w:type="dxa"/>
            <w:vAlign w:val="top"/>
          </w:tcPr>
          <w:p>
            <w:pPr>
              <w:spacing w:before="88" w:line="195" w:lineRule="auto"/>
              <w:ind w:left="524" w:leftChars="0"/>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spacing w:val="3"/>
                <w:sz w:val="20"/>
                <w:szCs w:val="20"/>
                <w:highlight w:val="none"/>
                <w:lang w:eastAsia="zh-CN"/>
              </w:rPr>
              <w:t>4.134</w:t>
            </w:r>
          </w:p>
        </w:tc>
        <w:tc>
          <w:tcPr>
            <w:tcW w:w="1636" w:type="dxa"/>
            <w:tcBorders>
              <w:right w:val="single" w:color="000000" w:sz="10" w:space="0"/>
            </w:tcBorders>
            <w:vAlign w:val="top"/>
          </w:tcPr>
          <w:p>
            <w:pPr>
              <w:spacing w:before="15" w:line="281" w:lineRule="exact"/>
              <w:ind w:left="406" w:leftChars="0"/>
              <w:rPr>
                <w:rFonts w:hint="eastAsia" w:ascii="Times New Roman" w:hAnsi="Times New Roman" w:eastAsia="宋体" w:cs="Times New Roman"/>
                <w:color w:val="auto"/>
                <w:sz w:val="20"/>
                <w:szCs w:val="20"/>
                <w:highlight w:val="none"/>
                <w:lang w:eastAsia="zh-CN"/>
              </w:rPr>
            </w:pPr>
            <w:r>
              <w:rPr>
                <w:rFonts w:ascii="Times New Roman" w:hAnsi="Times New Roman" w:eastAsia="Times New Roman" w:cs="Times New Roman"/>
                <w:color w:val="auto"/>
                <w:spacing w:val="5"/>
                <w:position w:val="2"/>
                <w:sz w:val="20"/>
                <w:szCs w:val="20"/>
                <w:highlight w:val="none"/>
              </w:rPr>
              <w:t>+</w:t>
            </w:r>
            <w:r>
              <w:rPr>
                <w:rFonts w:hint="eastAsia" w:ascii="Times New Roman" w:hAnsi="Times New Roman" w:eastAsia="宋体" w:cs="Times New Roman"/>
                <w:color w:val="auto"/>
                <w:spacing w:val="4"/>
                <w:position w:val="2"/>
                <w:sz w:val="20"/>
                <w:szCs w:val="20"/>
                <w:highlight w:val="none"/>
                <w:lang w:eastAsia="zh-CN"/>
              </w:rPr>
              <w:t>4.134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351" w:type="dxa"/>
            <w:tcBorders>
              <w:left w:val="single" w:color="000000" w:sz="10" w:space="0"/>
            </w:tcBorders>
            <w:vAlign w:val="top"/>
          </w:tcPr>
          <w:p>
            <w:pPr>
              <w:spacing w:before="56" w:line="229" w:lineRule="auto"/>
              <w:ind w:left="1460"/>
              <w:rPr>
                <w:rFonts w:ascii="宋体" w:hAnsi="宋体" w:eastAsia="宋体" w:cs="宋体"/>
                <w:color w:val="auto"/>
                <w:sz w:val="20"/>
                <w:szCs w:val="20"/>
                <w:highlight w:val="none"/>
              </w:rPr>
            </w:pPr>
            <w:r>
              <w:rPr>
                <w:rFonts w:ascii="宋体" w:hAnsi="宋体" w:eastAsia="宋体" w:cs="宋体"/>
                <w:color w:val="auto"/>
                <w:spacing w:val="4"/>
                <w:sz w:val="20"/>
                <w:szCs w:val="20"/>
                <w:highlight w:val="none"/>
              </w:rPr>
              <w:t>合计</w:t>
            </w:r>
          </w:p>
        </w:tc>
        <w:tc>
          <w:tcPr>
            <w:tcW w:w="1636" w:type="dxa"/>
            <w:vAlign w:val="top"/>
          </w:tcPr>
          <w:p>
            <w:pPr>
              <w:spacing w:before="90" w:line="198" w:lineRule="auto"/>
              <w:ind w:left="571"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pacing w:val="6"/>
                <w:sz w:val="20"/>
                <w:szCs w:val="20"/>
                <w:highlight w:val="none"/>
              </w:rPr>
              <w:t>3</w:t>
            </w:r>
            <w:r>
              <w:rPr>
                <w:rFonts w:hint="eastAsia" w:ascii="Times New Roman" w:hAnsi="Times New Roman" w:eastAsia="Times New Roman" w:cs="Times New Roman"/>
                <w:color w:val="auto"/>
                <w:spacing w:val="6"/>
                <w:sz w:val="20"/>
                <w:szCs w:val="20"/>
                <w:highlight w:val="none"/>
                <w:lang w:val="en-US" w:eastAsia="zh-CN"/>
              </w:rPr>
              <w:t>.</w:t>
            </w:r>
            <w:r>
              <w:rPr>
                <w:rFonts w:hint="eastAsia" w:ascii="Times New Roman" w:hAnsi="Times New Roman" w:eastAsia="Times New Roman" w:cs="Times New Roman"/>
                <w:color w:val="auto"/>
                <w:spacing w:val="6"/>
                <w:sz w:val="20"/>
                <w:szCs w:val="20"/>
                <w:highlight w:val="none"/>
              </w:rPr>
              <w:t>1575</w:t>
            </w:r>
          </w:p>
        </w:tc>
        <w:tc>
          <w:tcPr>
            <w:tcW w:w="1509" w:type="dxa"/>
            <w:vAlign w:val="top"/>
          </w:tcPr>
          <w:p>
            <w:pPr>
              <w:spacing w:before="90" w:line="195" w:lineRule="auto"/>
              <w:ind w:left="590" w:leftChars="0"/>
              <w:rPr>
                <w:rFonts w:ascii="Times New Roman" w:hAnsi="Times New Roman" w:eastAsia="Times New Roman" w:cs="Times New Roman"/>
                <w:color w:val="auto"/>
                <w:sz w:val="20"/>
                <w:szCs w:val="20"/>
                <w:highlight w:val="none"/>
              </w:rPr>
            </w:pPr>
            <w:r>
              <w:rPr>
                <w:rFonts w:hint="eastAsia" w:ascii="Times New Roman" w:hAnsi="Times New Roman" w:eastAsia="Times New Roman" w:cs="Times New Roman"/>
                <w:color w:val="auto"/>
                <w:sz w:val="20"/>
                <w:szCs w:val="20"/>
                <w:highlight w:val="none"/>
                <w:lang w:val="en-US" w:eastAsia="zh-CN"/>
              </w:rPr>
              <w:fldChar w:fldCharType="begin"/>
            </w:r>
            <w:r>
              <w:rPr>
                <w:rFonts w:hint="eastAsia" w:ascii="Times New Roman" w:hAnsi="Times New Roman" w:eastAsia="Times New Roman" w:cs="Times New Roman"/>
                <w:color w:val="auto"/>
                <w:sz w:val="20"/>
                <w:szCs w:val="20"/>
                <w:highlight w:val="none"/>
                <w:lang w:val="en-US" w:eastAsia="zh-CN"/>
              </w:rPr>
              <w:instrText xml:space="preserve"> = sum(F3:F5) \* MERGEFORMAT </w:instrText>
            </w:r>
            <w:r>
              <w:rPr>
                <w:rFonts w:hint="eastAsia" w:ascii="Times New Roman" w:hAnsi="Times New Roman" w:eastAsia="Times New Roman" w:cs="Times New Roman"/>
                <w:color w:val="auto"/>
                <w:sz w:val="20"/>
                <w:szCs w:val="20"/>
                <w:highlight w:val="none"/>
                <w:lang w:val="en-US" w:eastAsia="zh-CN"/>
              </w:rPr>
              <w:fldChar w:fldCharType="separate"/>
            </w:r>
            <w:r>
              <w:rPr>
                <w:rFonts w:hint="eastAsia" w:ascii="Times New Roman" w:hAnsi="Times New Roman" w:eastAsia="Times New Roman" w:cs="Times New Roman"/>
                <w:color w:val="auto"/>
                <w:sz w:val="20"/>
                <w:szCs w:val="20"/>
                <w:highlight w:val="none"/>
                <w:lang w:val="en-US" w:eastAsia="zh-CN"/>
              </w:rPr>
              <w:t>22.911</w:t>
            </w:r>
            <w:r>
              <w:rPr>
                <w:rFonts w:hint="eastAsia" w:ascii="Times New Roman" w:hAnsi="Times New Roman" w:eastAsia="Times New Roman" w:cs="Times New Roman"/>
                <w:color w:val="auto"/>
                <w:sz w:val="20"/>
                <w:szCs w:val="20"/>
                <w:highlight w:val="none"/>
                <w:lang w:val="en-US" w:eastAsia="zh-CN"/>
              </w:rPr>
              <w:fldChar w:fldCharType="end"/>
            </w:r>
          </w:p>
        </w:tc>
        <w:tc>
          <w:tcPr>
            <w:tcW w:w="1150" w:type="dxa"/>
            <w:vAlign w:val="top"/>
          </w:tcPr>
          <w:p>
            <w:pPr>
              <w:spacing w:before="90" w:line="195" w:lineRule="auto"/>
              <w:ind w:left="489" w:leftChars="0"/>
              <w:rPr>
                <w:rFonts w:hint="eastAsia" w:ascii="Times New Roman" w:hAnsi="Times New Roman" w:eastAsia="宋体" w:cs="Times New Roman"/>
                <w:color w:val="auto"/>
                <w:sz w:val="20"/>
                <w:szCs w:val="20"/>
                <w:highlight w:val="none"/>
                <w:lang w:eastAsia="zh-CN"/>
              </w:rPr>
            </w:pPr>
            <w:r>
              <w:rPr>
                <w:rFonts w:hint="eastAsia" w:ascii="Times New Roman" w:hAnsi="Times New Roman" w:eastAsia="宋体" w:cs="Times New Roman"/>
                <w:color w:val="auto"/>
                <w:sz w:val="20"/>
                <w:szCs w:val="20"/>
                <w:highlight w:val="none"/>
                <w:lang w:eastAsia="zh-CN"/>
              </w:rPr>
              <w:fldChar w:fldCharType="begin"/>
            </w:r>
            <w:r>
              <w:rPr>
                <w:rFonts w:hint="eastAsia" w:ascii="Times New Roman" w:hAnsi="Times New Roman" w:eastAsia="宋体" w:cs="Times New Roman"/>
                <w:color w:val="auto"/>
                <w:sz w:val="20"/>
                <w:szCs w:val="20"/>
                <w:highlight w:val="none"/>
                <w:lang w:eastAsia="zh-CN"/>
              </w:rPr>
              <w:instrText xml:space="preserve"> = sum(G3:G5) \* MERGEFORMAT </w:instrText>
            </w:r>
            <w:r>
              <w:rPr>
                <w:rFonts w:hint="eastAsia" w:ascii="Times New Roman" w:hAnsi="Times New Roman" w:eastAsia="宋体" w:cs="Times New Roman"/>
                <w:color w:val="auto"/>
                <w:sz w:val="20"/>
                <w:szCs w:val="20"/>
                <w:highlight w:val="none"/>
                <w:lang w:eastAsia="zh-CN"/>
              </w:rPr>
              <w:fldChar w:fldCharType="separate"/>
            </w:r>
            <w:r>
              <w:rPr>
                <w:rFonts w:hint="eastAsia" w:ascii="Times New Roman" w:hAnsi="Times New Roman" w:eastAsia="宋体" w:cs="Times New Roman"/>
                <w:color w:val="auto"/>
                <w:sz w:val="20"/>
                <w:szCs w:val="20"/>
                <w:highlight w:val="none"/>
                <w:lang w:eastAsia="zh-CN"/>
              </w:rPr>
              <w:t>26.069</w:t>
            </w:r>
            <w:r>
              <w:rPr>
                <w:rFonts w:hint="eastAsia" w:ascii="Times New Roman" w:hAnsi="Times New Roman" w:eastAsia="宋体" w:cs="Times New Roman"/>
                <w:color w:val="auto"/>
                <w:sz w:val="20"/>
                <w:szCs w:val="20"/>
                <w:highlight w:val="none"/>
                <w:lang w:eastAsia="zh-CN"/>
              </w:rPr>
              <w:fldChar w:fldCharType="end"/>
            </w:r>
          </w:p>
        </w:tc>
        <w:tc>
          <w:tcPr>
            <w:tcW w:w="1636" w:type="dxa"/>
            <w:tcBorders>
              <w:right w:val="single" w:color="000000" w:sz="10" w:space="0"/>
            </w:tcBorders>
            <w:vAlign w:val="top"/>
          </w:tcPr>
          <w:p>
            <w:pPr>
              <w:spacing w:before="90" w:line="195" w:lineRule="auto"/>
              <w:ind w:left="654" w:leftChars="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0</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从表 5. 1-7 和表 5. 1-8 对比可知，本工程施工前后植被覆盖度变化最为明显的为 500kV 汇集站，由中覆盖度转化为工况用地；输电线路塔基区植被覆盖度变化较小，区 内主要以破坏灌草丛为主，降低了工程占地区植被覆盖现状，随着生态恢复措施的 设施，植被覆盖度逐渐提高，直至完全恢复。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68" w:name="_bookmark106"/>
      <w:bookmarkEnd w:id="68"/>
      <w:bookmarkStart w:id="69" w:name="_Toc19226"/>
      <w:r>
        <w:rPr>
          <w:rFonts w:hint="eastAsia" w:ascii="Times New Roman" w:hAnsi="Times New Roman" w:eastAsia="宋体" w:cs="Times New Roman"/>
          <w:snapToGrid/>
          <w:kern w:val="0"/>
          <w:sz w:val="24"/>
          <w:szCs w:val="24"/>
          <w:highlight w:val="none"/>
          <w:lang w:val="en-US" w:eastAsia="zh-CN" w:bidi="ar"/>
        </w:rPr>
        <w:t>（5）动物生态影响分析</w:t>
      </w:r>
      <w:bookmarkEnd w:id="69"/>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本工程施工期间对野生动物可能造成的影响包括噪声、人为活动对野生动物的干扰， 以及该工程建成后，塔身、架空电线等对野生动物迁移、迁徙、活动、栖息等方面的影响。不同类群野生动物所受影响具有差异性，现就不同类群可能受到的影响分别论述。</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①对鸟类的影响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线路施工期间对工程附近的鸟类影响主要表现在以下 5 个方面。</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1)施工活动对鸟类栖息地生境的干扰和破坏，主要表现在铁塔施工和施工便道有可 能破坏生境和干扰林栖和灌丛栖息鸟类的小生境；</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2)线路施工人员的生活活动对鸟类栖息地生境的干扰和破坏；</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3)施工机械噪声对鸟类的惊吓和驱赶；</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4)施工人员对鸟类的捕捉；</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5)施工中对鸟类的栖息地的破坏如施工中砍伐树木对鸟类巢穴的破坏。</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上述5 项对鸟类的主要影响，其结果将使得大部分鸟类迁移它处，远离施工区范围； 小部分地栖和灌木林栖鸟类由于栖息地的散失而从工程所在区域消失；一部分鸟类的种 群数量由于巢穴被破坏而减少，特别是当施工期为鸟类的繁殖季节时(夏季) 。总的结果 是工程所在区域内鸟类的种类和数量将减少。但大多数鸟类会通过飞翔，短距离的迁移 来避免工程施工对其造成伤害，故工程施工对鸟类总的影响不大。(2)对兽类动物的影响线路施工期间对工程附近的兽类的影响主要表现在以下 4 个方面。</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xml:space="preserve">1)施工人员的施工活动对兽类栖息地生境的干扰和破；         </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2)施工人员的生活活动对兽类栖息地生境的干扰和破；</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xml:space="preserve">3)施工机械噪声对兽类的惊吓和驱赶；                         </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4)线路施工人员可能对兽类的猎杀。</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上述4项对兽类的主要影响，其结果将使得部分兽类在施工期间迁移它处，远离施工区范围；小部分小型兽类由于栖息地的散失而可能从工程所在区域消失。总的结果是工程所在区域内兽类的种类和数量将减少。但兽类会通过迁移来避免工程施工对其造成伤害，所以工程施工对兽类总的影响不大。</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综上，工程施工对野生动物影响主要表现在两个方面：一方面工程基础开挖、立塔架线和施工人员施工等人为干扰因素，如果处理不当，可能会缩小或影响野生动物的栖息空间和生存环境；另一方面，施工干扰会使野生动物受到惊吓，也将被迫离开施工区周围的栖息地或活动区域。但由于施工时间短、施工点分散、施工人员少等原因，施工对动物的影响范围小，影响时间短，同时由于野生动物栖息环境和活动区域范围较大，食性广泛，且有一定迁移能力，只要在施工过程中只要加强管理、杜绝人为捕猎行为， 施工不会对野生动物造成明显的影响。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70" w:name="_bookmark107"/>
      <w:bookmarkEnd w:id="70"/>
      <w:bookmarkStart w:id="71" w:name="_Toc10057"/>
      <w:r>
        <w:rPr>
          <w:rFonts w:hint="eastAsia" w:ascii="Times New Roman" w:hAnsi="Times New Roman" w:eastAsia="宋体" w:cs="Times New Roman"/>
          <w:snapToGrid/>
          <w:kern w:val="0"/>
          <w:sz w:val="24"/>
          <w:szCs w:val="24"/>
          <w:highlight w:val="none"/>
          <w:lang w:val="en-US" w:eastAsia="zh-CN" w:bidi="ar"/>
        </w:rPr>
        <w:t>（6）景观影响分析</w:t>
      </w:r>
      <w:bookmarkEnd w:id="71"/>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在汇集站及塔基建设过程中，需开挖基坑，必然会造成地表植被的破坏，形成与原始生态景观不协调的裸露斑块。本工程汇集站、塔基永久占地将形成新的景观斑块而增加斑块的数量，在一定程度上增大了景观的破碎度。另外，架空线路会对沿线景观产生切割，影响景观的整体美，对原有自然景观产生干扰，带来一定的视觉冲击效应。然而，工程沿线不涉及风景名胜区、旅游景点等，同时大多数线路段不在主干道沿线，且经过区域人烟稀少，因此本工程对沿线的景观影响较小。</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72" w:name="_bookmark110"/>
      <w:bookmarkEnd w:id="72"/>
      <w:bookmarkStart w:id="73" w:name="_bookmark108"/>
      <w:bookmarkEnd w:id="73"/>
      <w:bookmarkStart w:id="74" w:name="_bookmark109"/>
      <w:bookmarkEnd w:id="74"/>
      <w:bookmarkStart w:id="75" w:name="_Toc14623"/>
      <w:r>
        <w:rPr>
          <w:rFonts w:hint="eastAsia" w:ascii="Times New Roman" w:hAnsi="Times New Roman" w:eastAsia="宋体" w:cs="Times New Roman"/>
          <w:snapToGrid/>
          <w:kern w:val="0"/>
          <w:sz w:val="24"/>
          <w:szCs w:val="24"/>
          <w:highlight w:val="none"/>
          <w:lang w:val="en-US" w:eastAsia="zh-CN" w:bidi="ar"/>
        </w:rPr>
        <w:t>（7） 生态影响评价结论</w:t>
      </w:r>
      <w:bookmarkEnd w:id="75"/>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为线性工程，杆塔塔基为点状分布，工程施工期会对评价区内生态系统完整性产生一定的影响，使得生态系统破碎化呈斑块状，但工程实施为阶段性并且分段实施，采取控制作业带面积、减少施工设备等措施后，可有效降低对生态环境完整性的影响，局部影响随着施工期的结束而消失。本工程生产力损失98.438t/a，生物量损失为 82.031t，在采取生态恢复等措施后，不会带来明显的生态环境影响。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76" w:name="_Toc10606"/>
      <w:r>
        <w:rPr>
          <w:rFonts w:hint="eastAsia" w:ascii="Times New Roman" w:hAnsi="Times New Roman" w:eastAsia="宋体" w:cs="Times New Roman"/>
          <w:snapToGrid/>
          <w:kern w:val="0"/>
          <w:sz w:val="24"/>
          <w:szCs w:val="24"/>
          <w:highlight w:val="none"/>
          <w:lang w:val="en-US" w:eastAsia="zh-CN" w:bidi="ar"/>
        </w:rPr>
        <w:t>（8）生态影响评价自查表</w:t>
      </w:r>
      <w:bookmarkEnd w:id="76"/>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本工程生态环境影响自查表见表 5. 1-3。</w:t>
      </w:r>
    </w:p>
    <w:p>
      <w:pPr>
        <w:spacing w:before="181" w:line="230" w:lineRule="auto"/>
        <w:ind w:left="3350"/>
        <w:rPr>
          <w:rFonts w:ascii="黑体" w:hAnsi="黑体" w:eastAsia="黑体" w:cs="黑体"/>
          <w:color w:val="auto"/>
          <w:sz w:val="20"/>
          <w:szCs w:val="20"/>
          <w:highlight w:val="none"/>
        </w:rPr>
      </w:pPr>
      <w:r>
        <w:rPr>
          <w:rFonts w:ascii="黑体" w:hAnsi="黑体" w:eastAsia="黑体" w:cs="黑体"/>
          <w:color w:val="auto"/>
          <w:spacing w:val="1"/>
          <w:sz w:val="20"/>
          <w:szCs w:val="20"/>
          <w:highlight w:val="none"/>
        </w:rPr>
        <w:t xml:space="preserve">表 </w:t>
      </w:r>
      <w:r>
        <w:rPr>
          <w:rFonts w:ascii="Times New Roman" w:hAnsi="Times New Roman" w:eastAsia="Times New Roman" w:cs="Times New Roman"/>
          <w:color w:val="auto"/>
          <w:spacing w:val="1"/>
          <w:sz w:val="20"/>
          <w:szCs w:val="20"/>
          <w:highlight w:val="none"/>
        </w:rPr>
        <w:t xml:space="preserve">5. 1-3    </w:t>
      </w:r>
      <w:r>
        <w:rPr>
          <w:rFonts w:ascii="黑体" w:hAnsi="黑体" w:eastAsia="黑体" w:cs="黑体"/>
          <w:color w:val="auto"/>
          <w:spacing w:val="1"/>
          <w:sz w:val="20"/>
          <w:szCs w:val="20"/>
          <w:highlight w:val="none"/>
        </w:rPr>
        <w:t>生态影响评价</w:t>
      </w:r>
      <w:r>
        <w:rPr>
          <w:rFonts w:ascii="黑体" w:hAnsi="黑体" w:eastAsia="黑体" w:cs="黑体"/>
          <w:color w:val="auto"/>
          <w:sz w:val="20"/>
          <w:szCs w:val="20"/>
          <w:highlight w:val="none"/>
        </w:rPr>
        <w:t>自查表</w:t>
      </w:r>
    </w:p>
    <w:p>
      <w:pPr>
        <w:spacing w:line="127" w:lineRule="exact"/>
        <w:rPr>
          <w:color w:val="0000FF"/>
          <w:highlight w:val="none"/>
        </w:rPr>
      </w:pPr>
    </w:p>
    <w:tbl>
      <w:tblPr>
        <w:tblStyle w:val="20"/>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00"/>
        <w:gridCol w:w="1397"/>
        <w:gridCol w:w="69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289" w:type="pct"/>
            <w:gridSpan w:val="2"/>
            <w:tcBorders>
              <w:left w:val="single" w:color="000000" w:sz="10" w:space="0"/>
            </w:tcBorders>
            <w:vAlign w:val="top"/>
          </w:tcPr>
          <w:p>
            <w:pPr>
              <w:spacing w:before="123" w:line="230" w:lineRule="auto"/>
              <w:ind w:left="853"/>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工</w:t>
            </w:r>
            <w:r>
              <w:rPr>
                <w:rFonts w:ascii="宋体" w:hAnsi="宋体" w:eastAsia="宋体" w:cs="宋体"/>
                <w:color w:val="auto"/>
                <w:spacing w:val="7"/>
                <w:sz w:val="17"/>
                <w:szCs w:val="17"/>
                <w:highlight w:val="none"/>
              </w:rPr>
              <w:t>作内容</w:t>
            </w:r>
          </w:p>
        </w:tc>
        <w:tc>
          <w:tcPr>
            <w:tcW w:w="3710" w:type="pct"/>
            <w:tcBorders>
              <w:right w:val="single" w:color="000000" w:sz="10" w:space="0"/>
            </w:tcBorders>
            <w:vAlign w:val="top"/>
          </w:tcPr>
          <w:p>
            <w:pPr>
              <w:spacing w:before="123" w:line="230" w:lineRule="auto"/>
              <w:ind w:left="3153"/>
              <w:rPr>
                <w:rFonts w:ascii="宋体" w:hAnsi="宋体" w:eastAsia="宋体" w:cs="宋体"/>
                <w:color w:val="auto"/>
                <w:sz w:val="17"/>
                <w:szCs w:val="17"/>
                <w:highlight w:val="none"/>
              </w:rPr>
            </w:pPr>
            <w:r>
              <w:rPr>
                <w:rFonts w:ascii="宋体" w:hAnsi="宋体" w:eastAsia="宋体" w:cs="宋体"/>
                <w:color w:val="auto"/>
                <w:spacing w:val="1"/>
                <w:sz w:val="17"/>
                <w:szCs w:val="17"/>
                <w:highlight w:val="none"/>
              </w:rPr>
              <w:t>自查项</w:t>
            </w:r>
            <w:r>
              <w:rPr>
                <w:rFonts w:ascii="宋体" w:hAnsi="宋体" w:eastAsia="宋体" w:cs="宋体"/>
                <w:color w:val="auto"/>
                <w:sz w:val="17"/>
                <w:szCs w:val="17"/>
                <w:highlight w:val="none"/>
              </w:rPr>
              <w:t>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538" w:type="pct"/>
            <w:vMerge w:val="restart"/>
            <w:tcBorders>
              <w:left w:val="single" w:color="000000" w:sz="10" w:space="0"/>
              <w:bottom w:val="nil"/>
            </w:tcBorders>
            <w:vAlign w:val="top"/>
          </w:tcPr>
          <w:p>
            <w:pPr>
              <w:spacing w:line="251"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spacing w:line="251" w:lineRule="auto"/>
              <w:rPr>
                <w:rFonts w:ascii="Arial"/>
                <w:color w:val="auto"/>
                <w:sz w:val="21"/>
                <w:highlight w:val="none"/>
              </w:rPr>
            </w:pPr>
          </w:p>
          <w:p>
            <w:pPr>
              <w:spacing w:before="55" w:line="352" w:lineRule="auto"/>
              <w:ind w:left="326" w:right="133" w:hanging="180"/>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生态影</w:t>
            </w:r>
            <w:r>
              <w:rPr>
                <w:rFonts w:ascii="宋体" w:hAnsi="宋体" w:eastAsia="宋体" w:cs="宋体"/>
                <w:color w:val="auto"/>
                <w:spacing w:val="7"/>
                <w:sz w:val="17"/>
                <w:szCs w:val="17"/>
                <w:highlight w:val="none"/>
              </w:rPr>
              <w:t>响</w:t>
            </w:r>
            <w:r>
              <w:rPr>
                <w:rFonts w:ascii="宋体" w:hAnsi="宋体" w:eastAsia="宋体" w:cs="宋体"/>
                <w:color w:val="auto"/>
                <w:sz w:val="17"/>
                <w:szCs w:val="17"/>
                <w:highlight w:val="none"/>
              </w:rPr>
              <w:t xml:space="preserve"> </w:t>
            </w:r>
            <w:r>
              <w:rPr>
                <w:rFonts w:ascii="宋体" w:hAnsi="宋体" w:eastAsia="宋体" w:cs="宋体"/>
                <w:color w:val="auto"/>
                <w:spacing w:val="6"/>
                <w:sz w:val="17"/>
                <w:szCs w:val="17"/>
                <w:highlight w:val="none"/>
              </w:rPr>
              <w:t>识</w:t>
            </w:r>
            <w:r>
              <w:rPr>
                <w:rFonts w:ascii="宋体" w:hAnsi="宋体" w:eastAsia="宋体" w:cs="宋体"/>
                <w:color w:val="auto"/>
                <w:spacing w:val="5"/>
                <w:sz w:val="17"/>
                <w:szCs w:val="17"/>
                <w:highlight w:val="none"/>
              </w:rPr>
              <w:t>别</w:t>
            </w:r>
          </w:p>
        </w:tc>
        <w:tc>
          <w:tcPr>
            <w:tcW w:w="751" w:type="pct"/>
            <w:vAlign w:val="top"/>
          </w:tcPr>
          <w:p>
            <w:pPr>
              <w:spacing w:line="338" w:lineRule="auto"/>
              <w:rPr>
                <w:rFonts w:ascii="Arial"/>
                <w:color w:val="auto"/>
                <w:sz w:val="21"/>
                <w:highlight w:val="none"/>
              </w:rPr>
            </w:pPr>
          </w:p>
          <w:p>
            <w:pPr>
              <w:spacing w:before="56" w:line="231" w:lineRule="auto"/>
              <w:ind w:left="174"/>
              <w:rPr>
                <w:rFonts w:ascii="宋体" w:hAnsi="宋体" w:eastAsia="宋体" w:cs="宋体"/>
                <w:color w:val="auto"/>
                <w:sz w:val="17"/>
                <w:szCs w:val="17"/>
                <w:highlight w:val="none"/>
              </w:rPr>
            </w:pPr>
            <w:r>
              <w:rPr>
                <w:rFonts w:ascii="宋体" w:hAnsi="宋体" w:eastAsia="宋体" w:cs="宋体"/>
                <w:color w:val="auto"/>
                <w:spacing w:val="11"/>
                <w:sz w:val="17"/>
                <w:szCs w:val="17"/>
                <w:highlight w:val="none"/>
              </w:rPr>
              <w:t>生</w:t>
            </w:r>
            <w:r>
              <w:rPr>
                <w:rFonts w:ascii="宋体" w:hAnsi="宋体" w:eastAsia="宋体" w:cs="宋体"/>
                <w:color w:val="auto"/>
                <w:spacing w:val="8"/>
                <w:sz w:val="17"/>
                <w:szCs w:val="17"/>
                <w:highlight w:val="none"/>
              </w:rPr>
              <w:t>态保护目标</w:t>
            </w:r>
          </w:p>
        </w:tc>
        <w:tc>
          <w:tcPr>
            <w:tcW w:w="3710" w:type="pct"/>
            <w:tcBorders>
              <w:right w:val="single" w:color="000000" w:sz="10" w:space="0"/>
            </w:tcBorders>
            <w:vAlign w:val="top"/>
          </w:tcPr>
          <w:p>
            <w:pPr>
              <w:spacing w:before="107" w:line="246" w:lineRule="auto"/>
              <w:ind w:left="4" w:right="34"/>
              <w:rPr>
                <w:rFonts w:ascii="Calibri" w:hAnsi="Calibri" w:eastAsia="Calibri" w:cs="Calibri"/>
                <w:color w:val="auto"/>
                <w:sz w:val="17"/>
                <w:szCs w:val="17"/>
                <w:highlight w:val="none"/>
              </w:rPr>
            </w:pPr>
            <w:r>
              <w:rPr>
                <w:rFonts w:ascii="宋体" w:hAnsi="宋体" w:eastAsia="宋体" w:cs="宋体"/>
                <w:color w:val="auto"/>
                <w:spacing w:val="4"/>
                <w:sz w:val="17"/>
                <w:szCs w:val="17"/>
                <w:highlight w:val="none"/>
              </w:rPr>
              <w:t>重要物种</w:t>
            </w:r>
            <w:r>
              <w:rPr>
                <w:rFonts w:ascii="Calibri" w:hAnsi="Calibri" w:eastAsia="Calibri" w:cs="Calibri"/>
                <w:color w:val="auto"/>
                <w:spacing w:val="4"/>
                <w:sz w:val="17"/>
                <w:szCs w:val="17"/>
                <w:highlight w:val="none"/>
              </w:rPr>
              <w:t xml:space="preserve">□ </w:t>
            </w:r>
            <w:r>
              <w:rPr>
                <w:rFonts w:ascii="宋体" w:hAnsi="宋体" w:eastAsia="宋体" w:cs="宋体"/>
                <w:color w:val="auto"/>
                <w:spacing w:val="4"/>
                <w:sz w:val="17"/>
                <w:szCs w:val="17"/>
                <w:highlight w:val="none"/>
              </w:rPr>
              <w:t>；国家</w:t>
            </w:r>
            <w:r>
              <w:rPr>
                <w:rFonts w:ascii="宋体" w:hAnsi="宋体" w:eastAsia="宋体" w:cs="宋体"/>
                <w:color w:val="auto"/>
                <w:spacing w:val="3"/>
                <w:sz w:val="17"/>
                <w:szCs w:val="17"/>
                <w:highlight w:val="none"/>
              </w:rPr>
              <w:t>公</w:t>
            </w:r>
            <w:r>
              <w:rPr>
                <w:rFonts w:ascii="宋体" w:hAnsi="宋体" w:eastAsia="宋体" w:cs="宋体"/>
                <w:color w:val="auto"/>
                <w:spacing w:val="2"/>
                <w:sz w:val="17"/>
                <w:szCs w:val="17"/>
                <w:highlight w:val="none"/>
              </w:rPr>
              <w:t>园</w:t>
            </w:r>
            <w:r>
              <w:rPr>
                <w:rFonts w:ascii="Calibri" w:hAnsi="Calibri" w:eastAsia="Calibri" w:cs="Calibri"/>
                <w:color w:val="auto"/>
                <w:spacing w:val="2"/>
                <w:sz w:val="17"/>
                <w:szCs w:val="17"/>
                <w:highlight w:val="none"/>
              </w:rPr>
              <w:t xml:space="preserve">□ </w:t>
            </w:r>
            <w:r>
              <w:rPr>
                <w:rFonts w:ascii="宋体" w:hAnsi="宋体" w:eastAsia="宋体" w:cs="宋体"/>
                <w:color w:val="auto"/>
                <w:spacing w:val="2"/>
                <w:sz w:val="17"/>
                <w:szCs w:val="17"/>
                <w:highlight w:val="none"/>
              </w:rPr>
              <w:t>；自然保护区</w:t>
            </w:r>
            <w:r>
              <w:rPr>
                <w:rFonts w:ascii="微软雅黑" w:hAnsi="微软雅黑" w:eastAsia="微软雅黑" w:cs="微软雅黑"/>
                <w:color w:val="auto"/>
                <w:spacing w:val="2"/>
                <w:sz w:val="17"/>
                <w:szCs w:val="17"/>
                <w:highlight w:val="none"/>
              </w:rPr>
              <w:t>□</w:t>
            </w:r>
            <w:r>
              <w:rPr>
                <w:rFonts w:ascii="宋体" w:hAnsi="宋体" w:eastAsia="宋体" w:cs="宋体"/>
                <w:color w:val="auto"/>
                <w:spacing w:val="2"/>
                <w:sz w:val="17"/>
                <w:szCs w:val="17"/>
                <w:highlight w:val="none"/>
              </w:rPr>
              <w:t>；自然公园</w:t>
            </w:r>
            <w:r>
              <w:rPr>
                <w:rFonts w:ascii="Calibri" w:hAnsi="Calibri" w:eastAsia="Calibri" w:cs="Calibri"/>
                <w:color w:val="auto"/>
                <w:spacing w:val="2"/>
                <w:sz w:val="17"/>
                <w:szCs w:val="17"/>
                <w:highlight w:val="none"/>
              </w:rPr>
              <w:t>□</w:t>
            </w:r>
            <w:r>
              <w:rPr>
                <w:rFonts w:ascii="宋体" w:hAnsi="宋体" w:eastAsia="宋体" w:cs="宋体"/>
                <w:color w:val="auto"/>
                <w:spacing w:val="2"/>
                <w:sz w:val="17"/>
                <w:szCs w:val="17"/>
                <w:highlight w:val="none"/>
              </w:rPr>
              <w:t>；世界自然遗产</w:t>
            </w:r>
            <w:r>
              <w:rPr>
                <w:rFonts w:ascii="Calibri" w:hAnsi="Calibri" w:eastAsia="Calibri" w:cs="Calibri"/>
                <w:color w:val="auto"/>
                <w:spacing w:val="2"/>
                <w:sz w:val="17"/>
                <w:szCs w:val="17"/>
                <w:highlight w:val="none"/>
              </w:rPr>
              <w:t>□</w:t>
            </w:r>
            <w:r>
              <w:rPr>
                <w:rFonts w:ascii="宋体" w:hAnsi="宋体" w:eastAsia="宋体" w:cs="宋体"/>
                <w:color w:val="auto"/>
                <w:spacing w:val="2"/>
                <w:sz w:val="17"/>
                <w:szCs w:val="17"/>
                <w:highlight w:val="none"/>
              </w:rPr>
              <w:t>；生态保护红线</w:t>
            </w:r>
            <w:r>
              <w:rPr>
                <w:rFonts w:ascii="微软雅黑" w:hAnsi="微软雅黑" w:eastAsia="微软雅黑" w:cs="微软雅黑"/>
                <w:color w:val="auto"/>
                <w:spacing w:val="2"/>
                <w:sz w:val="17"/>
                <w:szCs w:val="17"/>
                <w:highlight w:val="none"/>
              </w:rPr>
              <w:t>□</w:t>
            </w:r>
            <w:r>
              <w:rPr>
                <w:rFonts w:ascii="宋体" w:hAnsi="宋体" w:eastAsia="宋体" w:cs="宋体"/>
                <w:color w:val="auto"/>
                <w:spacing w:val="2"/>
                <w:sz w:val="17"/>
                <w:szCs w:val="17"/>
                <w:highlight w:val="none"/>
              </w:rPr>
              <w:t>；</w:t>
            </w:r>
            <w:r>
              <w:rPr>
                <w:rFonts w:ascii="宋体" w:hAnsi="宋体" w:eastAsia="宋体" w:cs="宋体"/>
                <w:color w:val="auto"/>
                <w:sz w:val="17"/>
                <w:szCs w:val="17"/>
                <w:highlight w:val="none"/>
              </w:rPr>
              <w:t xml:space="preserve"> </w:t>
            </w:r>
            <w:r>
              <w:rPr>
                <w:rFonts w:ascii="宋体" w:hAnsi="宋体" w:eastAsia="宋体" w:cs="宋体"/>
                <w:color w:val="auto"/>
                <w:spacing w:val="12"/>
                <w:sz w:val="17"/>
                <w:szCs w:val="17"/>
                <w:highlight w:val="none"/>
              </w:rPr>
              <w:t>重</w:t>
            </w:r>
            <w:r>
              <w:rPr>
                <w:rFonts w:ascii="宋体" w:hAnsi="宋体" w:eastAsia="宋体" w:cs="宋体"/>
                <w:color w:val="auto"/>
                <w:spacing w:val="7"/>
                <w:sz w:val="17"/>
                <w:szCs w:val="17"/>
                <w:highlight w:val="none"/>
              </w:rPr>
              <w:t>要生境</w:t>
            </w:r>
            <w:r>
              <w:rPr>
                <w:rFonts w:ascii="Calibri" w:hAnsi="Calibri" w:eastAsia="Calibri" w:cs="Calibri"/>
                <w:color w:val="auto"/>
                <w:spacing w:val="7"/>
                <w:sz w:val="17"/>
                <w:szCs w:val="17"/>
                <w:highlight w:val="none"/>
              </w:rPr>
              <w:t xml:space="preserve">□ </w:t>
            </w:r>
            <w:r>
              <w:rPr>
                <w:rFonts w:ascii="宋体" w:hAnsi="宋体" w:eastAsia="宋体" w:cs="宋体"/>
                <w:color w:val="auto"/>
                <w:spacing w:val="7"/>
                <w:sz w:val="17"/>
                <w:szCs w:val="17"/>
                <w:highlight w:val="none"/>
              </w:rPr>
              <w:t>；其他具有重要生态功能、对保护生物多样性具有重要意义的区域</w:t>
            </w:r>
            <w:r>
              <w:rPr>
                <w:rFonts w:ascii="Calibri" w:hAnsi="Calibri" w:eastAsia="Calibri" w:cs="Calibri"/>
                <w:color w:val="auto"/>
                <w:spacing w:val="7"/>
                <w:sz w:val="17"/>
                <w:szCs w:val="17"/>
                <w:highlight w:val="none"/>
              </w:rPr>
              <w:t xml:space="preserve">□ </w:t>
            </w:r>
            <w:r>
              <w:rPr>
                <w:rFonts w:ascii="宋体" w:hAnsi="宋体" w:eastAsia="宋体" w:cs="宋体"/>
                <w:color w:val="auto"/>
                <w:spacing w:val="7"/>
                <w:sz w:val="17"/>
                <w:szCs w:val="17"/>
                <w:highlight w:val="none"/>
              </w:rPr>
              <w:t>；其他</w:t>
            </w:r>
            <w:r>
              <w:rPr>
                <w:rFonts w:ascii="Calibri" w:hAnsi="Calibri" w:eastAsia="Calibri" w:cs="Calibri"/>
                <w:color w:val="auto"/>
                <w:spacing w:val="7"/>
                <w:sz w:val="17"/>
                <w:szCs w:val="17"/>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8" w:type="pct"/>
            <w:vMerge w:val="continue"/>
            <w:tcBorders>
              <w:top w:val="nil"/>
              <w:left w:val="single" w:color="000000" w:sz="10" w:space="0"/>
              <w:bottom w:val="nil"/>
            </w:tcBorders>
            <w:vAlign w:val="top"/>
          </w:tcPr>
          <w:p>
            <w:pPr>
              <w:rPr>
                <w:rFonts w:ascii="Arial"/>
                <w:color w:val="auto"/>
                <w:sz w:val="21"/>
                <w:highlight w:val="none"/>
              </w:rPr>
            </w:pPr>
          </w:p>
        </w:tc>
        <w:tc>
          <w:tcPr>
            <w:tcW w:w="751" w:type="pct"/>
            <w:vAlign w:val="top"/>
          </w:tcPr>
          <w:p>
            <w:pPr>
              <w:spacing w:before="68" w:line="229" w:lineRule="auto"/>
              <w:ind w:left="353"/>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影响方式</w:t>
            </w:r>
          </w:p>
        </w:tc>
        <w:tc>
          <w:tcPr>
            <w:tcW w:w="3710" w:type="pct"/>
            <w:tcBorders>
              <w:right w:val="single" w:color="000000" w:sz="10" w:space="0"/>
            </w:tcBorders>
            <w:vAlign w:val="top"/>
          </w:tcPr>
          <w:p>
            <w:pPr>
              <w:spacing w:before="67" w:line="196" w:lineRule="auto"/>
              <w:ind w:left="6"/>
              <w:rPr>
                <w:color w:val="auto"/>
                <w:sz w:val="17"/>
                <w:szCs w:val="17"/>
                <w:highlight w:val="none"/>
              </w:rPr>
            </w:pPr>
            <w:r>
              <w:rPr>
                <w:rFonts w:ascii="宋体" w:hAnsi="宋体" w:eastAsia="宋体" w:cs="宋体"/>
                <w:color w:val="auto"/>
                <w:spacing w:val="6"/>
                <w:sz w:val="17"/>
                <w:szCs w:val="17"/>
                <w:highlight w:val="none"/>
              </w:rPr>
              <w:t>工程占用</w:t>
            </w:r>
            <w:r>
              <w:rPr>
                <w:rFonts w:ascii="微软雅黑" w:hAnsi="微软雅黑" w:eastAsia="微软雅黑" w:cs="微软雅黑"/>
                <w:color w:val="auto"/>
                <w:spacing w:val="6"/>
                <w:sz w:val="17"/>
                <w:szCs w:val="17"/>
                <w:highlight w:val="none"/>
              </w:rPr>
              <w:sym w:font="Wingdings 2" w:char="0052"/>
            </w:r>
            <w:r>
              <w:rPr>
                <w:rFonts w:ascii="宋体" w:hAnsi="宋体" w:eastAsia="宋体" w:cs="宋体"/>
                <w:color w:val="auto"/>
                <w:spacing w:val="6"/>
                <w:sz w:val="17"/>
                <w:szCs w:val="17"/>
                <w:highlight w:val="none"/>
              </w:rPr>
              <w:t>；施工活动干扰</w:t>
            </w:r>
            <w:r>
              <w:rPr>
                <w:rFonts w:ascii="微软雅黑" w:hAnsi="微软雅黑" w:eastAsia="微软雅黑" w:cs="微软雅黑"/>
                <w:color w:val="auto"/>
                <w:spacing w:val="6"/>
                <w:sz w:val="17"/>
                <w:szCs w:val="17"/>
                <w:highlight w:val="none"/>
              </w:rPr>
              <w:sym w:font="Wingdings 2" w:char="0052"/>
            </w:r>
            <w:r>
              <w:rPr>
                <w:rFonts w:ascii="宋体" w:hAnsi="宋体" w:eastAsia="宋体" w:cs="宋体"/>
                <w:color w:val="auto"/>
                <w:spacing w:val="6"/>
                <w:sz w:val="17"/>
                <w:szCs w:val="17"/>
                <w:highlight w:val="none"/>
              </w:rPr>
              <w:t>；改变环境条件</w:t>
            </w:r>
            <w:r>
              <w:rPr>
                <w:rFonts w:ascii="Calibri" w:hAnsi="Calibri" w:eastAsia="Calibri" w:cs="Calibri"/>
                <w:color w:val="auto"/>
                <w:spacing w:val="6"/>
                <w:sz w:val="17"/>
                <w:szCs w:val="17"/>
                <w:highlight w:val="none"/>
              </w:rPr>
              <w:t xml:space="preserve">□ </w:t>
            </w:r>
            <w:r>
              <w:rPr>
                <w:rFonts w:ascii="宋体" w:hAnsi="宋体" w:eastAsia="宋体" w:cs="宋体"/>
                <w:color w:val="auto"/>
                <w:spacing w:val="6"/>
                <w:sz w:val="17"/>
                <w:szCs w:val="17"/>
                <w:highlight w:val="none"/>
              </w:rPr>
              <w:t>；其</w:t>
            </w:r>
            <w:r>
              <w:rPr>
                <w:rFonts w:ascii="宋体" w:hAnsi="宋体" w:eastAsia="宋体" w:cs="宋体"/>
                <w:color w:val="auto"/>
                <w:spacing w:val="2"/>
                <w:sz w:val="17"/>
                <w:szCs w:val="17"/>
                <w:highlight w:val="none"/>
              </w:rPr>
              <w:t>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3" w:hRule="atLeast"/>
        </w:trPr>
        <w:tc>
          <w:tcPr>
            <w:tcW w:w="538" w:type="pct"/>
            <w:vMerge w:val="continue"/>
            <w:tcBorders>
              <w:top w:val="nil"/>
              <w:left w:val="single" w:color="000000" w:sz="10" w:space="0"/>
            </w:tcBorders>
            <w:vAlign w:val="top"/>
          </w:tcPr>
          <w:p>
            <w:pPr>
              <w:rPr>
                <w:rFonts w:ascii="Arial"/>
                <w:color w:val="auto"/>
                <w:sz w:val="21"/>
                <w:highlight w:val="none"/>
              </w:rPr>
            </w:pPr>
          </w:p>
        </w:tc>
        <w:tc>
          <w:tcPr>
            <w:tcW w:w="751" w:type="pct"/>
            <w:vAlign w:val="top"/>
          </w:tcPr>
          <w:p>
            <w:pPr>
              <w:spacing w:line="260" w:lineRule="auto"/>
              <w:rPr>
                <w:rFonts w:ascii="Arial"/>
                <w:color w:val="auto"/>
                <w:sz w:val="21"/>
                <w:highlight w:val="none"/>
              </w:rPr>
            </w:pPr>
          </w:p>
          <w:p>
            <w:pPr>
              <w:spacing w:line="260" w:lineRule="auto"/>
              <w:rPr>
                <w:rFonts w:ascii="Arial"/>
                <w:color w:val="auto"/>
                <w:sz w:val="21"/>
                <w:highlight w:val="none"/>
              </w:rPr>
            </w:pPr>
          </w:p>
          <w:p>
            <w:pPr>
              <w:spacing w:line="260" w:lineRule="auto"/>
              <w:rPr>
                <w:rFonts w:ascii="Arial"/>
                <w:color w:val="auto"/>
                <w:sz w:val="21"/>
                <w:highlight w:val="none"/>
              </w:rPr>
            </w:pPr>
          </w:p>
          <w:p>
            <w:pPr>
              <w:spacing w:line="260" w:lineRule="auto"/>
              <w:rPr>
                <w:rFonts w:ascii="Arial"/>
                <w:color w:val="auto"/>
                <w:sz w:val="21"/>
                <w:highlight w:val="none"/>
              </w:rPr>
            </w:pPr>
          </w:p>
          <w:p>
            <w:pPr>
              <w:spacing w:line="261" w:lineRule="auto"/>
              <w:rPr>
                <w:rFonts w:ascii="Arial"/>
                <w:color w:val="auto"/>
                <w:sz w:val="21"/>
                <w:highlight w:val="none"/>
              </w:rPr>
            </w:pPr>
          </w:p>
          <w:p>
            <w:pPr>
              <w:spacing w:line="261" w:lineRule="auto"/>
              <w:rPr>
                <w:rFonts w:ascii="Arial"/>
                <w:color w:val="auto"/>
                <w:sz w:val="21"/>
                <w:highlight w:val="none"/>
              </w:rPr>
            </w:pPr>
          </w:p>
          <w:p>
            <w:pPr>
              <w:spacing w:before="55" w:line="229" w:lineRule="auto"/>
              <w:ind w:left="352"/>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评</w:t>
            </w:r>
            <w:r>
              <w:rPr>
                <w:rFonts w:ascii="宋体" w:hAnsi="宋体" w:eastAsia="宋体" w:cs="宋体"/>
                <w:color w:val="auto"/>
                <w:spacing w:val="8"/>
                <w:sz w:val="17"/>
                <w:szCs w:val="17"/>
                <w:highlight w:val="none"/>
              </w:rPr>
              <w:t>价因子</w:t>
            </w:r>
          </w:p>
        </w:tc>
        <w:tc>
          <w:tcPr>
            <w:tcW w:w="3710" w:type="pct"/>
            <w:tcBorders>
              <w:right w:val="single" w:color="000000" w:sz="10" w:space="0"/>
            </w:tcBorders>
            <w:vAlign w:val="top"/>
          </w:tcPr>
          <w:p>
            <w:pPr>
              <w:spacing w:before="67" w:line="231" w:lineRule="auto"/>
              <w:ind w:left="4"/>
              <w:rPr>
                <w:rFonts w:ascii="宋体" w:hAnsi="宋体" w:eastAsia="宋体" w:cs="宋体"/>
                <w:color w:val="auto"/>
                <w:sz w:val="17"/>
                <w:szCs w:val="17"/>
                <w:highlight w:val="none"/>
              </w:rPr>
            </w:pPr>
            <w:r>
              <w:rPr>
                <w:rFonts w:ascii="宋体" w:hAnsi="宋体" w:eastAsia="宋体" w:cs="宋体"/>
                <w:color w:val="auto"/>
                <w:spacing w:val="2"/>
                <w:sz w:val="17"/>
                <w:szCs w:val="17"/>
                <w:highlight w:val="none"/>
              </w:rPr>
              <w:t>物种</w:t>
            </w:r>
            <w:r>
              <w:rPr>
                <w:rFonts w:ascii="Calibri" w:hAnsi="Calibri" w:eastAsia="Calibri" w:cs="Calibri"/>
                <w:color w:val="auto"/>
                <w:spacing w:val="2"/>
                <w:sz w:val="17"/>
                <w:szCs w:val="17"/>
                <w:highlight w:val="none"/>
              </w:rPr>
              <w:sym w:font="Wingdings 2" w:char="00A3"/>
            </w:r>
            <w:r>
              <w:rPr>
                <w:rFonts w:ascii="Calibri" w:hAnsi="Calibri" w:eastAsia="Calibri" w:cs="Calibri"/>
                <w:color w:val="auto"/>
                <w:spacing w:val="2"/>
                <w:sz w:val="17"/>
                <w:szCs w:val="17"/>
                <w:highlight w:val="none"/>
              </w:rPr>
              <w:t xml:space="preserve"> </w:t>
            </w:r>
            <w:r>
              <w:rPr>
                <w:rFonts w:ascii="Calibri" w:hAnsi="Calibri" w:eastAsia="Calibri" w:cs="Calibri"/>
                <w:color w:val="auto"/>
                <w:spacing w:val="1"/>
                <w:sz w:val="17"/>
                <w:szCs w:val="17"/>
                <w:highlight w:val="none"/>
              </w:rPr>
              <w:t xml:space="preserve"> </w:t>
            </w:r>
            <w:r>
              <w:rPr>
                <w:rFonts w:ascii="宋体" w:hAnsi="宋体" w:eastAsia="宋体" w:cs="宋体"/>
                <w:color w:val="auto"/>
                <w:spacing w:val="1"/>
                <w:sz w:val="17"/>
                <w:szCs w:val="17"/>
                <w:highlight w:val="none"/>
              </w:rPr>
              <w:t>(                             )</w:t>
            </w:r>
          </w:p>
          <w:p>
            <w:pPr>
              <w:spacing w:before="133" w:line="227" w:lineRule="auto"/>
              <w:ind w:left="5"/>
              <w:rPr>
                <w:rFonts w:ascii="宋体" w:hAnsi="宋体" w:eastAsia="宋体" w:cs="宋体"/>
                <w:color w:val="auto"/>
                <w:sz w:val="17"/>
                <w:szCs w:val="17"/>
                <w:highlight w:val="none"/>
              </w:rPr>
            </w:pPr>
            <w:r>
              <w:rPr>
                <w:rFonts w:ascii="宋体" w:hAnsi="宋体" w:eastAsia="宋体" w:cs="宋体"/>
                <w:color w:val="auto"/>
                <w:spacing w:val="4"/>
                <w:sz w:val="17"/>
                <w:szCs w:val="17"/>
                <w:highlight w:val="none"/>
              </w:rPr>
              <w:t>生境</w:t>
            </w:r>
            <w:r>
              <w:rPr>
                <w:rFonts w:ascii="宋体" w:hAnsi="宋体" w:eastAsia="宋体" w:cs="宋体"/>
                <w:color w:val="auto"/>
                <w:spacing w:val="4"/>
                <w:sz w:val="17"/>
                <w:szCs w:val="17"/>
                <w:highlight w:val="none"/>
              </w:rPr>
              <w:sym w:font="Wingdings 2" w:char="00A3"/>
            </w:r>
            <w:r>
              <w:rPr>
                <w:rFonts w:ascii="宋体" w:hAnsi="宋体" w:eastAsia="宋体" w:cs="宋体"/>
                <w:color w:val="auto"/>
                <w:spacing w:val="4"/>
                <w:sz w:val="17"/>
                <w:szCs w:val="17"/>
                <w:highlight w:val="none"/>
              </w:rPr>
              <w:t xml:space="preserve"> </w:t>
            </w:r>
            <w:r>
              <w:rPr>
                <w:rFonts w:ascii="宋体" w:hAnsi="宋体" w:eastAsia="宋体" w:cs="宋体"/>
                <w:color w:val="auto"/>
                <w:spacing w:val="3"/>
                <w:sz w:val="17"/>
                <w:szCs w:val="17"/>
                <w:highlight w:val="none"/>
              </w:rPr>
              <w:t>(</w:t>
            </w:r>
            <w:r>
              <w:rPr>
                <w:rFonts w:ascii="宋体" w:hAnsi="宋体" w:eastAsia="宋体" w:cs="宋体"/>
                <w:color w:val="auto"/>
                <w:spacing w:val="2"/>
                <w:sz w:val="17"/>
                <w:szCs w:val="17"/>
                <w:highlight w:val="none"/>
              </w:rPr>
              <w:t xml:space="preserve">                            )</w:t>
            </w:r>
          </w:p>
          <w:p>
            <w:pPr>
              <w:spacing w:before="138" w:line="230" w:lineRule="auto"/>
              <w:ind w:left="5"/>
              <w:rPr>
                <w:rFonts w:ascii="宋体" w:hAnsi="宋体" w:eastAsia="宋体" w:cs="宋体"/>
                <w:color w:val="auto"/>
                <w:sz w:val="17"/>
                <w:szCs w:val="17"/>
                <w:highlight w:val="none"/>
              </w:rPr>
            </w:pPr>
            <w:r>
              <w:rPr>
                <w:rFonts w:ascii="宋体" w:hAnsi="宋体" w:eastAsia="宋体" w:cs="宋体"/>
                <w:color w:val="auto"/>
                <w:spacing w:val="2"/>
                <w:sz w:val="17"/>
                <w:szCs w:val="17"/>
                <w:highlight w:val="none"/>
              </w:rPr>
              <w:t>生物群落</w:t>
            </w:r>
            <w:r>
              <w:rPr>
                <w:rFonts w:ascii="Calibri" w:hAnsi="Calibri" w:eastAsia="Calibri" w:cs="Calibri"/>
                <w:color w:val="auto"/>
                <w:spacing w:val="2"/>
                <w:sz w:val="17"/>
                <w:szCs w:val="17"/>
                <w:highlight w:val="none"/>
              </w:rPr>
              <w:t>□</w:t>
            </w:r>
            <w:r>
              <w:rPr>
                <w:rFonts w:ascii="Calibri" w:hAnsi="Calibri" w:eastAsia="Calibri" w:cs="Calibri"/>
                <w:color w:val="auto"/>
                <w:spacing w:val="1"/>
                <w:sz w:val="17"/>
                <w:szCs w:val="17"/>
                <w:highlight w:val="none"/>
              </w:rPr>
              <w:t xml:space="preserve">  </w:t>
            </w:r>
            <w:r>
              <w:rPr>
                <w:rFonts w:ascii="宋体" w:hAnsi="宋体" w:eastAsia="宋体" w:cs="宋体"/>
                <w:color w:val="auto"/>
                <w:spacing w:val="1"/>
                <w:sz w:val="17"/>
                <w:szCs w:val="17"/>
                <w:highlight w:val="none"/>
              </w:rPr>
              <w:t>(                         )</w:t>
            </w:r>
          </w:p>
          <w:p>
            <w:pPr>
              <w:spacing w:before="130" w:line="232" w:lineRule="auto"/>
              <w:ind w:left="5"/>
              <w:rPr>
                <w:rFonts w:ascii="宋体" w:hAnsi="宋体" w:eastAsia="宋体" w:cs="宋体"/>
                <w:color w:val="auto"/>
                <w:sz w:val="17"/>
                <w:szCs w:val="17"/>
                <w:highlight w:val="none"/>
              </w:rPr>
            </w:pPr>
            <w:r>
              <w:rPr>
                <w:rFonts w:ascii="宋体" w:hAnsi="宋体" w:eastAsia="宋体" w:cs="宋体"/>
                <w:color w:val="auto"/>
                <w:spacing w:val="2"/>
                <w:sz w:val="17"/>
                <w:szCs w:val="17"/>
                <w:highlight w:val="none"/>
              </w:rPr>
              <w:t>生态系统</w:t>
            </w:r>
            <w:r>
              <w:rPr>
                <w:rFonts w:ascii="Calibri" w:hAnsi="Calibri" w:eastAsia="Calibri" w:cs="Calibri"/>
                <w:color w:val="auto"/>
                <w:spacing w:val="2"/>
                <w:sz w:val="17"/>
                <w:szCs w:val="17"/>
                <w:highlight w:val="none"/>
              </w:rPr>
              <w:t>□</w:t>
            </w:r>
            <w:r>
              <w:rPr>
                <w:rFonts w:ascii="Calibri" w:hAnsi="Calibri" w:eastAsia="Calibri" w:cs="Calibri"/>
                <w:color w:val="auto"/>
                <w:spacing w:val="1"/>
                <w:sz w:val="17"/>
                <w:szCs w:val="17"/>
                <w:highlight w:val="none"/>
              </w:rPr>
              <w:t xml:space="preserve">  </w:t>
            </w:r>
            <w:r>
              <w:rPr>
                <w:rFonts w:ascii="宋体" w:hAnsi="宋体" w:eastAsia="宋体" w:cs="宋体"/>
                <w:color w:val="auto"/>
                <w:spacing w:val="1"/>
                <w:sz w:val="17"/>
                <w:szCs w:val="17"/>
                <w:highlight w:val="none"/>
              </w:rPr>
              <w:t>(                         )</w:t>
            </w:r>
          </w:p>
          <w:p>
            <w:pPr>
              <w:spacing w:before="135" w:line="230" w:lineRule="auto"/>
              <w:ind w:left="5"/>
              <w:rPr>
                <w:rFonts w:ascii="宋体" w:hAnsi="宋体" w:eastAsia="宋体" w:cs="宋体"/>
                <w:color w:val="auto"/>
                <w:sz w:val="17"/>
                <w:szCs w:val="17"/>
                <w:highlight w:val="none"/>
              </w:rPr>
            </w:pPr>
            <w:r>
              <w:rPr>
                <w:rFonts w:ascii="宋体" w:hAnsi="宋体" w:eastAsia="宋体" w:cs="宋体"/>
                <w:color w:val="auto"/>
                <w:spacing w:val="2"/>
                <w:sz w:val="17"/>
                <w:szCs w:val="17"/>
                <w:highlight w:val="none"/>
              </w:rPr>
              <w:t>生物多样性</w:t>
            </w:r>
            <w:r>
              <w:rPr>
                <w:rFonts w:ascii="Calibri" w:hAnsi="Calibri" w:eastAsia="Calibri" w:cs="Calibri"/>
                <w:color w:val="auto"/>
                <w:spacing w:val="2"/>
                <w:sz w:val="17"/>
                <w:szCs w:val="17"/>
                <w:highlight w:val="none"/>
              </w:rPr>
              <w:t>□</w:t>
            </w:r>
            <w:r>
              <w:rPr>
                <w:rFonts w:ascii="Calibri" w:hAnsi="Calibri" w:eastAsia="Calibri" w:cs="Calibri"/>
                <w:color w:val="auto"/>
                <w:spacing w:val="1"/>
                <w:sz w:val="17"/>
                <w:szCs w:val="17"/>
                <w:highlight w:val="none"/>
              </w:rPr>
              <w:t xml:space="preserve">  </w:t>
            </w:r>
            <w:r>
              <w:rPr>
                <w:rFonts w:ascii="宋体" w:hAnsi="宋体" w:eastAsia="宋体" w:cs="宋体"/>
                <w:color w:val="auto"/>
                <w:spacing w:val="1"/>
                <w:sz w:val="17"/>
                <w:szCs w:val="17"/>
                <w:highlight w:val="none"/>
              </w:rPr>
              <w:t>(                       )</w:t>
            </w:r>
          </w:p>
          <w:p>
            <w:pPr>
              <w:spacing w:before="131" w:line="194" w:lineRule="auto"/>
              <w:ind w:left="5"/>
              <w:rPr>
                <w:rFonts w:ascii="宋体" w:hAnsi="宋体" w:eastAsia="宋体" w:cs="宋体"/>
                <w:color w:val="auto"/>
                <w:sz w:val="17"/>
                <w:szCs w:val="17"/>
                <w:highlight w:val="none"/>
              </w:rPr>
            </w:pPr>
            <w:r>
              <w:rPr>
                <w:rFonts w:ascii="宋体" w:hAnsi="宋体" w:eastAsia="宋体" w:cs="宋体"/>
                <w:color w:val="auto"/>
                <w:spacing w:val="14"/>
                <w:sz w:val="17"/>
                <w:szCs w:val="17"/>
                <w:highlight w:val="none"/>
              </w:rPr>
              <w:t>生</w:t>
            </w:r>
            <w:r>
              <w:rPr>
                <w:rFonts w:ascii="宋体" w:hAnsi="宋体" w:eastAsia="宋体" w:cs="宋体"/>
                <w:color w:val="auto"/>
                <w:spacing w:val="10"/>
                <w:sz w:val="17"/>
                <w:szCs w:val="17"/>
                <w:highlight w:val="none"/>
              </w:rPr>
              <w:t>态</w:t>
            </w:r>
            <w:r>
              <w:rPr>
                <w:rFonts w:ascii="宋体" w:hAnsi="宋体" w:eastAsia="宋体" w:cs="宋体"/>
                <w:color w:val="auto"/>
                <w:spacing w:val="7"/>
                <w:sz w:val="17"/>
                <w:szCs w:val="17"/>
                <w:highlight w:val="none"/>
              </w:rPr>
              <w:t>敏感区</w:t>
            </w:r>
            <w:r>
              <w:rPr>
                <w:rFonts w:ascii="微软雅黑" w:hAnsi="微软雅黑" w:eastAsia="微软雅黑" w:cs="微软雅黑"/>
                <w:color w:val="auto"/>
                <w:spacing w:val="7"/>
                <w:sz w:val="17"/>
                <w:szCs w:val="17"/>
                <w:highlight w:val="none"/>
              </w:rPr>
              <w:t xml:space="preserve">□  </w:t>
            </w:r>
            <w:r>
              <w:rPr>
                <w:rFonts w:ascii="宋体" w:hAnsi="宋体" w:eastAsia="宋体" w:cs="宋体"/>
                <w:color w:val="auto"/>
                <w:spacing w:val="7"/>
                <w:sz w:val="17"/>
                <w:szCs w:val="17"/>
                <w:highlight w:val="none"/>
              </w:rPr>
              <w:t>(                       )</w:t>
            </w:r>
          </w:p>
          <w:p>
            <w:pPr>
              <w:spacing w:before="112" w:line="230" w:lineRule="auto"/>
              <w:ind w:left="33"/>
              <w:rPr>
                <w:rFonts w:ascii="宋体" w:hAnsi="宋体" w:eastAsia="宋体" w:cs="宋体"/>
                <w:color w:val="auto"/>
                <w:sz w:val="17"/>
                <w:szCs w:val="17"/>
                <w:highlight w:val="none"/>
              </w:rPr>
            </w:pPr>
            <w:r>
              <w:rPr>
                <w:rFonts w:ascii="宋体" w:hAnsi="宋体" w:eastAsia="宋体" w:cs="宋体"/>
                <w:color w:val="auto"/>
                <w:spacing w:val="1"/>
                <w:sz w:val="17"/>
                <w:szCs w:val="17"/>
                <w:highlight w:val="none"/>
              </w:rPr>
              <w:t>自然景观</w:t>
            </w:r>
            <w:r>
              <w:rPr>
                <w:rFonts w:ascii="Calibri" w:hAnsi="Calibri" w:eastAsia="Calibri" w:cs="Calibri"/>
                <w:color w:val="auto"/>
                <w:spacing w:val="1"/>
                <w:sz w:val="17"/>
                <w:szCs w:val="17"/>
                <w:highlight w:val="none"/>
              </w:rPr>
              <w:t xml:space="preserve">□  </w:t>
            </w:r>
            <w:r>
              <w:rPr>
                <w:rFonts w:ascii="宋体" w:hAnsi="宋体" w:eastAsia="宋体" w:cs="宋体"/>
                <w:color w:val="auto"/>
                <w:spacing w:val="1"/>
                <w:sz w:val="17"/>
                <w:szCs w:val="17"/>
                <w:highlight w:val="none"/>
              </w:rPr>
              <w:t xml:space="preserve">(   </w:t>
            </w:r>
            <w:r>
              <w:rPr>
                <w:rFonts w:ascii="宋体" w:hAnsi="宋体" w:eastAsia="宋体" w:cs="宋体"/>
                <w:color w:val="auto"/>
                <w:sz w:val="17"/>
                <w:szCs w:val="17"/>
                <w:highlight w:val="none"/>
              </w:rPr>
              <w:t xml:space="preserve">                      )</w:t>
            </w:r>
          </w:p>
          <w:p>
            <w:pPr>
              <w:spacing w:before="131" w:line="231" w:lineRule="auto"/>
              <w:ind w:left="33"/>
              <w:rPr>
                <w:rFonts w:ascii="宋体" w:hAnsi="宋体" w:eastAsia="宋体" w:cs="宋体"/>
                <w:color w:val="auto"/>
                <w:sz w:val="17"/>
                <w:szCs w:val="17"/>
                <w:highlight w:val="none"/>
              </w:rPr>
            </w:pPr>
            <w:r>
              <w:rPr>
                <w:rFonts w:ascii="宋体" w:hAnsi="宋体" w:eastAsia="宋体" w:cs="宋体"/>
                <w:color w:val="auto"/>
                <w:spacing w:val="1"/>
                <w:sz w:val="17"/>
                <w:szCs w:val="17"/>
                <w:highlight w:val="none"/>
              </w:rPr>
              <w:t>自然遗迹</w:t>
            </w:r>
            <w:r>
              <w:rPr>
                <w:rFonts w:ascii="Calibri" w:hAnsi="Calibri" w:eastAsia="Calibri" w:cs="Calibri"/>
                <w:color w:val="auto"/>
                <w:spacing w:val="1"/>
                <w:sz w:val="17"/>
                <w:szCs w:val="17"/>
                <w:highlight w:val="none"/>
              </w:rPr>
              <w:t xml:space="preserve">□  </w:t>
            </w:r>
            <w:r>
              <w:rPr>
                <w:rFonts w:ascii="宋体" w:hAnsi="宋体" w:eastAsia="宋体" w:cs="宋体"/>
                <w:color w:val="auto"/>
                <w:spacing w:val="1"/>
                <w:sz w:val="17"/>
                <w:szCs w:val="17"/>
                <w:highlight w:val="none"/>
              </w:rPr>
              <w:t xml:space="preserve">(   </w:t>
            </w:r>
            <w:r>
              <w:rPr>
                <w:rFonts w:ascii="宋体" w:hAnsi="宋体" w:eastAsia="宋体" w:cs="宋体"/>
                <w:color w:val="auto"/>
                <w:sz w:val="17"/>
                <w:szCs w:val="17"/>
                <w:highlight w:val="none"/>
              </w:rPr>
              <w:t xml:space="preserve">                      )</w:t>
            </w:r>
          </w:p>
          <w:p>
            <w:pPr>
              <w:spacing w:before="136" w:line="228" w:lineRule="auto"/>
              <w:ind w:left="4"/>
              <w:rPr>
                <w:rFonts w:ascii="宋体" w:hAnsi="宋体" w:eastAsia="宋体" w:cs="宋体"/>
                <w:color w:val="auto"/>
                <w:sz w:val="17"/>
                <w:szCs w:val="17"/>
                <w:highlight w:val="none"/>
              </w:rPr>
            </w:pPr>
            <w:r>
              <w:rPr>
                <w:rFonts w:ascii="宋体" w:hAnsi="宋体" w:eastAsia="宋体" w:cs="宋体"/>
                <w:color w:val="auto"/>
                <w:spacing w:val="2"/>
                <w:sz w:val="17"/>
                <w:szCs w:val="17"/>
                <w:highlight w:val="none"/>
              </w:rPr>
              <w:t>其他</w:t>
            </w:r>
            <w:r>
              <w:rPr>
                <w:rFonts w:ascii="Calibri" w:hAnsi="Calibri" w:eastAsia="Calibri" w:cs="Calibri"/>
                <w:color w:val="auto"/>
                <w:spacing w:val="2"/>
                <w:sz w:val="17"/>
                <w:szCs w:val="17"/>
                <w:highlight w:val="none"/>
              </w:rPr>
              <w:t xml:space="preserve">□ </w:t>
            </w:r>
            <w:r>
              <w:rPr>
                <w:rFonts w:ascii="Calibri" w:hAnsi="Calibri" w:eastAsia="Calibri" w:cs="Calibri"/>
                <w:color w:val="auto"/>
                <w:spacing w:val="1"/>
                <w:sz w:val="17"/>
                <w:szCs w:val="17"/>
                <w:highlight w:val="none"/>
              </w:rPr>
              <w:t xml:space="preserve"> </w:t>
            </w:r>
            <w:r>
              <w:rPr>
                <w:rFonts w:ascii="宋体" w:hAnsi="宋体" w:eastAsia="宋体" w:cs="宋体"/>
                <w:color w:val="auto"/>
                <w:spacing w:val="1"/>
                <w:sz w:val="17"/>
                <w:szCs w:val="17"/>
                <w:highlight w:val="none"/>
              </w:rPr>
              <w:t>(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9" w:type="pct"/>
            <w:gridSpan w:val="2"/>
            <w:tcBorders>
              <w:left w:val="single" w:color="000000" w:sz="10" w:space="0"/>
            </w:tcBorders>
            <w:vAlign w:val="top"/>
          </w:tcPr>
          <w:p>
            <w:pPr>
              <w:spacing w:before="67" w:line="229" w:lineRule="auto"/>
              <w:ind w:left="850"/>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评</w:t>
            </w:r>
            <w:r>
              <w:rPr>
                <w:rFonts w:ascii="宋体" w:hAnsi="宋体" w:eastAsia="宋体" w:cs="宋体"/>
                <w:color w:val="auto"/>
                <w:spacing w:val="8"/>
                <w:sz w:val="17"/>
                <w:szCs w:val="17"/>
                <w:highlight w:val="none"/>
              </w:rPr>
              <w:t>价等级</w:t>
            </w:r>
          </w:p>
        </w:tc>
        <w:tc>
          <w:tcPr>
            <w:tcW w:w="3710" w:type="pct"/>
            <w:tcBorders>
              <w:right w:val="single" w:color="000000" w:sz="10" w:space="0"/>
            </w:tcBorders>
            <w:vAlign w:val="top"/>
          </w:tcPr>
          <w:p>
            <w:pPr>
              <w:spacing w:before="68" w:line="198" w:lineRule="auto"/>
              <w:ind w:left="7"/>
              <w:rPr>
                <w:rFonts w:ascii="Calibri" w:hAnsi="Calibri" w:eastAsia="Calibri" w:cs="Calibri"/>
                <w:color w:val="auto"/>
                <w:sz w:val="17"/>
                <w:szCs w:val="17"/>
                <w:highlight w:val="none"/>
              </w:rPr>
            </w:pPr>
            <w:r>
              <w:rPr>
                <w:rFonts w:ascii="宋体" w:hAnsi="宋体" w:eastAsia="宋体" w:cs="宋体"/>
                <w:color w:val="auto"/>
                <w:spacing w:val="14"/>
                <w:sz w:val="17"/>
                <w:szCs w:val="17"/>
                <w:highlight w:val="none"/>
              </w:rPr>
              <w:t>一</w:t>
            </w:r>
            <w:r>
              <w:rPr>
                <w:rFonts w:ascii="宋体" w:hAnsi="宋体" w:eastAsia="宋体" w:cs="宋体"/>
                <w:color w:val="auto"/>
                <w:spacing w:val="8"/>
                <w:sz w:val="17"/>
                <w:szCs w:val="17"/>
                <w:highlight w:val="none"/>
              </w:rPr>
              <w:t>级</w:t>
            </w:r>
            <w:r>
              <w:rPr>
                <w:rFonts w:ascii="微软雅黑" w:hAnsi="微软雅黑" w:eastAsia="微软雅黑" w:cs="微软雅黑"/>
                <w:color w:val="auto"/>
                <w:spacing w:val="7"/>
                <w:sz w:val="17"/>
                <w:szCs w:val="17"/>
                <w:highlight w:val="none"/>
              </w:rPr>
              <w:sym w:font="Wingdings 2" w:char="00A3"/>
            </w:r>
            <w:r>
              <w:rPr>
                <w:rFonts w:ascii="微软雅黑" w:hAnsi="微软雅黑" w:eastAsia="微软雅黑" w:cs="微软雅黑"/>
                <w:color w:val="auto"/>
                <w:spacing w:val="7"/>
                <w:sz w:val="17"/>
                <w:szCs w:val="17"/>
                <w:highlight w:val="none"/>
              </w:rPr>
              <w:t xml:space="preserve">  </w:t>
            </w:r>
            <w:r>
              <w:rPr>
                <w:rFonts w:ascii="宋体" w:hAnsi="宋体" w:eastAsia="宋体" w:cs="宋体"/>
                <w:color w:val="auto"/>
                <w:spacing w:val="7"/>
                <w:sz w:val="17"/>
                <w:szCs w:val="17"/>
                <w:highlight w:val="none"/>
              </w:rPr>
              <w:t>二级</w:t>
            </w:r>
            <w:r>
              <w:rPr>
                <w:color w:val="auto"/>
                <w:position w:val="-3"/>
                <w:sz w:val="17"/>
                <w:szCs w:val="17"/>
                <w:highlight w:val="none"/>
              </w:rPr>
              <w:sym w:font="Wingdings 2" w:char="00A3"/>
            </w:r>
            <w:r>
              <w:rPr>
                <w:rFonts w:ascii="宋体" w:hAnsi="宋体" w:eastAsia="宋体" w:cs="宋体"/>
                <w:color w:val="auto"/>
                <w:spacing w:val="7"/>
                <w:sz w:val="17"/>
                <w:szCs w:val="17"/>
                <w:highlight w:val="none"/>
              </w:rPr>
              <w:t xml:space="preserve">   三级</w:t>
            </w:r>
            <w:r>
              <w:rPr>
                <w:rFonts w:ascii="Calibri" w:hAnsi="Calibri" w:eastAsia="Calibri" w:cs="Calibri"/>
                <w:color w:val="auto"/>
                <w:spacing w:val="7"/>
                <w:sz w:val="17"/>
                <w:szCs w:val="17"/>
                <w:highlight w:val="none"/>
              </w:rPr>
              <w:sym w:font="Wingdings 2" w:char="0052"/>
            </w:r>
            <w:r>
              <w:rPr>
                <w:rFonts w:ascii="Calibri" w:hAnsi="Calibri" w:eastAsia="Calibri" w:cs="Calibri"/>
                <w:color w:val="auto"/>
                <w:spacing w:val="7"/>
                <w:sz w:val="17"/>
                <w:szCs w:val="17"/>
                <w:highlight w:val="none"/>
              </w:rPr>
              <w:t xml:space="preserve">    </w:t>
            </w:r>
            <w:r>
              <w:rPr>
                <w:rFonts w:ascii="宋体" w:hAnsi="宋体" w:eastAsia="宋体" w:cs="宋体"/>
                <w:color w:val="auto"/>
                <w:spacing w:val="7"/>
                <w:sz w:val="17"/>
                <w:szCs w:val="17"/>
                <w:highlight w:val="none"/>
              </w:rPr>
              <w:t>生态影响简单分析</w:t>
            </w:r>
            <w:r>
              <w:rPr>
                <w:rFonts w:ascii="Calibri" w:hAnsi="Calibri" w:eastAsia="Calibri" w:cs="Calibri"/>
                <w:color w:val="auto"/>
                <w:spacing w:val="7"/>
                <w:sz w:val="17"/>
                <w:szCs w:val="17"/>
                <w:highlight w:val="none"/>
              </w:rPr>
              <w:sym w:font="Wingdings 2" w:char="00A3"/>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9" w:type="pct"/>
            <w:gridSpan w:val="2"/>
            <w:tcBorders>
              <w:left w:val="single" w:color="000000" w:sz="10" w:space="0"/>
            </w:tcBorders>
            <w:vAlign w:val="top"/>
          </w:tcPr>
          <w:p>
            <w:pPr>
              <w:spacing w:before="69" w:line="229" w:lineRule="auto"/>
              <w:ind w:left="850"/>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评</w:t>
            </w:r>
            <w:r>
              <w:rPr>
                <w:rFonts w:ascii="宋体" w:hAnsi="宋体" w:eastAsia="宋体" w:cs="宋体"/>
                <w:color w:val="auto"/>
                <w:spacing w:val="8"/>
                <w:sz w:val="17"/>
                <w:szCs w:val="17"/>
                <w:highlight w:val="none"/>
              </w:rPr>
              <w:t>价范围</w:t>
            </w:r>
          </w:p>
        </w:tc>
        <w:tc>
          <w:tcPr>
            <w:tcW w:w="3710" w:type="pct"/>
            <w:tcBorders>
              <w:right w:val="single" w:color="000000" w:sz="10" w:space="0"/>
            </w:tcBorders>
            <w:vAlign w:val="top"/>
          </w:tcPr>
          <w:p>
            <w:pPr>
              <w:spacing w:before="35" w:line="242" w:lineRule="exact"/>
              <w:ind w:left="13"/>
              <w:rPr>
                <w:rFonts w:ascii="Times New Roman" w:hAnsi="Times New Roman" w:eastAsia="Times New Roman" w:cs="Times New Roman"/>
                <w:color w:val="auto"/>
                <w:sz w:val="11"/>
                <w:szCs w:val="11"/>
                <w:highlight w:val="none"/>
              </w:rPr>
            </w:pPr>
            <w:r>
              <w:rPr>
                <w:rFonts w:ascii="宋体" w:hAnsi="宋体" w:eastAsia="宋体" w:cs="宋体"/>
                <w:color w:val="auto"/>
                <w:spacing w:val="-2"/>
                <w:position w:val="1"/>
                <w:sz w:val="17"/>
                <w:szCs w:val="17"/>
                <w:highlight w:val="none"/>
              </w:rPr>
              <w:t>陆域面积：(</w:t>
            </w:r>
            <w:r>
              <w:rPr>
                <w:rFonts w:ascii="Calibri" w:hAnsi="Calibri" w:eastAsia="Calibri" w:cs="Calibri"/>
                <w:color w:val="auto"/>
                <w:spacing w:val="-2"/>
                <w:position w:val="1"/>
                <w:sz w:val="17"/>
                <w:szCs w:val="17"/>
                <w:highlight w:val="yellow"/>
              </w:rPr>
              <w:t>13.31</w:t>
            </w:r>
            <w:r>
              <w:rPr>
                <w:rFonts w:ascii="Calibri" w:hAnsi="Calibri" w:eastAsia="Calibri" w:cs="Calibri"/>
                <w:color w:val="auto"/>
                <w:spacing w:val="-2"/>
                <w:position w:val="1"/>
                <w:sz w:val="17"/>
                <w:szCs w:val="17"/>
                <w:highlight w:val="none"/>
              </w:rPr>
              <w:t xml:space="preserve">       </w:t>
            </w:r>
            <w:r>
              <w:rPr>
                <w:rFonts w:ascii="宋体" w:hAnsi="宋体" w:eastAsia="宋体" w:cs="宋体"/>
                <w:color w:val="auto"/>
                <w:spacing w:val="-1"/>
                <w:position w:val="1"/>
                <w:sz w:val="17"/>
                <w:szCs w:val="17"/>
                <w:highlight w:val="none"/>
              </w:rPr>
              <w:t xml:space="preserve">) </w:t>
            </w:r>
            <w:r>
              <w:rPr>
                <w:rFonts w:ascii="Times New Roman" w:hAnsi="Times New Roman" w:eastAsia="Times New Roman" w:cs="Times New Roman"/>
                <w:color w:val="auto"/>
                <w:spacing w:val="-1"/>
                <w:position w:val="1"/>
                <w:sz w:val="17"/>
                <w:szCs w:val="17"/>
                <w:highlight w:val="none"/>
              </w:rPr>
              <w:t>km</w:t>
            </w:r>
            <w:r>
              <w:rPr>
                <w:rFonts w:ascii="Times New Roman" w:hAnsi="Times New Roman" w:eastAsia="Times New Roman" w:cs="Times New Roman"/>
                <w:color w:val="auto"/>
                <w:spacing w:val="-1"/>
                <w:position w:val="7"/>
                <w:sz w:val="11"/>
                <w:szCs w:val="11"/>
                <w:highlight w:val="none"/>
              </w:rPr>
              <w:t xml:space="preserve">2 </w:t>
            </w:r>
            <w:r>
              <w:rPr>
                <w:rFonts w:ascii="宋体" w:hAnsi="宋体" w:eastAsia="宋体" w:cs="宋体"/>
                <w:color w:val="auto"/>
                <w:spacing w:val="-1"/>
                <w:position w:val="1"/>
                <w:sz w:val="17"/>
                <w:szCs w:val="17"/>
                <w:highlight w:val="none"/>
              </w:rPr>
              <w:t xml:space="preserve">；水域面积：  (      ) </w:t>
            </w:r>
            <w:r>
              <w:rPr>
                <w:rFonts w:ascii="Times New Roman" w:hAnsi="Times New Roman" w:eastAsia="Times New Roman" w:cs="Times New Roman"/>
                <w:color w:val="auto"/>
                <w:spacing w:val="-1"/>
                <w:position w:val="1"/>
                <w:sz w:val="17"/>
                <w:szCs w:val="17"/>
                <w:highlight w:val="none"/>
              </w:rPr>
              <w:t>km</w:t>
            </w:r>
            <w:r>
              <w:rPr>
                <w:rFonts w:ascii="Times New Roman" w:hAnsi="Times New Roman" w:eastAsia="Times New Roman" w:cs="Times New Roman"/>
                <w:color w:val="auto"/>
                <w:spacing w:val="-1"/>
                <w:position w:val="7"/>
                <w:sz w:val="11"/>
                <w:szCs w:val="11"/>
                <w:highlight w:val="none"/>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38" w:type="pct"/>
            <w:vMerge w:val="restart"/>
            <w:tcBorders>
              <w:left w:val="single" w:color="000000" w:sz="10" w:space="0"/>
              <w:bottom w:val="nil"/>
            </w:tcBorders>
            <w:vAlign w:val="top"/>
          </w:tcPr>
          <w:p>
            <w:pPr>
              <w:spacing w:line="241" w:lineRule="auto"/>
              <w:rPr>
                <w:rFonts w:ascii="Arial"/>
                <w:color w:val="auto"/>
                <w:sz w:val="21"/>
                <w:highlight w:val="none"/>
              </w:rPr>
            </w:pPr>
          </w:p>
          <w:p>
            <w:pPr>
              <w:spacing w:line="241"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before="55" w:line="230" w:lineRule="auto"/>
              <w:ind w:left="168"/>
              <w:rPr>
                <w:rFonts w:ascii="宋体" w:hAnsi="宋体" w:eastAsia="宋体" w:cs="宋体"/>
                <w:color w:val="auto"/>
                <w:sz w:val="17"/>
                <w:szCs w:val="17"/>
                <w:highlight w:val="none"/>
              </w:rPr>
            </w:pPr>
            <w:r>
              <w:rPr>
                <w:rFonts w:ascii="宋体" w:hAnsi="宋体" w:eastAsia="宋体" w:cs="宋体"/>
                <w:color w:val="auto"/>
                <w:spacing w:val="1"/>
                <w:sz w:val="17"/>
                <w:szCs w:val="17"/>
                <w:highlight w:val="none"/>
              </w:rPr>
              <w:t>生态</w:t>
            </w:r>
            <w:r>
              <w:rPr>
                <w:rFonts w:ascii="宋体" w:hAnsi="宋体" w:eastAsia="宋体" w:cs="宋体"/>
                <w:color w:val="auto"/>
                <w:sz w:val="17"/>
                <w:szCs w:val="17"/>
                <w:highlight w:val="none"/>
              </w:rPr>
              <w:t>现状</w:t>
            </w:r>
          </w:p>
          <w:p>
            <w:pPr>
              <w:spacing w:before="124" w:line="232" w:lineRule="auto"/>
              <w:ind w:left="238"/>
              <w:rPr>
                <w:rFonts w:ascii="宋体" w:hAnsi="宋体" w:eastAsia="宋体" w:cs="宋体"/>
                <w:color w:val="auto"/>
                <w:sz w:val="17"/>
                <w:szCs w:val="17"/>
                <w:highlight w:val="none"/>
              </w:rPr>
            </w:pPr>
            <w:r>
              <w:rPr>
                <w:rFonts w:ascii="宋体" w:hAnsi="宋体" w:eastAsia="宋体" w:cs="宋体"/>
                <w:color w:val="auto"/>
                <w:spacing w:val="7"/>
                <w:sz w:val="17"/>
                <w:szCs w:val="17"/>
                <w:highlight w:val="none"/>
              </w:rPr>
              <w:t>调查与</w:t>
            </w:r>
          </w:p>
          <w:p>
            <w:pPr>
              <w:spacing w:before="121" w:line="229" w:lineRule="auto"/>
              <w:ind w:left="324"/>
              <w:rPr>
                <w:rFonts w:ascii="宋体" w:hAnsi="宋体" w:eastAsia="宋体" w:cs="宋体"/>
                <w:color w:val="auto"/>
                <w:sz w:val="17"/>
                <w:szCs w:val="17"/>
                <w:highlight w:val="none"/>
              </w:rPr>
            </w:pPr>
            <w:r>
              <w:rPr>
                <w:rFonts w:ascii="宋体" w:hAnsi="宋体" w:eastAsia="宋体" w:cs="宋体"/>
                <w:color w:val="auto"/>
                <w:spacing w:val="7"/>
                <w:sz w:val="17"/>
                <w:szCs w:val="17"/>
                <w:highlight w:val="none"/>
              </w:rPr>
              <w:t>评</w:t>
            </w:r>
            <w:r>
              <w:rPr>
                <w:rFonts w:ascii="宋体" w:hAnsi="宋体" w:eastAsia="宋体" w:cs="宋体"/>
                <w:color w:val="auto"/>
                <w:spacing w:val="6"/>
                <w:sz w:val="17"/>
                <w:szCs w:val="17"/>
                <w:highlight w:val="none"/>
              </w:rPr>
              <w:t>价</w:t>
            </w:r>
          </w:p>
        </w:tc>
        <w:tc>
          <w:tcPr>
            <w:tcW w:w="751" w:type="pct"/>
            <w:vAlign w:val="center"/>
          </w:tcPr>
          <w:p>
            <w:pPr>
              <w:spacing w:before="55" w:line="232" w:lineRule="auto"/>
              <w:ind w:left="354"/>
              <w:jc w:val="both"/>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调查方</w:t>
            </w:r>
            <w:r>
              <w:rPr>
                <w:rFonts w:ascii="宋体" w:hAnsi="宋体" w:eastAsia="宋体" w:cs="宋体"/>
                <w:color w:val="auto"/>
                <w:spacing w:val="7"/>
                <w:sz w:val="17"/>
                <w:szCs w:val="17"/>
                <w:highlight w:val="none"/>
              </w:rPr>
              <w:t>法</w:t>
            </w:r>
          </w:p>
        </w:tc>
        <w:tc>
          <w:tcPr>
            <w:tcW w:w="3710" w:type="pct"/>
            <w:tcBorders>
              <w:right w:val="single" w:color="000000" w:sz="10" w:space="0"/>
            </w:tcBorders>
            <w:vAlign w:val="top"/>
          </w:tcPr>
          <w:p>
            <w:pPr>
              <w:spacing w:before="104" w:line="245" w:lineRule="auto"/>
              <w:ind w:left="4" w:right="34" w:firstLine="7"/>
              <w:rPr>
                <w:rFonts w:ascii="Calibri" w:hAnsi="Calibri" w:eastAsia="Calibri" w:cs="Calibri"/>
                <w:color w:val="auto"/>
                <w:sz w:val="17"/>
                <w:szCs w:val="17"/>
                <w:highlight w:val="none"/>
              </w:rPr>
            </w:pPr>
            <w:r>
              <w:rPr>
                <w:rFonts w:ascii="宋体" w:hAnsi="宋体" w:eastAsia="宋体" w:cs="宋体"/>
                <w:color w:val="auto"/>
                <w:spacing w:val="8"/>
                <w:sz w:val="17"/>
                <w:szCs w:val="17"/>
                <w:highlight w:val="none"/>
              </w:rPr>
              <w:t>资料</w:t>
            </w:r>
            <w:r>
              <w:rPr>
                <w:rFonts w:ascii="宋体" w:hAnsi="宋体" w:eastAsia="宋体" w:cs="宋体"/>
                <w:color w:val="auto"/>
                <w:spacing w:val="4"/>
                <w:sz w:val="17"/>
                <w:szCs w:val="17"/>
                <w:highlight w:val="none"/>
              </w:rPr>
              <w:t>收集</w:t>
            </w:r>
            <w:r>
              <w:rPr>
                <w:rFonts w:ascii="微软雅黑" w:hAnsi="微软雅黑" w:eastAsia="微软雅黑" w:cs="微软雅黑"/>
                <w:color w:val="auto"/>
                <w:spacing w:val="4"/>
                <w:sz w:val="17"/>
                <w:szCs w:val="17"/>
                <w:highlight w:val="none"/>
              </w:rPr>
              <w:sym w:font="Wingdings 2" w:char="0052"/>
            </w:r>
            <w:r>
              <w:rPr>
                <w:rFonts w:ascii="宋体" w:hAnsi="宋体" w:eastAsia="宋体" w:cs="宋体"/>
                <w:color w:val="auto"/>
                <w:spacing w:val="4"/>
                <w:sz w:val="17"/>
                <w:szCs w:val="17"/>
                <w:highlight w:val="none"/>
              </w:rPr>
              <w:t>；遥感调查</w:t>
            </w:r>
            <w:r>
              <w:rPr>
                <w:rFonts w:ascii="微软雅黑" w:hAnsi="微软雅黑" w:eastAsia="微软雅黑" w:cs="微软雅黑"/>
                <w:color w:val="auto"/>
                <w:spacing w:val="4"/>
                <w:sz w:val="17"/>
                <w:szCs w:val="17"/>
                <w:highlight w:val="none"/>
              </w:rPr>
              <w:sym w:font="Wingdings 2" w:char="00A3"/>
            </w:r>
            <w:r>
              <w:rPr>
                <w:rFonts w:ascii="宋体" w:hAnsi="宋体" w:eastAsia="宋体" w:cs="宋体"/>
                <w:color w:val="auto"/>
                <w:spacing w:val="4"/>
                <w:sz w:val="17"/>
                <w:szCs w:val="17"/>
                <w:highlight w:val="none"/>
              </w:rPr>
              <w:t>；调查样方、样线</w:t>
            </w:r>
            <w:r>
              <w:rPr>
                <w:rFonts w:ascii="微软雅黑" w:hAnsi="微软雅黑" w:eastAsia="微软雅黑" w:cs="微软雅黑"/>
                <w:color w:val="auto"/>
                <w:spacing w:val="4"/>
                <w:sz w:val="17"/>
                <w:szCs w:val="17"/>
                <w:highlight w:val="none"/>
              </w:rPr>
              <w:sym w:font="Wingdings 2" w:char="00A3"/>
            </w:r>
            <w:r>
              <w:rPr>
                <w:rFonts w:ascii="宋体" w:hAnsi="宋体" w:eastAsia="宋体" w:cs="宋体"/>
                <w:color w:val="auto"/>
                <w:spacing w:val="4"/>
                <w:sz w:val="17"/>
                <w:szCs w:val="17"/>
                <w:highlight w:val="none"/>
              </w:rPr>
              <w:t>；调查点位、断面</w:t>
            </w:r>
            <w:r>
              <w:rPr>
                <w:rFonts w:ascii="Calibri" w:hAnsi="Calibri" w:eastAsia="Calibri" w:cs="Calibri"/>
                <w:color w:val="auto"/>
                <w:spacing w:val="4"/>
                <w:sz w:val="17"/>
                <w:szCs w:val="17"/>
                <w:highlight w:val="none"/>
              </w:rPr>
              <w:sym w:font="Wingdings 2" w:char="00A3"/>
            </w:r>
            <w:r>
              <w:rPr>
                <w:rFonts w:ascii="Calibri" w:hAnsi="Calibri" w:eastAsia="Calibri" w:cs="Calibri"/>
                <w:color w:val="auto"/>
                <w:spacing w:val="4"/>
                <w:sz w:val="17"/>
                <w:szCs w:val="17"/>
                <w:highlight w:val="none"/>
              </w:rPr>
              <w:t xml:space="preserve"> </w:t>
            </w:r>
            <w:r>
              <w:rPr>
                <w:rFonts w:ascii="宋体" w:hAnsi="宋体" w:eastAsia="宋体" w:cs="宋体"/>
                <w:color w:val="auto"/>
                <w:spacing w:val="4"/>
                <w:sz w:val="17"/>
                <w:szCs w:val="17"/>
                <w:highlight w:val="none"/>
              </w:rPr>
              <w:t>；专家和公众咨询法</w:t>
            </w:r>
            <w:r>
              <w:rPr>
                <w:rFonts w:ascii="Calibri" w:hAnsi="Calibri" w:eastAsia="Calibri" w:cs="Calibri"/>
                <w:color w:val="auto"/>
                <w:spacing w:val="4"/>
                <w:sz w:val="17"/>
                <w:szCs w:val="17"/>
                <w:highlight w:val="none"/>
              </w:rPr>
              <w:sym w:font="Wingdings 2" w:char="00A3"/>
            </w:r>
            <w:r>
              <w:rPr>
                <w:rFonts w:ascii="宋体" w:hAnsi="宋体" w:eastAsia="宋体" w:cs="宋体"/>
                <w:color w:val="auto"/>
                <w:spacing w:val="4"/>
                <w:sz w:val="17"/>
                <w:szCs w:val="17"/>
                <w:highlight w:val="none"/>
              </w:rPr>
              <w:t>；</w:t>
            </w:r>
            <w:r>
              <w:rPr>
                <w:rFonts w:ascii="宋体" w:hAnsi="宋体" w:eastAsia="宋体" w:cs="宋体"/>
                <w:color w:val="auto"/>
                <w:sz w:val="17"/>
                <w:szCs w:val="17"/>
                <w:highlight w:val="none"/>
              </w:rPr>
              <w:t xml:space="preserve"> </w:t>
            </w:r>
            <w:r>
              <w:rPr>
                <w:rFonts w:ascii="宋体" w:hAnsi="宋体" w:eastAsia="宋体" w:cs="宋体"/>
                <w:color w:val="auto"/>
                <w:spacing w:val="6"/>
                <w:sz w:val="17"/>
                <w:szCs w:val="17"/>
                <w:highlight w:val="none"/>
              </w:rPr>
              <w:t>其他</w:t>
            </w:r>
            <w:r>
              <w:rPr>
                <w:rFonts w:ascii="Calibri" w:hAnsi="Calibri" w:eastAsia="Calibri" w:cs="Calibri"/>
                <w:color w:val="auto"/>
                <w:spacing w:val="6"/>
                <w:sz w:val="17"/>
                <w:szCs w:val="17"/>
                <w:highlight w:val="none"/>
              </w:rPr>
              <w:sym w:font="Wingdings 2" w:char="00A3"/>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538" w:type="pct"/>
            <w:vMerge w:val="continue"/>
            <w:tcBorders>
              <w:top w:val="nil"/>
              <w:left w:val="single" w:color="000000" w:sz="10" w:space="0"/>
              <w:bottom w:val="nil"/>
            </w:tcBorders>
            <w:vAlign w:val="top"/>
          </w:tcPr>
          <w:p>
            <w:pPr>
              <w:rPr>
                <w:rFonts w:ascii="Arial"/>
                <w:color w:val="auto"/>
                <w:sz w:val="21"/>
                <w:highlight w:val="none"/>
              </w:rPr>
            </w:pPr>
          </w:p>
        </w:tc>
        <w:tc>
          <w:tcPr>
            <w:tcW w:w="751" w:type="pct"/>
            <w:vAlign w:val="top"/>
          </w:tcPr>
          <w:p>
            <w:pPr>
              <w:spacing w:before="241" w:line="232" w:lineRule="auto"/>
              <w:ind w:left="354"/>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调查时</w:t>
            </w:r>
            <w:r>
              <w:rPr>
                <w:rFonts w:ascii="宋体" w:hAnsi="宋体" w:eastAsia="宋体" w:cs="宋体"/>
                <w:color w:val="auto"/>
                <w:spacing w:val="7"/>
                <w:sz w:val="17"/>
                <w:szCs w:val="17"/>
                <w:highlight w:val="none"/>
              </w:rPr>
              <w:t>间</w:t>
            </w:r>
          </w:p>
        </w:tc>
        <w:tc>
          <w:tcPr>
            <w:tcW w:w="3710" w:type="pct"/>
            <w:tcBorders>
              <w:right w:val="single" w:color="000000" w:sz="10" w:space="0"/>
            </w:tcBorders>
            <w:vAlign w:val="top"/>
          </w:tcPr>
          <w:p>
            <w:pPr>
              <w:spacing w:before="70" w:line="346" w:lineRule="exact"/>
              <w:ind w:left="3"/>
              <w:rPr>
                <w:rFonts w:ascii="Calibri" w:hAnsi="Calibri" w:eastAsia="Calibri" w:cs="Calibri"/>
                <w:color w:val="auto"/>
                <w:sz w:val="17"/>
                <w:szCs w:val="17"/>
                <w:highlight w:val="none"/>
              </w:rPr>
            </w:pPr>
            <w:r>
              <w:rPr>
                <w:rFonts w:ascii="宋体" w:hAnsi="宋体" w:eastAsia="宋体" w:cs="宋体"/>
                <w:color w:val="auto"/>
                <w:spacing w:val="2"/>
                <w:position w:val="13"/>
                <w:sz w:val="17"/>
                <w:szCs w:val="17"/>
                <w:highlight w:val="none"/>
              </w:rPr>
              <w:t>春季</w:t>
            </w:r>
            <w:r>
              <w:rPr>
                <w:rFonts w:ascii="Calibri" w:hAnsi="Calibri" w:eastAsia="Calibri" w:cs="Calibri"/>
                <w:color w:val="auto"/>
                <w:spacing w:val="2"/>
                <w:position w:val="13"/>
                <w:sz w:val="17"/>
                <w:szCs w:val="17"/>
                <w:highlight w:val="none"/>
              </w:rPr>
              <w:sym w:font="Wingdings 2" w:char="00A3"/>
            </w:r>
            <w:r>
              <w:rPr>
                <w:rFonts w:ascii="Calibri" w:hAnsi="Calibri" w:eastAsia="Calibri" w:cs="Calibri"/>
                <w:color w:val="auto"/>
                <w:spacing w:val="2"/>
                <w:position w:val="13"/>
                <w:sz w:val="17"/>
                <w:szCs w:val="17"/>
                <w:highlight w:val="none"/>
              </w:rPr>
              <w:t xml:space="preserve"> </w:t>
            </w:r>
            <w:r>
              <w:rPr>
                <w:rFonts w:ascii="宋体" w:hAnsi="宋体" w:eastAsia="宋体" w:cs="宋体"/>
                <w:color w:val="auto"/>
                <w:spacing w:val="2"/>
                <w:position w:val="13"/>
                <w:sz w:val="17"/>
                <w:szCs w:val="17"/>
                <w:highlight w:val="none"/>
              </w:rPr>
              <w:t>；夏季</w:t>
            </w:r>
            <w:r>
              <w:rPr>
                <w:rFonts w:ascii="微软雅黑" w:hAnsi="微软雅黑" w:eastAsia="微软雅黑" w:cs="微软雅黑"/>
                <w:color w:val="auto"/>
                <w:spacing w:val="2"/>
                <w:position w:val="13"/>
                <w:sz w:val="17"/>
                <w:szCs w:val="17"/>
                <w:highlight w:val="none"/>
              </w:rPr>
              <w:sym w:font="Wingdings 2" w:char="00A3"/>
            </w:r>
            <w:r>
              <w:rPr>
                <w:rFonts w:ascii="宋体" w:hAnsi="宋体" w:eastAsia="宋体" w:cs="宋体"/>
                <w:color w:val="auto"/>
                <w:spacing w:val="2"/>
                <w:position w:val="13"/>
                <w:sz w:val="17"/>
                <w:szCs w:val="17"/>
                <w:highlight w:val="none"/>
              </w:rPr>
              <w:t>；秋季</w:t>
            </w:r>
            <w:r>
              <w:rPr>
                <w:rFonts w:ascii="Calibri" w:hAnsi="Calibri" w:eastAsia="Calibri" w:cs="Calibri"/>
                <w:color w:val="auto"/>
                <w:spacing w:val="2"/>
                <w:position w:val="13"/>
                <w:sz w:val="17"/>
                <w:szCs w:val="17"/>
                <w:highlight w:val="none"/>
              </w:rPr>
              <w:sym w:font="Wingdings 2" w:char="0052"/>
            </w:r>
            <w:r>
              <w:rPr>
                <w:rFonts w:ascii="Calibri" w:hAnsi="Calibri" w:eastAsia="Calibri" w:cs="Calibri"/>
                <w:color w:val="auto"/>
                <w:spacing w:val="2"/>
                <w:position w:val="13"/>
                <w:sz w:val="17"/>
                <w:szCs w:val="17"/>
                <w:highlight w:val="none"/>
              </w:rPr>
              <w:t xml:space="preserve"> </w:t>
            </w:r>
            <w:r>
              <w:rPr>
                <w:rFonts w:ascii="宋体" w:hAnsi="宋体" w:eastAsia="宋体" w:cs="宋体"/>
                <w:color w:val="auto"/>
                <w:spacing w:val="2"/>
                <w:position w:val="13"/>
                <w:sz w:val="17"/>
                <w:szCs w:val="17"/>
                <w:highlight w:val="none"/>
              </w:rPr>
              <w:t>；冬季</w:t>
            </w:r>
            <w:r>
              <w:rPr>
                <w:rFonts w:ascii="Calibri" w:hAnsi="Calibri" w:eastAsia="Calibri" w:cs="Calibri"/>
                <w:color w:val="auto"/>
                <w:spacing w:val="2"/>
                <w:position w:val="13"/>
                <w:sz w:val="17"/>
                <w:szCs w:val="17"/>
                <w:highlight w:val="none"/>
              </w:rPr>
              <w:sym w:font="Wingdings 2" w:char="00A3"/>
            </w:r>
          </w:p>
          <w:p>
            <w:pPr>
              <w:spacing w:line="230" w:lineRule="auto"/>
              <w:ind w:left="4"/>
              <w:rPr>
                <w:rFonts w:ascii="Calibri" w:hAnsi="Calibri" w:eastAsia="Calibri" w:cs="Calibri"/>
                <w:color w:val="auto"/>
                <w:sz w:val="17"/>
                <w:szCs w:val="17"/>
                <w:highlight w:val="none"/>
              </w:rPr>
            </w:pPr>
            <w:r>
              <w:rPr>
                <w:rFonts w:ascii="宋体" w:hAnsi="宋体" w:eastAsia="宋体" w:cs="宋体"/>
                <w:color w:val="auto"/>
                <w:spacing w:val="4"/>
                <w:sz w:val="17"/>
                <w:szCs w:val="17"/>
                <w:highlight w:val="none"/>
              </w:rPr>
              <w:t>丰水期</w:t>
            </w:r>
            <w:r>
              <w:rPr>
                <w:rFonts w:ascii="宋体" w:hAnsi="宋体" w:eastAsia="宋体" w:cs="宋体"/>
                <w:color w:val="auto"/>
                <w:spacing w:val="4"/>
                <w:sz w:val="17"/>
                <w:szCs w:val="17"/>
                <w:highlight w:val="none"/>
              </w:rPr>
              <w:sym w:font="Wingdings 2" w:char="00A3"/>
            </w:r>
            <w:r>
              <w:rPr>
                <w:rFonts w:ascii="Calibri" w:hAnsi="Calibri" w:eastAsia="Calibri" w:cs="Calibri"/>
                <w:color w:val="auto"/>
                <w:spacing w:val="4"/>
                <w:sz w:val="17"/>
                <w:szCs w:val="17"/>
                <w:highlight w:val="none"/>
              </w:rPr>
              <w:sym w:font="Wingdings 2" w:char="00A3"/>
            </w:r>
            <w:r>
              <w:rPr>
                <w:rFonts w:ascii="Calibri" w:hAnsi="Calibri" w:eastAsia="Calibri" w:cs="Calibri"/>
                <w:color w:val="auto"/>
                <w:spacing w:val="4"/>
                <w:sz w:val="17"/>
                <w:szCs w:val="17"/>
                <w:highlight w:val="none"/>
              </w:rPr>
              <w:t xml:space="preserve"> </w:t>
            </w:r>
            <w:r>
              <w:rPr>
                <w:rFonts w:ascii="宋体" w:hAnsi="宋体" w:eastAsia="宋体" w:cs="宋体"/>
                <w:color w:val="auto"/>
                <w:spacing w:val="2"/>
                <w:sz w:val="17"/>
                <w:szCs w:val="17"/>
                <w:highlight w:val="none"/>
              </w:rPr>
              <w:t>；枯水期</w:t>
            </w:r>
            <w:r>
              <w:rPr>
                <w:rFonts w:ascii="Calibri" w:hAnsi="Calibri" w:eastAsia="Calibri" w:cs="Calibri"/>
                <w:color w:val="auto"/>
                <w:spacing w:val="2"/>
                <w:sz w:val="17"/>
                <w:szCs w:val="17"/>
                <w:highlight w:val="none"/>
              </w:rPr>
              <w:sym w:font="Wingdings 2" w:char="00A3"/>
            </w:r>
            <w:r>
              <w:rPr>
                <w:rFonts w:ascii="宋体" w:hAnsi="宋体" w:eastAsia="宋体" w:cs="宋体"/>
                <w:color w:val="auto"/>
                <w:spacing w:val="2"/>
                <w:sz w:val="17"/>
                <w:szCs w:val="17"/>
                <w:highlight w:val="none"/>
              </w:rPr>
              <w:t>；平水期</w:t>
            </w:r>
            <w:r>
              <w:rPr>
                <w:rFonts w:ascii="Calibri" w:hAnsi="Calibri" w:eastAsia="Calibri" w:cs="Calibri"/>
                <w:color w:val="auto"/>
                <w:spacing w:val="2"/>
                <w:sz w:val="17"/>
                <w:szCs w:val="17"/>
                <w:highlight w:val="none"/>
              </w:rPr>
              <w:sym w:font="Wingdings 2" w:char="00A3"/>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538" w:type="pct"/>
            <w:vMerge w:val="continue"/>
            <w:tcBorders>
              <w:top w:val="nil"/>
              <w:left w:val="single" w:color="000000" w:sz="10" w:space="0"/>
              <w:bottom w:val="nil"/>
            </w:tcBorders>
            <w:vAlign w:val="top"/>
          </w:tcPr>
          <w:p>
            <w:pPr>
              <w:rPr>
                <w:rFonts w:ascii="Arial"/>
                <w:color w:val="auto"/>
                <w:sz w:val="21"/>
                <w:highlight w:val="none"/>
              </w:rPr>
            </w:pPr>
          </w:p>
        </w:tc>
        <w:tc>
          <w:tcPr>
            <w:tcW w:w="751" w:type="pct"/>
            <w:vAlign w:val="top"/>
          </w:tcPr>
          <w:p>
            <w:pPr>
              <w:spacing w:before="70" w:line="348" w:lineRule="exact"/>
              <w:ind w:left="382"/>
              <w:rPr>
                <w:rFonts w:ascii="宋体" w:hAnsi="宋体" w:eastAsia="宋体" w:cs="宋体"/>
                <w:color w:val="auto"/>
                <w:sz w:val="17"/>
                <w:szCs w:val="17"/>
                <w:highlight w:val="none"/>
              </w:rPr>
            </w:pPr>
            <w:r>
              <w:rPr>
                <w:rFonts w:ascii="宋体" w:hAnsi="宋体" w:eastAsia="宋体" w:cs="宋体"/>
                <w:color w:val="auto"/>
                <w:spacing w:val="10"/>
                <w:position w:val="13"/>
                <w:sz w:val="17"/>
                <w:szCs w:val="17"/>
                <w:highlight w:val="none"/>
              </w:rPr>
              <w:t>所</w:t>
            </w:r>
            <w:r>
              <w:rPr>
                <w:rFonts w:ascii="宋体" w:hAnsi="宋体" w:eastAsia="宋体" w:cs="宋体"/>
                <w:color w:val="auto"/>
                <w:spacing w:val="8"/>
                <w:position w:val="13"/>
                <w:sz w:val="17"/>
                <w:szCs w:val="17"/>
                <w:highlight w:val="none"/>
              </w:rPr>
              <w:t>在区域的</w:t>
            </w:r>
          </w:p>
          <w:p>
            <w:pPr>
              <w:spacing w:line="232" w:lineRule="auto"/>
              <w:ind w:left="517"/>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生态问</w:t>
            </w:r>
            <w:r>
              <w:rPr>
                <w:rFonts w:ascii="宋体" w:hAnsi="宋体" w:eastAsia="宋体" w:cs="宋体"/>
                <w:color w:val="auto"/>
                <w:spacing w:val="7"/>
                <w:sz w:val="17"/>
                <w:szCs w:val="17"/>
                <w:highlight w:val="none"/>
              </w:rPr>
              <w:t>题</w:t>
            </w:r>
          </w:p>
        </w:tc>
        <w:tc>
          <w:tcPr>
            <w:tcW w:w="3710" w:type="pct"/>
            <w:tcBorders>
              <w:right w:val="single" w:color="000000" w:sz="10" w:space="0"/>
            </w:tcBorders>
            <w:vAlign w:val="top"/>
          </w:tcPr>
          <w:p>
            <w:pPr>
              <w:spacing w:before="243" w:line="194" w:lineRule="auto"/>
              <w:ind w:left="426"/>
              <w:rPr>
                <w:rFonts w:ascii="Calibri" w:hAnsi="Calibri" w:eastAsia="Calibri" w:cs="Calibri"/>
                <w:color w:val="auto"/>
                <w:sz w:val="17"/>
                <w:szCs w:val="17"/>
                <w:highlight w:val="none"/>
              </w:rPr>
            </w:pPr>
            <w:r>
              <w:rPr>
                <w:rFonts w:ascii="宋体" w:hAnsi="宋体" w:eastAsia="宋体" w:cs="宋体"/>
                <w:color w:val="auto"/>
                <w:spacing w:val="6"/>
                <w:sz w:val="17"/>
                <w:szCs w:val="17"/>
                <w:highlight w:val="none"/>
              </w:rPr>
              <w:t>水土流失</w:t>
            </w:r>
            <w:r>
              <w:rPr>
                <w:rFonts w:ascii="微软雅黑" w:hAnsi="微软雅黑" w:eastAsia="微软雅黑" w:cs="微软雅黑"/>
                <w:color w:val="auto"/>
                <w:spacing w:val="6"/>
                <w:sz w:val="17"/>
                <w:szCs w:val="17"/>
                <w:highlight w:val="none"/>
              </w:rPr>
              <w:sym w:font="Wingdings 2" w:char="00A3"/>
            </w:r>
            <w:r>
              <w:rPr>
                <w:rFonts w:ascii="宋体" w:hAnsi="宋体" w:eastAsia="宋体" w:cs="宋体"/>
                <w:color w:val="auto"/>
                <w:spacing w:val="3"/>
                <w:sz w:val="17"/>
                <w:szCs w:val="17"/>
                <w:highlight w:val="none"/>
              </w:rPr>
              <w:t>；沙漠化</w:t>
            </w:r>
            <w:r>
              <w:rPr>
                <w:rFonts w:ascii="Calibri" w:hAnsi="Calibri" w:eastAsia="Calibri" w:cs="Calibri"/>
                <w:color w:val="auto"/>
                <w:spacing w:val="3"/>
                <w:sz w:val="17"/>
                <w:szCs w:val="17"/>
                <w:highlight w:val="none"/>
              </w:rPr>
              <w:sym w:font="Wingdings 2" w:char="00A3"/>
            </w:r>
            <w:r>
              <w:rPr>
                <w:rFonts w:ascii="Calibri" w:hAnsi="Calibri" w:eastAsia="Calibri" w:cs="Calibri"/>
                <w:color w:val="auto"/>
                <w:spacing w:val="3"/>
                <w:sz w:val="17"/>
                <w:szCs w:val="17"/>
                <w:highlight w:val="none"/>
              </w:rPr>
              <w:t xml:space="preserve"> </w:t>
            </w:r>
            <w:r>
              <w:rPr>
                <w:rFonts w:ascii="宋体" w:hAnsi="宋体" w:eastAsia="宋体" w:cs="宋体"/>
                <w:color w:val="auto"/>
                <w:spacing w:val="3"/>
                <w:sz w:val="17"/>
                <w:szCs w:val="17"/>
                <w:highlight w:val="none"/>
              </w:rPr>
              <w:t>；石漠化</w:t>
            </w:r>
            <w:r>
              <w:rPr>
                <w:rFonts w:ascii="Calibri" w:hAnsi="Calibri" w:eastAsia="Calibri" w:cs="Calibri"/>
                <w:color w:val="auto"/>
                <w:spacing w:val="3"/>
                <w:sz w:val="17"/>
                <w:szCs w:val="17"/>
                <w:highlight w:val="none"/>
              </w:rPr>
              <w:sym w:font="Wingdings 2" w:char="00A3"/>
            </w:r>
            <w:r>
              <w:rPr>
                <w:rFonts w:ascii="Calibri" w:hAnsi="Calibri" w:eastAsia="Calibri" w:cs="Calibri"/>
                <w:color w:val="auto"/>
                <w:spacing w:val="3"/>
                <w:sz w:val="17"/>
                <w:szCs w:val="17"/>
                <w:highlight w:val="none"/>
              </w:rPr>
              <w:t xml:space="preserve"> </w:t>
            </w:r>
            <w:r>
              <w:rPr>
                <w:rFonts w:ascii="宋体" w:hAnsi="宋体" w:eastAsia="宋体" w:cs="宋体"/>
                <w:color w:val="auto"/>
                <w:spacing w:val="3"/>
                <w:sz w:val="17"/>
                <w:szCs w:val="17"/>
                <w:highlight w:val="none"/>
              </w:rPr>
              <w:t>；盐渍化</w:t>
            </w:r>
            <w:r>
              <w:rPr>
                <w:rFonts w:ascii="Calibri" w:hAnsi="Calibri" w:eastAsia="Calibri" w:cs="Calibri"/>
                <w:color w:val="auto"/>
                <w:spacing w:val="3"/>
                <w:sz w:val="17"/>
                <w:szCs w:val="17"/>
                <w:highlight w:val="none"/>
              </w:rPr>
              <w:sym w:font="Wingdings 2" w:char="00A3"/>
            </w:r>
            <w:r>
              <w:rPr>
                <w:rFonts w:ascii="Calibri" w:hAnsi="Calibri" w:eastAsia="Calibri" w:cs="Calibri"/>
                <w:color w:val="auto"/>
                <w:spacing w:val="3"/>
                <w:sz w:val="17"/>
                <w:szCs w:val="17"/>
                <w:highlight w:val="none"/>
              </w:rPr>
              <w:t xml:space="preserve"> </w:t>
            </w:r>
            <w:r>
              <w:rPr>
                <w:rFonts w:ascii="宋体" w:hAnsi="宋体" w:eastAsia="宋体" w:cs="宋体"/>
                <w:color w:val="auto"/>
                <w:spacing w:val="3"/>
                <w:sz w:val="17"/>
                <w:szCs w:val="17"/>
                <w:highlight w:val="none"/>
              </w:rPr>
              <w:t>；生物入侵</w:t>
            </w:r>
            <w:r>
              <w:rPr>
                <w:rFonts w:ascii="Calibri" w:hAnsi="Calibri" w:eastAsia="Calibri" w:cs="Calibri"/>
                <w:color w:val="auto"/>
                <w:spacing w:val="3"/>
                <w:sz w:val="17"/>
                <w:szCs w:val="17"/>
                <w:highlight w:val="none"/>
              </w:rPr>
              <w:sym w:font="Wingdings 2" w:char="00A3"/>
            </w:r>
            <w:r>
              <w:rPr>
                <w:rFonts w:ascii="宋体" w:hAnsi="宋体" w:eastAsia="宋体" w:cs="宋体"/>
                <w:color w:val="auto"/>
                <w:spacing w:val="3"/>
                <w:sz w:val="17"/>
                <w:szCs w:val="17"/>
                <w:highlight w:val="none"/>
              </w:rPr>
              <w:t>；污染危害</w:t>
            </w:r>
            <w:r>
              <w:rPr>
                <w:rFonts w:ascii="微软雅黑" w:hAnsi="微软雅黑" w:eastAsia="微软雅黑" w:cs="微软雅黑"/>
                <w:color w:val="auto"/>
                <w:spacing w:val="3"/>
                <w:sz w:val="17"/>
                <w:szCs w:val="17"/>
                <w:highlight w:val="none"/>
              </w:rPr>
              <w:sym w:font="Wingdings 2" w:char="00A3"/>
            </w:r>
            <w:r>
              <w:rPr>
                <w:rFonts w:ascii="宋体" w:hAnsi="宋体" w:eastAsia="宋体" w:cs="宋体"/>
                <w:color w:val="auto"/>
                <w:spacing w:val="3"/>
                <w:sz w:val="17"/>
                <w:szCs w:val="17"/>
                <w:highlight w:val="none"/>
              </w:rPr>
              <w:t>；其他</w:t>
            </w:r>
            <w:r>
              <w:rPr>
                <w:rFonts w:ascii="Calibri" w:hAnsi="Calibri" w:eastAsia="Calibri" w:cs="Calibri"/>
                <w:color w:val="auto"/>
                <w:spacing w:val="3"/>
                <w:sz w:val="17"/>
                <w:szCs w:val="17"/>
                <w:highlight w:val="none"/>
              </w:rPr>
              <w:sym w:font="Wingdings 2" w:char="00A3"/>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38" w:type="pct"/>
            <w:vMerge w:val="continue"/>
            <w:tcBorders>
              <w:top w:val="nil"/>
              <w:left w:val="single" w:color="000000" w:sz="10" w:space="0"/>
            </w:tcBorders>
            <w:vAlign w:val="top"/>
          </w:tcPr>
          <w:p>
            <w:pPr>
              <w:rPr>
                <w:rFonts w:ascii="Arial"/>
                <w:color w:val="auto"/>
                <w:sz w:val="21"/>
                <w:highlight w:val="none"/>
              </w:rPr>
            </w:pPr>
          </w:p>
        </w:tc>
        <w:tc>
          <w:tcPr>
            <w:tcW w:w="751" w:type="pct"/>
            <w:vAlign w:val="top"/>
          </w:tcPr>
          <w:p>
            <w:pPr>
              <w:spacing w:before="55" w:line="229" w:lineRule="auto"/>
              <w:ind w:left="352"/>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评</w:t>
            </w:r>
            <w:r>
              <w:rPr>
                <w:rFonts w:ascii="宋体" w:hAnsi="宋体" w:eastAsia="宋体" w:cs="宋体"/>
                <w:color w:val="auto"/>
                <w:spacing w:val="8"/>
                <w:sz w:val="17"/>
                <w:szCs w:val="17"/>
                <w:highlight w:val="none"/>
              </w:rPr>
              <w:t>价内容</w:t>
            </w:r>
          </w:p>
        </w:tc>
        <w:tc>
          <w:tcPr>
            <w:tcW w:w="3710" w:type="pct"/>
            <w:tcBorders>
              <w:right w:val="single" w:color="000000" w:sz="10" w:space="0"/>
            </w:tcBorders>
            <w:vAlign w:val="top"/>
          </w:tcPr>
          <w:p>
            <w:pPr>
              <w:spacing w:before="37" w:line="261" w:lineRule="auto"/>
              <w:ind w:left="4" w:right="39"/>
              <w:rPr>
                <w:rFonts w:ascii="Calibri" w:hAnsi="Calibri" w:eastAsia="Calibri" w:cs="Calibri"/>
                <w:color w:val="auto"/>
                <w:sz w:val="17"/>
                <w:szCs w:val="17"/>
                <w:highlight w:val="none"/>
              </w:rPr>
            </w:pPr>
            <w:r>
              <w:rPr>
                <w:rFonts w:ascii="宋体" w:hAnsi="宋体" w:eastAsia="宋体" w:cs="宋体"/>
                <w:color w:val="auto"/>
                <w:spacing w:val="4"/>
                <w:sz w:val="17"/>
                <w:szCs w:val="17"/>
                <w:highlight w:val="none"/>
              </w:rPr>
              <w:t>植</w:t>
            </w:r>
            <w:r>
              <w:rPr>
                <w:rFonts w:ascii="宋体" w:hAnsi="宋体" w:eastAsia="宋体" w:cs="宋体"/>
                <w:color w:val="auto"/>
                <w:spacing w:val="3"/>
                <w:sz w:val="17"/>
                <w:szCs w:val="17"/>
                <w:highlight w:val="none"/>
              </w:rPr>
              <w:t>被</w:t>
            </w:r>
            <w:r>
              <w:rPr>
                <w:rFonts w:ascii="Times New Roman" w:hAnsi="Times New Roman" w:eastAsia="Times New Roman" w:cs="Times New Roman"/>
                <w:color w:val="auto"/>
                <w:spacing w:val="2"/>
                <w:sz w:val="17"/>
                <w:szCs w:val="17"/>
                <w:highlight w:val="none"/>
              </w:rPr>
              <w:t>/</w:t>
            </w:r>
            <w:r>
              <w:rPr>
                <w:rFonts w:ascii="宋体" w:hAnsi="宋体" w:eastAsia="宋体" w:cs="宋体"/>
                <w:color w:val="auto"/>
                <w:spacing w:val="2"/>
                <w:sz w:val="17"/>
                <w:szCs w:val="17"/>
                <w:highlight w:val="none"/>
              </w:rPr>
              <w:t>植物群落</w:t>
            </w:r>
            <w:r>
              <w:rPr>
                <w:rFonts w:ascii="微软雅黑" w:hAnsi="微软雅黑" w:eastAsia="微软雅黑" w:cs="微软雅黑"/>
                <w:color w:val="auto"/>
                <w:spacing w:val="2"/>
                <w:sz w:val="17"/>
                <w:szCs w:val="17"/>
                <w:highlight w:val="none"/>
              </w:rPr>
              <w:sym w:font="Wingdings 2" w:char="0052"/>
            </w:r>
            <w:r>
              <w:rPr>
                <w:rFonts w:ascii="宋体" w:hAnsi="宋体" w:eastAsia="宋体" w:cs="宋体"/>
                <w:color w:val="auto"/>
                <w:spacing w:val="2"/>
                <w:sz w:val="17"/>
                <w:szCs w:val="17"/>
                <w:highlight w:val="none"/>
              </w:rPr>
              <w:t>；土地利用</w:t>
            </w:r>
            <w:r>
              <w:rPr>
                <w:rFonts w:ascii="微软雅黑" w:hAnsi="微软雅黑" w:eastAsia="微软雅黑" w:cs="微软雅黑"/>
                <w:color w:val="auto"/>
                <w:spacing w:val="2"/>
                <w:sz w:val="17"/>
                <w:szCs w:val="17"/>
                <w:highlight w:val="none"/>
              </w:rPr>
              <w:sym w:font="Wingdings 2" w:char="0052"/>
            </w:r>
            <w:r>
              <w:rPr>
                <w:rFonts w:ascii="宋体" w:hAnsi="宋体" w:eastAsia="宋体" w:cs="宋体"/>
                <w:color w:val="auto"/>
                <w:spacing w:val="2"/>
                <w:sz w:val="17"/>
                <w:szCs w:val="17"/>
                <w:highlight w:val="none"/>
              </w:rPr>
              <w:t>；生态系统</w:t>
            </w:r>
            <w:r>
              <w:rPr>
                <w:rFonts w:ascii="微软雅黑" w:hAnsi="微软雅黑" w:eastAsia="微软雅黑" w:cs="微软雅黑"/>
                <w:color w:val="auto"/>
                <w:spacing w:val="2"/>
                <w:sz w:val="17"/>
                <w:szCs w:val="17"/>
                <w:highlight w:val="none"/>
              </w:rPr>
              <w:sym w:font="Wingdings 2" w:char="00A3"/>
            </w:r>
            <w:r>
              <w:rPr>
                <w:rFonts w:ascii="宋体" w:hAnsi="宋体" w:eastAsia="宋体" w:cs="宋体"/>
                <w:color w:val="auto"/>
                <w:spacing w:val="2"/>
                <w:sz w:val="17"/>
                <w:szCs w:val="17"/>
                <w:highlight w:val="none"/>
              </w:rPr>
              <w:t>；生物多样性</w:t>
            </w:r>
            <w:r>
              <w:rPr>
                <w:rFonts w:ascii="Calibri" w:hAnsi="Calibri" w:eastAsia="Calibri" w:cs="Calibri"/>
                <w:color w:val="auto"/>
                <w:spacing w:val="2"/>
                <w:sz w:val="17"/>
                <w:szCs w:val="17"/>
                <w:highlight w:val="none"/>
              </w:rPr>
              <w:t xml:space="preserve">□ </w:t>
            </w:r>
            <w:r>
              <w:rPr>
                <w:rFonts w:ascii="宋体" w:hAnsi="宋体" w:eastAsia="宋体" w:cs="宋体"/>
                <w:color w:val="auto"/>
                <w:spacing w:val="2"/>
                <w:sz w:val="17"/>
                <w:szCs w:val="17"/>
                <w:highlight w:val="none"/>
              </w:rPr>
              <w:t>；重要物种</w:t>
            </w:r>
            <w:r>
              <w:rPr>
                <w:rFonts w:ascii="Calibri" w:hAnsi="Calibri" w:eastAsia="Calibri" w:cs="Calibri"/>
                <w:color w:val="auto"/>
                <w:spacing w:val="2"/>
                <w:sz w:val="17"/>
                <w:szCs w:val="17"/>
                <w:highlight w:val="none"/>
              </w:rPr>
              <w:t xml:space="preserve">□ </w:t>
            </w:r>
            <w:r>
              <w:rPr>
                <w:rFonts w:ascii="宋体" w:hAnsi="宋体" w:eastAsia="宋体" w:cs="宋体"/>
                <w:color w:val="auto"/>
                <w:spacing w:val="2"/>
                <w:sz w:val="17"/>
                <w:szCs w:val="17"/>
                <w:highlight w:val="none"/>
              </w:rPr>
              <w:t>；生态敏感区</w:t>
            </w:r>
            <w:r>
              <w:rPr>
                <w:rFonts w:ascii="微软雅黑" w:hAnsi="微软雅黑" w:eastAsia="微软雅黑" w:cs="微软雅黑"/>
                <w:color w:val="auto"/>
                <w:spacing w:val="2"/>
                <w:sz w:val="17"/>
                <w:szCs w:val="17"/>
                <w:highlight w:val="none"/>
              </w:rPr>
              <w:sym w:font="Wingdings 2" w:char="00A3"/>
            </w:r>
            <w:r>
              <w:rPr>
                <w:rFonts w:ascii="宋体" w:hAnsi="宋体" w:eastAsia="宋体" w:cs="宋体"/>
                <w:color w:val="auto"/>
                <w:spacing w:val="2"/>
                <w:sz w:val="17"/>
                <w:szCs w:val="17"/>
                <w:highlight w:val="none"/>
              </w:rPr>
              <w:t>；</w:t>
            </w:r>
            <w:r>
              <w:rPr>
                <w:rFonts w:ascii="宋体" w:hAnsi="宋体" w:eastAsia="宋体" w:cs="宋体"/>
                <w:color w:val="auto"/>
                <w:sz w:val="17"/>
                <w:szCs w:val="17"/>
                <w:highlight w:val="none"/>
              </w:rPr>
              <w:t xml:space="preserve"> </w:t>
            </w:r>
            <w:r>
              <w:rPr>
                <w:rFonts w:ascii="宋体" w:hAnsi="宋体" w:eastAsia="宋体" w:cs="宋体"/>
                <w:color w:val="auto"/>
                <w:spacing w:val="6"/>
                <w:sz w:val="17"/>
                <w:szCs w:val="17"/>
                <w:highlight w:val="none"/>
              </w:rPr>
              <w:t>其他</w:t>
            </w:r>
            <w:r>
              <w:rPr>
                <w:rFonts w:ascii="Calibri" w:hAnsi="Calibri" w:eastAsia="Calibri" w:cs="Calibri"/>
                <w:color w:val="auto"/>
                <w:spacing w:val="6"/>
                <w:sz w:val="17"/>
                <w:szCs w:val="17"/>
                <w:highlight w:val="none"/>
              </w:rPr>
              <w:sym w:font="Wingdings 2" w:char="00A3"/>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8" w:type="pct"/>
            <w:vMerge w:val="restart"/>
            <w:tcBorders>
              <w:left w:val="single" w:color="000000" w:sz="10" w:space="0"/>
              <w:bottom w:val="nil"/>
            </w:tcBorders>
            <w:vAlign w:val="top"/>
          </w:tcPr>
          <w:p>
            <w:pPr>
              <w:spacing w:before="135" w:line="232" w:lineRule="auto"/>
              <w:ind w:left="168"/>
              <w:rPr>
                <w:rFonts w:ascii="宋体" w:hAnsi="宋体" w:eastAsia="宋体" w:cs="宋体"/>
                <w:color w:val="auto"/>
                <w:sz w:val="17"/>
                <w:szCs w:val="17"/>
                <w:highlight w:val="none"/>
              </w:rPr>
            </w:pPr>
            <w:r>
              <w:rPr>
                <w:rFonts w:ascii="宋体" w:hAnsi="宋体" w:eastAsia="宋体" w:cs="宋体"/>
                <w:color w:val="auto"/>
                <w:spacing w:val="1"/>
                <w:sz w:val="17"/>
                <w:szCs w:val="17"/>
                <w:highlight w:val="none"/>
              </w:rPr>
              <w:t>生态</w:t>
            </w:r>
            <w:r>
              <w:rPr>
                <w:rFonts w:ascii="宋体" w:hAnsi="宋体" w:eastAsia="宋体" w:cs="宋体"/>
                <w:color w:val="auto"/>
                <w:sz w:val="17"/>
                <w:szCs w:val="17"/>
                <w:highlight w:val="none"/>
              </w:rPr>
              <w:t>影响</w:t>
            </w:r>
          </w:p>
          <w:p>
            <w:pPr>
              <w:spacing w:before="122" w:line="230" w:lineRule="auto"/>
              <w:ind w:left="238"/>
              <w:rPr>
                <w:rFonts w:ascii="宋体" w:hAnsi="宋体" w:eastAsia="宋体" w:cs="宋体"/>
                <w:color w:val="auto"/>
                <w:sz w:val="17"/>
                <w:szCs w:val="17"/>
                <w:highlight w:val="none"/>
              </w:rPr>
            </w:pPr>
            <w:r>
              <w:rPr>
                <w:rFonts w:ascii="宋体" w:hAnsi="宋体" w:eastAsia="宋体" w:cs="宋体"/>
                <w:color w:val="auto"/>
                <w:spacing w:val="7"/>
                <w:sz w:val="17"/>
                <w:szCs w:val="17"/>
                <w:highlight w:val="none"/>
              </w:rPr>
              <w:t>预测与</w:t>
            </w:r>
          </w:p>
          <w:p>
            <w:pPr>
              <w:spacing w:before="126" w:line="229" w:lineRule="auto"/>
              <w:ind w:left="324"/>
              <w:rPr>
                <w:rFonts w:ascii="宋体" w:hAnsi="宋体" w:eastAsia="宋体" w:cs="宋体"/>
                <w:color w:val="auto"/>
                <w:sz w:val="17"/>
                <w:szCs w:val="17"/>
                <w:highlight w:val="none"/>
              </w:rPr>
            </w:pPr>
            <w:r>
              <w:rPr>
                <w:rFonts w:ascii="宋体" w:hAnsi="宋体" w:eastAsia="宋体" w:cs="宋体"/>
                <w:color w:val="auto"/>
                <w:spacing w:val="7"/>
                <w:sz w:val="17"/>
                <w:szCs w:val="17"/>
                <w:highlight w:val="none"/>
              </w:rPr>
              <w:t>评</w:t>
            </w:r>
            <w:r>
              <w:rPr>
                <w:rFonts w:ascii="宋体" w:hAnsi="宋体" w:eastAsia="宋体" w:cs="宋体"/>
                <w:color w:val="auto"/>
                <w:spacing w:val="6"/>
                <w:sz w:val="17"/>
                <w:szCs w:val="17"/>
                <w:highlight w:val="none"/>
              </w:rPr>
              <w:t>价</w:t>
            </w:r>
          </w:p>
        </w:tc>
        <w:tc>
          <w:tcPr>
            <w:tcW w:w="751" w:type="pct"/>
            <w:vAlign w:val="top"/>
          </w:tcPr>
          <w:p>
            <w:pPr>
              <w:spacing w:before="69" w:line="229" w:lineRule="auto"/>
              <w:ind w:left="352"/>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评</w:t>
            </w:r>
            <w:r>
              <w:rPr>
                <w:rFonts w:ascii="宋体" w:hAnsi="宋体" w:eastAsia="宋体" w:cs="宋体"/>
                <w:color w:val="auto"/>
                <w:spacing w:val="8"/>
                <w:sz w:val="17"/>
                <w:szCs w:val="17"/>
                <w:highlight w:val="none"/>
              </w:rPr>
              <w:t>价方法</w:t>
            </w:r>
          </w:p>
        </w:tc>
        <w:tc>
          <w:tcPr>
            <w:tcW w:w="3710" w:type="pct"/>
            <w:tcBorders>
              <w:right w:val="single" w:color="000000" w:sz="10" w:space="0"/>
            </w:tcBorders>
            <w:vAlign w:val="top"/>
          </w:tcPr>
          <w:p>
            <w:pPr>
              <w:spacing w:before="69" w:line="194" w:lineRule="auto"/>
              <w:ind w:left="8"/>
              <w:rPr>
                <w:rFonts w:ascii="微软雅黑" w:hAnsi="微软雅黑" w:eastAsia="微软雅黑" w:cs="微软雅黑"/>
                <w:color w:val="auto"/>
                <w:sz w:val="17"/>
                <w:szCs w:val="17"/>
                <w:highlight w:val="none"/>
              </w:rPr>
            </w:pPr>
            <w:r>
              <w:rPr>
                <w:rFonts w:ascii="宋体" w:hAnsi="宋体" w:eastAsia="宋体" w:cs="宋体"/>
                <w:color w:val="auto"/>
                <w:spacing w:val="5"/>
                <w:sz w:val="17"/>
                <w:szCs w:val="17"/>
                <w:highlight w:val="none"/>
              </w:rPr>
              <w:t>定</w:t>
            </w:r>
            <w:r>
              <w:rPr>
                <w:rFonts w:ascii="宋体" w:hAnsi="宋体" w:eastAsia="宋体" w:cs="宋体"/>
                <w:color w:val="auto"/>
                <w:spacing w:val="3"/>
                <w:sz w:val="17"/>
                <w:szCs w:val="17"/>
                <w:highlight w:val="none"/>
              </w:rPr>
              <w:t>性</w:t>
            </w:r>
            <w:r>
              <w:rPr>
                <w:rFonts w:ascii="Calibri" w:hAnsi="Calibri" w:eastAsia="Calibri" w:cs="Calibri"/>
                <w:color w:val="auto"/>
                <w:spacing w:val="3"/>
                <w:sz w:val="17"/>
                <w:szCs w:val="17"/>
                <w:highlight w:val="none"/>
              </w:rPr>
              <w:sym w:font="Wingdings 2" w:char="00A3"/>
            </w:r>
            <w:r>
              <w:rPr>
                <w:rFonts w:ascii="Calibri" w:hAnsi="Calibri" w:eastAsia="Calibri" w:cs="Calibri"/>
                <w:color w:val="auto"/>
                <w:spacing w:val="3"/>
                <w:sz w:val="17"/>
                <w:szCs w:val="17"/>
                <w:highlight w:val="none"/>
              </w:rPr>
              <w:t xml:space="preserve"> </w:t>
            </w:r>
            <w:r>
              <w:rPr>
                <w:rFonts w:ascii="宋体" w:hAnsi="宋体" w:eastAsia="宋体" w:cs="宋体"/>
                <w:color w:val="auto"/>
                <w:spacing w:val="3"/>
                <w:sz w:val="17"/>
                <w:szCs w:val="17"/>
                <w:highlight w:val="none"/>
              </w:rPr>
              <w:t>；定性和定量</w:t>
            </w:r>
            <w:r>
              <w:rPr>
                <w:rFonts w:ascii="微软雅黑" w:hAnsi="微软雅黑" w:eastAsia="微软雅黑" w:cs="微软雅黑"/>
                <w:color w:val="auto"/>
                <w:spacing w:val="3"/>
                <w:sz w:val="17"/>
                <w:szCs w:val="17"/>
                <w:highlight w:val="none"/>
              </w:rPr>
              <w:sym w:font="Wingdings 2" w:char="0052"/>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538" w:type="pct"/>
            <w:vMerge w:val="continue"/>
            <w:tcBorders>
              <w:top w:val="nil"/>
              <w:left w:val="single" w:color="000000" w:sz="10" w:space="0"/>
            </w:tcBorders>
            <w:vAlign w:val="top"/>
          </w:tcPr>
          <w:p>
            <w:pPr>
              <w:rPr>
                <w:rFonts w:ascii="Arial"/>
                <w:color w:val="auto"/>
                <w:sz w:val="21"/>
                <w:highlight w:val="none"/>
              </w:rPr>
            </w:pPr>
          </w:p>
        </w:tc>
        <w:tc>
          <w:tcPr>
            <w:tcW w:w="751" w:type="pct"/>
            <w:vAlign w:val="top"/>
          </w:tcPr>
          <w:p>
            <w:pPr>
              <w:spacing w:before="215" w:line="229" w:lineRule="auto"/>
              <w:ind w:left="352"/>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评</w:t>
            </w:r>
            <w:r>
              <w:rPr>
                <w:rFonts w:ascii="宋体" w:hAnsi="宋体" w:eastAsia="宋体" w:cs="宋体"/>
                <w:color w:val="auto"/>
                <w:spacing w:val="8"/>
                <w:sz w:val="17"/>
                <w:szCs w:val="17"/>
                <w:highlight w:val="none"/>
              </w:rPr>
              <w:t>价内容</w:t>
            </w:r>
          </w:p>
        </w:tc>
        <w:tc>
          <w:tcPr>
            <w:tcW w:w="3710" w:type="pct"/>
            <w:tcBorders>
              <w:right w:val="single" w:color="000000" w:sz="10" w:space="0"/>
            </w:tcBorders>
            <w:vAlign w:val="top"/>
          </w:tcPr>
          <w:p>
            <w:pPr>
              <w:spacing w:before="37" w:line="308" w:lineRule="auto"/>
              <w:ind w:left="4" w:right="51"/>
              <w:rPr>
                <w:rFonts w:ascii="Calibri" w:hAnsi="Calibri" w:eastAsia="Calibri" w:cs="Calibri"/>
                <w:color w:val="auto"/>
                <w:sz w:val="17"/>
                <w:szCs w:val="17"/>
                <w:highlight w:val="none"/>
              </w:rPr>
            </w:pPr>
            <w:r>
              <w:rPr>
                <w:rFonts w:ascii="宋体" w:hAnsi="宋体" w:eastAsia="宋体" w:cs="宋体"/>
                <w:color w:val="auto"/>
                <w:spacing w:val="4"/>
                <w:sz w:val="17"/>
                <w:szCs w:val="17"/>
                <w:highlight w:val="none"/>
              </w:rPr>
              <w:t>植被</w:t>
            </w:r>
            <w:r>
              <w:rPr>
                <w:rFonts w:ascii="Times New Roman" w:hAnsi="Times New Roman" w:eastAsia="Times New Roman" w:cs="Times New Roman"/>
                <w:color w:val="auto"/>
                <w:spacing w:val="4"/>
                <w:sz w:val="17"/>
                <w:szCs w:val="17"/>
                <w:highlight w:val="none"/>
              </w:rPr>
              <w:t>/</w:t>
            </w:r>
            <w:r>
              <w:rPr>
                <w:rFonts w:ascii="宋体" w:hAnsi="宋体" w:eastAsia="宋体" w:cs="宋体"/>
                <w:color w:val="auto"/>
                <w:spacing w:val="4"/>
                <w:sz w:val="17"/>
                <w:szCs w:val="17"/>
                <w:highlight w:val="none"/>
              </w:rPr>
              <w:t>植物群落</w:t>
            </w:r>
            <w:r>
              <w:rPr>
                <w:rFonts w:ascii="微软雅黑" w:hAnsi="微软雅黑" w:eastAsia="微软雅黑" w:cs="微软雅黑"/>
                <w:color w:val="auto"/>
                <w:spacing w:val="4"/>
                <w:sz w:val="17"/>
                <w:szCs w:val="17"/>
                <w:highlight w:val="none"/>
              </w:rPr>
              <w:sym w:font="Wingdings 2" w:char="0052"/>
            </w:r>
            <w:r>
              <w:rPr>
                <w:rFonts w:ascii="宋体" w:hAnsi="宋体" w:eastAsia="宋体" w:cs="宋体"/>
                <w:color w:val="auto"/>
                <w:spacing w:val="4"/>
                <w:sz w:val="17"/>
                <w:szCs w:val="17"/>
                <w:highlight w:val="none"/>
              </w:rPr>
              <w:t>；土地利用</w:t>
            </w:r>
            <w:r>
              <w:rPr>
                <w:rFonts w:ascii="微软雅黑" w:hAnsi="微软雅黑" w:eastAsia="微软雅黑" w:cs="微软雅黑"/>
                <w:color w:val="auto"/>
                <w:spacing w:val="4"/>
                <w:sz w:val="17"/>
                <w:szCs w:val="17"/>
                <w:highlight w:val="none"/>
              </w:rPr>
              <w:sym w:font="Wingdings 2" w:char="0052"/>
            </w:r>
            <w:r>
              <w:rPr>
                <w:rFonts w:ascii="宋体" w:hAnsi="宋体" w:eastAsia="宋体" w:cs="宋体"/>
                <w:color w:val="auto"/>
                <w:spacing w:val="4"/>
                <w:sz w:val="17"/>
                <w:szCs w:val="17"/>
                <w:highlight w:val="none"/>
              </w:rPr>
              <w:t>；</w:t>
            </w:r>
            <w:r>
              <w:rPr>
                <w:rFonts w:ascii="宋体" w:hAnsi="宋体" w:eastAsia="宋体" w:cs="宋体"/>
                <w:color w:val="auto"/>
                <w:spacing w:val="3"/>
                <w:sz w:val="17"/>
                <w:szCs w:val="17"/>
                <w:highlight w:val="none"/>
              </w:rPr>
              <w:t>生</w:t>
            </w:r>
            <w:r>
              <w:rPr>
                <w:rFonts w:ascii="宋体" w:hAnsi="宋体" w:eastAsia="宋体" w:cs="宋体"/>
                <w:color w:val="auto"/>
                <w:spacing w:val="2"/>
                <w:sz w:val="17"/>
                <w:szCs w:val="17"/>
                <w:highlight w:val="none"/>
              </w:rPr>
              <w:t>态系统</w:t>
            </w:r>
            <w:r>
              <w:rPr>
                <w:rFonts w:ascii="微软雅黑" w:hAnsi="微软雅黑" w:eastAsia="微软雅黑" w:cs="微软雅黑"/>
                <w:color w:val="auto"/>
                <w:spacing w:val="2"/>
                <w:sz w:val="17"/>
                <w:szCs w:val="17"/>
                <w:highlight w:val="none"/>
              </w:rPr>
              <w:sym w:font="Wingdings 2" w:char="0052"/>
            </w:r>
            <w:r>
              <w:rPr>
                <w:rFonts w:ascii="宋体" w:hAnsi="宋体" w:eastAsia="宋体" w:cs="宋体"/>
                <w:color w:val="auto"/>
                <w:spacing w:val="2"/>
                <w:sz w:val="17"/>
                <w:szCs w:val="17"/>
                <w:highlight w:val="none"/>
              </w:rPr>
              <w:t>；生物多样性</w:t>
            </w:r>
            <w:r>
              <w:rPr>
                <w:rFonts w:ascii="Calibri" w:hAnsi="Calibri" w:eastAsia="Calibri" w:cs="Calibri"/>
                <w:color w:val="auto"/>
                <w:spacing w:val="2"/>
                <w:sz w:val="17"/>
                <w:szCs w:val="17"/>
                <w:highlight w:val="none"/>
              </w:rPr>
              <w:t>□</w:t>
            </w:r>
            <w:r>
              <w:rPr>
                <w:rFonts w:ascii="宋体" w:hAnsi="宋体" w:eastAsia="宋体" w:cs="宋体"/>
                <w:color w:val="auto"/>
                <w:spacing w:val="2"/>
                <w:sz w:val="17"/>
                <w:szCs w:val="17"/>
                <w:highlight w:val="none"/>
              </w:rPr>
              <w:t>；重要物种</w:t>
            </w:r>
            <w:r>
              <w:rPr>
                <w:rFonts w:ascii="Calibri" w:hAnsi="Calibri" w:eastAsia="Calibri" w:cs="Calibri"/>
                <w:color w:val="auto"/>
                <w:spacing w:val="2"/>
                <w:sz w:val="17"/>
                <w:szCs w:val="17"/>
                <w:highlight w:val="none"/>
              </w:rPr>
              <w:t xml:space="preserve">□ </w:t>
            </w:r>
            <w:r>
              <w:rPr>
                <w:rFonts w:ascii="宋体" w:hAnsi="宋体" w:eastAsia="宋体" w:cs="宋体"/>
                <w:color w:val="auto"/>
                <w:spacing w:val="2"/>
                <w:sz w:val="17"/>
                <w:szCs w:val="17"/>
                <w:highlight w:val="none"/>
              </w:rPr>
              <w:t>；生态敏感区</w:t>
            </w:r>
            <w:r>
              <w:rPr>
                <w:rFonts w:ascii="微软雅黑" w:hAnsi="微软雅黑" w:eastAsia="微软雅黑" w:cs="微软雅黑"/>
                <w:color w:val="auto"/>
                <w:spacing w:val="2"/>
                <w:sz w:val="17"/>
                <w:szCs w:val="17"/>
                <w:highlight w:val="none"/>
              </w:rPr>
              <w:sym w:font="Wingdings 2" w:char="00A3"/>
            </w:r>
            <w:r>
              <w:rPr>
                <w:rFonts w:ascii="宋体" w:hAnsi="宋体" w:eastAsia="宋体" w:cs="宋体"/>
                <w:color w:val="auto"/>
                <w:spacing w:val="2"/>
                <w:sz w:val="17"/>
                <w:szCs w:val="17"/>
                <w:highlight w:val="none"/>
              </w:rPr>
              <w:t>；</w:t>
            </w:r>
            <w:r>
              <w:rPr>
                <w:rFonts w:ascii="宋体" w:hAnsi="宋体" w:eastAsia="宋体" w:cs="宋体"/>
                <w:color w:val="auto"/>
                <w:sz w:val="17"/>
                <w:szCs w:val="17"/>
                <w:highlight w:val="none"/>
              </w:rPr>
              <w:t xml:space="preserve"> </w:t>
            </w:r>
            <w:r>
              <w:rPr>
                <w:rFonts w:ascii="宋体" w:hAnsi="宋体" w:eastAsia="宋体" w:cs="宋体"/>
                <w:color w:val="auto"/>
                <w:spacing w:val="8"/>
                <w:sz w:val="17"/>
                <w:szCs w:val="17"/>
                <w:highlight w:val="none"/>
              </w:rPr>
              <w:t>生</w:t>
            </w:r>
            <w:r>
              <w:rPr>
                <w:rFonts w:ascii="宋体" w:hAnsi="宋体" w:eastAsia="宋体" w:cs="宋体"/>
                <w:color w:val="auto"/>
                <w:spacing w:val="6"/>
                <w:sz w:val="17"/>
                <w:szCs w:val="17"/>
                <w:highlight w:val="none"/>
              </w:rPr>
              <w:t>物</w:t>
            </w:r>
            <w:r>
              <w:rPr>
                <w:rFonts w:ascii="宋体" w:hAnsi="宋体" w:eastAsia="宋体" w:cs="宋体"/>
                <w:color w:val="auto"/>
                <w:spacing w:val="4"/>
                <w:sz w:val="17"/>
                <w:szCs w:val="17"/>
                <w:highlight w:val="none"/>
              </w:rPr>
              <w:t>入侵风险</w:t>
            </w:r>
            <w:r>
              <w:rPr>
                <w:rFonts w:ascii="Calibri" w:hAnsi="Calibri" w:eastAsia="Calibri" w:cs="Calibri"/>
                <w:color w:val="auto"/>
                <w:spacing w:val="4"/>
                <w:sz w:val="17"/>
                <w:szCs w:val="17"/>
                <w:highlight w:val="none"/>
              </w:rPr>
              <w:t xml:space="preserve">□ </w:t>
            </w:r>
            <w:r>
              <w:rPr>
                <w:rFonts w:ascii="宋体" w:hAnsi="宋体" w:eastAsia="宋体" w:cs="宋体"/>
                <w:color w:val="auto"/>
                <w:spacing w:val="4"/>
                <w:sz w:val="17"/>
                <w:szCs w:val="17"/>
                <w:highlight w:val="none"/>
              </w:rPr>
              <w:t>；其他</w:t>
            </w:r>
            <w:r>
              <w:rPr>
                <w:rFonts w:ascii="Calibri" w:hAnsi="Calibri" w:eastAsia="Calibri" w:cs="Calibri"/>
                <w:color w:val="auto"/>
                <w:spacing w:val="4"/>
                <w:sz w:val="17"/>
                <w:szCs w:val="17"/>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8" w:type="pct"/>
            <w:vMerge w:val="restart"/>
            <w:tcBorders>
              <w:left w:val="single" w:color="000000" w:sz="10" w:space="0"/>
              <w:bottom w:val="nil"/>
            </w:tcBorders>
            <w:vAlign w:val="top"/>
          </w:tcPr>
          <w:p>
            <w:pPr>
              <w:spacing w:line="328" w:lineRule="auto"/>
              <w:rPr>
                <w:rFonts w:ascii="Arial"/>
                <w:color w:val="auto"/>
                <w:sz w:val="21"/>
                <w:highlight w:val="none"/>
              </w:rPr>
            </w:pPr>
          </w:p>
          <w:p>
            <w:pPr>
              <w:spacing w:before="55" w:line="286" w:lineRule="auto"/>
              <w:ind w:left="144" w:right="133" w:firstLine="2"/>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生态保</w:t>
            </w:r>
            <w:r>
              <w:rPr>
                <w:rFonts w:ascii="宋体" w:hAnsi="宋体" w:eastAsia="宋体" w:cs="宋体"/>
                <w:color w:val="auto"/>
                <w:spacing w:val="7"/>
                <w:sz w:val="17"/>
                <w:szCs w:val="17"/>
                <w:highlight w:val="none"/>
              </w:rPr>
              <w:t>护</w:t>
            </w:r>
            <w:r>
              <w:rPr>
                <w:rFonts w:ascii="宋体" w:hAnsi="宋体" w:eastAsia="宋体" w:cs="宋体"/>
                <w:color w:val="auto"/>
                <w:sz w:val="17"/>
                <w:szCs w:val="17"/>
                <w:highlight w:val="none"/>
              </w:rPr>
              <w:t xml:space="preserve"> </w:t>
            </w:r>
            <w:r>
              <w:rPr>
                <w:rFonts w:ascii="宋体" w:hAnsi="宋体" w:eastAsia="宋体" w:cs="宋体"/>
                <w:color w:val="auto"/>
                <w:spacing w:val="9"/>
                <w:sz w:val="17"/>
                <w:szCs w:val="17"/>
                <w:highlight w:val="none"/>
              </w:rPr>
              <w:t>对</w:t>
            </w:r>
            <w:r>
              <w:rPr>
                <w:rFonts w:ascii="宋体" w:hAnsi="宋体" w:eastAsia="宋体" w:cs="宋体"/>
                <w:color w:val="auto"/>
                <w:spacing w:val="8"/>
                <w:sz w:val="17"/>
                <w:szCs w:val="17"/>
                <w:highlight w:val="none"/>
              </w:rPr>
              <w:t>策措施</w:t>
            </w:r>
          </w:p>
        </w:tc>
        <w:tc>
          <w:tcPr>
            <w:tcW w:w="751" w:type="pct"/>
            <w:vAlign w:val="top"/>
          </w:tcPr>
          <w:p>
            <w:pPr>
              <w:spacing w:before="70" w:line="231" w:lineRule="auto"/>
              <w:ind w:left="352"/>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对</w:t>
            </w:r>
            <w:r>
              <w:rPr>
                <w:rFonts w:ascii="宋体" w:hAnsi="宋体" w:eastAsia="宋体" w:cs="宋体"/>
                <w:color w:val="auto"/>
                <w:spacing w:val="8"/>
                <w:sz w:val="17"/>
                <w:szCs w:val="17"/>
                <w:highlight w:val="none"/>
              </w:rPr>
              <w:t>策措施</w:t>
            </w:r>
          </w:p>
        </w:tc>
        <w:tc>
          <w:tcPr>
            <w:tcW w:w="3710" w:type="pct"/>
            <w:tcBorders>
              <w:right w:val="single" w:color="000000" w:sz="10" w:space="0"/>
            </w:tcBorders>
            <w:vAlign w:val="top"/>
          </w:tcPr>
          <w:p>
            <w:pPr>
              <w:spacing w:before="70" w:line="194" w:lineRule="auto"/>
              <w:ind w:left="2"/>
              <w:rPr>
                <w:rFonts w:ascii="Calibri" w:hAnsi="Calibri" w:eastAsia="Calibri" w:cs="Calibri"/>
                <w:color w:val="auto"/>
                <w:sz w:val="17"/>
                <w:szCs w:val="17"/>
                <w:highlight w:val="none"/>
              </w:rPr>
            </w:pPr>
            <w:r>
              <w:rPr>
                <w:rFonts w:ascii="宋体" w:hAnsi="宋体" w:eastAsia="宋体" w:cs="宋体"/>
                <w:color w:val="auto"/>
                <w:spacing w:val="4"/>
                <w:sz w:val="17"/>
                <w:szCs w:val="17"/>
                <w:highlight w:val="none"/>
              </w:rPr>
              <w:t>避让</w:t>
            </w:r>
            <w:r>
              <w:rPr>
                <w:rFonts w:ascii="微软雅黑" w:hAnsi="微软雅黑" w:eastAsia="微软雅黑" w:cs="微软雅黑"/>
                <w:color w:val="auto"/>
                <w:spacing w:val="4"/>
                <w:sz w:val="17"/>
                <w:szCs w:val="17"/>
                <w:highlight w:val="none"/>
              </w:rPr>
              <w:sym w:font="Wingdings 2" w:char="00A3"/>
            </w:r>
            <w:r>
              <w:rPr>
                <w:rFonts w:ascii="宋体" w:hAnsi="宋体" w:eastAsia="宋体" w:cs="宋体"/>
                <w:color w:val="auto"/>
                <w:spacing w:val="4"/>
                <w:sz w:val="17"/>
                <w:szCs w:val="17"/>
                <w:highlight w:val="none"/>
              </w:rPr>
              <w:t>；减缓</w:t>
            </w:r>
            <w:r>
              <w:rPr>
                <w:rFonts w:ascii="微软雅黑" w:hAnsi="微软雅黑" w:eastAsia="微软雅黑" w:cs="微软雅黑"/>
                <w:color w:val="auto"/>
                <w:spacing w:val="4"/>
                <w:sz w:val="17"/>
                <w:szCs w:val="17"/>
                <w:highlight w:val="none"/>
              </w:rPr>
              <w:sym w:font="Wingdings 2" w:char="0052"/>
            </w:r>
            <w:r>
              <w:rPr>
                <w:rFonts w:ascii="宋体" w:hAnsi="宋体" w:eastAsia="宋体" w:cs="宋体"/>
                <w:color w:val="auto"/>
                <w:spacing w:val="4"/>
                <w:sz w:val="17"/>
                <w:szCs w:val="17"/>
                <w:highlight w:val="none"/>
              </w:rPr>
              <w:t>；生态修复</w:t>
            </w:r>
            <w:r>
              <w:rPr>
                <w:rFonts w:ascii="微软雅黑" w:hAnsi="微软雅黑" w:eastAsia="微软雅黑" w:cs="微软雅黑"/>
                <w:color w:val="auto"/>
                <w:spacing w:val="4"/>
                <w:sz w:val="17"/>
                <w:szCs w:val="17"/>
                <w:highlight w:val="none"/>
              </w:rPr>
              <w:sym w:font="Wingdings 2" w:char="00A3"/>
            </w:r>
            <w:r>
              <w:rPr>
                <w:rFonts w:ascii="宋体" w:hAnsi="宋体" w:eastAsia="宋体" w:cs="宋体"/>
                <w:color w:val="auto"/>
                <w:spacing w:val="4"/>
                <w:sz w:val="17"/>
                <w:szCs w:val="17"/>
                <w:highlight w:val="none"/>
              </w:rPr>
              <w:t>；生态补偿</w:t>
            </w:r>
            <w:r>
              <w:rPr>
                <w:rFonts w:ascii="Calibri" w:hAnsi="Calibri" w:eastAsia="Calibri" w:cs="Calibri"/>
                <w:color w:val="auto"/>
                <w:spacing w:val="4"/>
                <w:sz w:val="17"/>
                <w:szCs w:val="17"/>
                <w:highlight w:val="none"/>
              </w:rPr>
              <w:t xml:space="preserve">□ </w:t>
            </w:r>
            <w:r>
              <w:rPr>
                <w:rFonts w:ascii="宋体" w:hAnsi="宋体" w:eastAsia="宋体" w:cs="宋体"/>
                <w:color w:val="auto"/>
                <w:spacing w:val="4"/>
                <w:sz w:val="17"/>
                <w:szCs w:val="17"/>
                <w:highlight w:val="none"/>
              </w:rPr>
              <w:t>；科研</w:t>
            </w:r>
            <w:r>
              <w:rPr>
                <w:rFonts w:ascii="Calibri" w:hAnsi="Calibri" w:eastAsia="Calibri" w:cs="Calibri"/>
                <w:color w:val="auto"/>
                <w:spacing w:val="4"/>
                <w:sz w:val="17"/>
                <w:szCs w:val="17"/>
                <w:highlight w:val="none"/>
              </w:rPr>
              <w:t xml:space="preserve">□ </w:t>
            </w:r>
            <w:r>
              <w:rPr>
                <w:rFonts w:ascii="宋体" w:hAnsi="宋体" w:eastAsia="宋体" w:cs="宋体"/>
                <w:color w:val="auto"/>
                <w:spacing w:val="4"/>
                <w:sz w:val="17"/>
                <w:szCs w:val="17"/>
                <w:highlight w:val="none"/>
              </w:rPr>
              <w:t>；其他</w:t>
            </w:r>
            <w:r>
              <w:rPr>
                <w:rFonts w:ascii="Calibri" w:hAnsi="Calibri" w:eastAsia="Calibri" w:cs="Calibri"/>
                <w:color w:val="auto"/>
                <w:spacing w:val="2"/>
                <w:sz w:val="17"/>
                <w:szCs w:val="17"/>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538" w:type="pct"/>
            <w:vMerge w:val="continue"/>
            <w:tcBorders>
              <w:top w:val="nil"/>
              <w:left w:val="single" w:color="000000" w:sz="10" w:space="0"/>
              <w:bottom w:val="nil"/>
            </w:tcBorders>
            <w:vAlign w:val="top"/>
          </w:tcPr>
          <w:p>
            <w:pPr>
              <w:rPr>
                <w:rFonts w:ascii="Arial"/>
                <w:color w:val="auto"/>
                <w:sz w:val="21"/>
                <w:highlight w:val="none"/>
              </w:rPr>
            </w:pPr>
          </w:p>
        </w:tc>
        <w:tc>
          <w:tcPr>
            <w:tcW w:w="751" w:type="pct"/>
            <w:vAlign w:val="top"/>
          </w:tcPr>
          <w:p>
            <w:pPr>
              <w:spacing w:before="103" w:line="232" w:lineRule="auto"/>
              <w:ind w:left="174"/>
              <w:rPr>
                <w:rFonts w:ascii="宋体" w:hAnsi="宋体" w:eastAsia="宋体" w:cs="宋体"/>
                <w:color w:val="auto"/>
                <w:sz w:val="17"/>
                <w:szCs w:val="17"/>
                <w:highlight w:val="none"/>
              </w:rPr>
            </w:pPr>
            <w:r>
              <w:rPr>
                <w:rFonts w:ascii="宋体" w:hAnsi="宋体" w:eastAsia="宋体" w:cs="宋体"/>
                <w:color w:val="auto"/>
                <w:spacing w:val="11"/>
                <w:sz w:val="17"/>
                <w:szCs w:val="17"/>
                <w:highlight w:val="none"/>
              </w:rPr>
              <w:t>生</w:t>
            </w:r>
            <w:r>
              <w:rPr>
                <w:rFonts w:ascii="宋体" w:hAnsi="宋体" w:eastAsia="宋体" w:cs="宋体"/>
                <w:color w:val="auto"/>
                <w:spacing w:val="8"/>
                <w:sz w:val="17"/>
                <w:szCs w:val="17"/>
                <w:highlight w:val="none"/>
              </w:rPr>
              <w:t>态监测计划</w:t>
            </w:r>
          </w:p>
        </w:tc>
        <w:tc>
          <w:tcPr>
            <w:tcW w:w="3710" w:type="pct"/>
            <w:tcBorders>
              <w:right w:val="single" w:color="000000" w:sz="10" w:space="0"/>
            </w:tcBorders>
            <w:vAlign w:val="top"/>
          </w:tcPr>
          <w:p>
            <w:pPr>
              <w:spacing w:before="103" w:line="194" w:lineRule="auto"/>
              <w:ind w:left="4"/>
              <w:rPr>
                <w:rFonts w:ascii="Calibri" w:hAnsi="Calibri" w:eastAsia="Calibri" w:cs="Calibri"/>
                <w:color w:val="auto"/>
                <w:sz w:val="17"/>
                <w:szCs w:val="17"/>
                <w:highlight w:val="none"/>
              </w:rPr>
            </w:pPr>
            <w:r>
              <w:rPr>
                <w:rFonts w:ascii="宋体" w:hAnsi="宋体" w:eastAsia="宋体" w:cs="宋体"/>
                <w:color w:val="auto"/>
                <w:spacing w:val="4"/>
                <w:sz w:val="17"/>
                <w:szCs w:val="17"/>
                <w:highlight w:val="none"/>
              </w:rPr>
              <w:t>全生命周期</w:t>
            </w:r>
            <w:r>
              <w:rPr>
                <w:rFonts w:ascii="Calibri" w:hAnsi="Calibri" w:eastAsia="Calibri" w:cs="Calibri"/>
                <w:color w:val="auto"/>
                <w:spacing w:val="4"/>
                <w:sz w:val="17"/>
                <w:szCs w:val="17"/>
                <w:highlight w:val="none"/>
              </w:rPr>
              <w:t xml:space="preserve">□ </w:t>
            </w:r>
            <w:r>
              <w:rPr>
                <w:rFonts w:ascii="宋体" w:hAnsi="宋体" w:eastAsia="宋体" w:cs="宋体"/>
                <w:color w:val="auto"/>
                <w:spacing w:val="4"/>
                <w:sz w:val="17"/>
                <w:szCs w:val="17"/>
                <w:highlight w:val="none"/>
              </w:rPr>
              <w:t>；长期跟踪</w:t>
            </w:r>
            <w:r>
              <w:rPr>
                <w:rFonts w:ascii="Calibri" w:hAnsi="Calibri" w:eastAsia="Calibri" w:cs="Calibri"/>
                <w:color w:val="auto"/>
                <w:spacing w:val="4"/>
                <w:sz w:val="17"/>
                <w:szCs w:val="17"/>
                <w:highlight w:val="none"/>
              </w:rPr>
              <w:t xml:space="preserve">□ </w:t>
            </w:r>
            <w:r>
              <w:rPr>
                <w:rFonts w:ascii="宋体" w:hAnsi="宋体" w:eastAsia="宋体" w:cs="宋体"/>
                <w:color w:val="auto"/>
                <w:spacing w:val="4"/>
                <w:sz w:val="17"/>
                <w:szCs w:val="17"/>
                <w:highlight w:val="none"/>
              </w:rPr>
              <w:t>；常规</w:t>
            </w:r>
            <w:r>
              <w:rPr>
                <w:rFonts w:ascii="微软雅黑" w:hAnsi="微软雅黑" w:eastAsia="微软雅黑" w:cs="微软雅黑"/>
                <w:color w:val="auto"/>
                <w:spacing w:val="4"/>
                <w:sz w:val="17"/>
                <w:szCs w:val="17"/>
                <w:highlight w:val="none"/>
              </w:rPr>
              <w:t>□</w:t>
            </w:r>
            <w:r>
              <w:rPr>
                <w:rFonts w:ascii="宋体" w:hAnsi="宋体" w:eastAsia="宋体" w:cs="宋体"/>
                <w:color w:val="auto"/>
                <w:spacing w:val="4"/>
                <w:sz w:val="17"/>
                <w:szCs w:val="17"/>
                <w:highlight w:val="none"/>
              </w:rPr>
              <w:t>；无</w:t>
            </w:r>
            <w:r>
              <w:rPr>
                <w:rFonts w:ascii="Calibri" w:hAnsi="Calibri" w:eastAsia="Calibri" w:cs="Calibri"/>
                <w:color w:val="auto"/>
                <w:sz w:val="17"/>
                <w:szCs w:val="17"/>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538" w:type="pct"/>
            <w:vMerge w:val="continue"/>
            <w:tcBorders>
              <w:top w:val="nil"/>
              <w:left w:val="single" w:color="000000" w:sz="10" w:space="0"/>
            </w:tcBorders>
            <w:vAlign w:val="top"/>
          </w:tcPr>
          <w:p>
            <w:pPr>
              <w:rPr>
                <w:rFonts w:ascii="Arial"/>
                <w:color w:val="auto"/>
                <w:sz w:val="21"/>
                <w:highlight w:val="none"/>
              </w:rPr>
            </w:pPr>
          </w:p>
        </w:tc>
        <w:tc>
          <w:tcPr>
            <w:tcW w:w="751" w:type="pct"/>
            <w:vAlign w:val="top"/>
          </w:tcPr>
          <w:p>
            <w:pPr>
              <w:spacing w:before="70" w:line="230" w:lineRule="auto"/>
              <w:ind w:left="353"/>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环境管理</w:t>
            </w:r>
          </w:p>
        </w:tc>
        <w:tc>
          <w:tcPr>
            <w:tcW w:w="3710" w:type="pct"/>
            <w:tcBorders>
              <w:right w:val="single" w:color="000000" w:sz="10" w:space="0"/>
            </w:tcBorders>
            <w:vAlign w:val="top"/>
          </w:tcPr>
          <w:p>
            <w:pPr>
              <w:spacing w:before="70" w:line="194" w:lineRule="auto"/>
              <w:ind w:left="4"/>
              <w:rPr>
                <w:rFonts w:ascii="微软雅黑" w:hAnsi="微软雅黑" w:eastAsia="微软雅黑" w:cs="微软雅黑"/>
                <w:color w:val="auto"/>
                <w:sz w:val="17"/>
                <w:szCs w:val="17"/>
                <w:highlight w:val="none"/>
              </w:rPr>
            </w:pPr>
            <w:r>
              <w:rPr>
                <w:rFonts w:ascii="宋体" w:hAnsi="宋体" w:eastAsia="宋体" w:cs="宋体"/>
                <w:color w:val="auto"/>
                <w:spacing w:val="4"/>
                <w:sz w:val="17"/>
                <w:szCs w:val="17"/>
                <w:highlight w:val="none"/>
              </w:rPr>
              <w:t>环境监理</w:t>
            </w:r>
            <w:r>
              <w:rPr>
                <w:rFonts w:ascii="Calibri" w:hAnsi="Calibri" w:eastAsia="Calibri" w:cs="Calibri"/>
                <w:color w:val="auto"/>
                <w:spacing w:val="4"/>
                <w:sz w:val="17"/>
                <w:szCs w:val="17"/>
                <w:highlight w:val="none"/>
              </w:rPr>
              <w:t xml:space="preserve">□ </w:t>
            </w:r>
            <w:r>
              <w:rPr>
                <w:rFonts w:ascii="宋体" w:hAnsi="宋体" w:eastAsia="宋体" w:cs="宋体"/>
                <w:color w:val="auto"/>
                <w:spacing w:val="4"/>
                <w:sz w:val="17"/>
                <w:szCs w:val="17"/>
                <w:highlight w:val="none"/>
              </w:rPr>
              <w:t>；环境影响后评价</w:t>
            </w:r>
            <w:r>
              <w:rPr>
                <w:rFonts w:ascii="Calibri" w:hAnsi="Calibri" w:eastAsia="Calibri" w:cs="Calibri"/>
                <w:color w:val="auto"/>
                <w:spacing w:val="4"/>
                <w:sz w:val="17"/>
                <w:szCs w:val="17"/>
                <w:highlight w:val="none"/>
              </w:rPr>
              <w:t xml:space="preserve">□ </w:t>
            </w:r>
            <w:r>
              <w:rPr>
                <w:rFonts w:ascii="宋体" w:hAnsi="宋体" w:eastAsia="宋体" w:cs="宋体"/>
                <w:color w:val="auto"/>
                <w:spacing w:val="4"/>
                <w:sz w:val="17"/>
                <w:szCs w:val="17"/>
                <w:highlight w:val="none"/>
              </w:rPr>
              <w:t>；其他</w:t>
            </w:r>
            <w:r>
              <w:rPr>
                <w:rFonts w:ascii="微软雅黑" w:hAnsi="微软雅黑" w:eastAsia="微软雅黑" w:cs="微软雅黑"/>
                <w:color w:val="auto"/>
                <w:sz w:val="17"/>
                <w:szCs w:val="17"/>
                <w:highlight w:val="none"/>
              </w:rPr>
              <w:sym w:font="Wingdings 2" w:char="0052"/>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38" w:type="pct"/>
            <w:tcBorders>
              <w:left w:val="single" w:color="000000" w:sz="10" w:space="0"/>
            </w:tcBorders>
            <w:vAlign w:val="top"/>
          </w:tcPr>
          <w:p>
            <w:pPr>
              <w:spacing w:before="69" w:line="229" w:lineRule="auto"/>
              <w:ind w:left="144"/>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评</w:t>
            </w:r>
            <w:r>
              <w:rPr>
                <w:rFonts w:ascii="宋体" w:hAnsi="宋体" w:eastAsia="宋体" w:cs="宋体"/>
                <w:color w:val="auto"/>
                <w:spacing w:val="8"/>
                <w:sz w:val="17"/>
                <w:szCs w:val="17"/>
                <w:highlight w:val="none"/>
              </w:rPr>
              <w:t>价结论</w:t>
            </w:r>
          </w:p>
        </w:tc>
        <w:tc>
          <w:tcPr>
            <w:tcW w:w="751" w:type="pct"/>
            <w:vAlign w:val="top"/>
          </w:tcPr>
          <w:p>
            <w:pPr>
              <w:spacing w:before="70" w:line="232" w:lineRule="auto"/>
              <w:ind w:left="354"/>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生态影</w:t>
            </w:r>
            <w:r>
              <w:rPr>
                <w:rFonts w:ascii="宋体" w:hAnsi="宋体" w:eastAsia="宋体" w:cs="宋体"/>
                <w:color w:val="auto"/>
                <w:spacing w:val="7"/>
                <w:sz w:val="17"/>
                <w:szCs w:val="17"/>
                <w:highlight w:val="none"/>
              </w:rPr>
              <w:t>响</w:t>
            </w:r>
          </w:p>
        </w:tc>
        <w:tc>
          <w:tcPr>
            <w:tcW w:w="3710" w:type="pct"/>
            <w:tcBorders>
              <w:right w:val="single" w:color="000000" w:sz="10" w:space="0"/>
            </w:tcBorders>
            <w:vAlign w:val="top"/>
          </w:tcPr>
          <w:p>
            <w:pPr>
              <w:spacing w:before="70" w:line="194" w:lineRule="auto"/>
              <w:ind w:left="5"/>
              <w:rPr>
                <w:rFonts w:ascii="Calibri" w:hAnsi="Calibri" w:eastAsia="Calibri" w:cs="Calibri"/>
                <w:color w:val="auto"/>
                <w:sz w:val="17"/>
                <w:szCs w:val="17"/>
                <w:highlight w:val="none"/>
              </w:rPr>
            </w:pPr>
            <w:r>
              <w:rPr>
                <w:rFonts w:ascii="宋体" w:hAnsi="宋体" w:eastAsia="宋体" w:cs="宋体"/>
                <w:color w:val="auto"/>
                <w:spacing w:val="6"/>
                <w:sz w:val="17"/>
                <w:szCs w:val="17"/>
                <w:highlight w:val="none"/>
              </w:rPr>
              <w:t>可行</w:t>
            </w:r>
            <w:r>
              <w:rPr>
                <w:rFonts w:ascii="微软雅黑" w:hAnsi="微软雅黑" w:eastAsia="微软雅黑" w:cs="微软雅黑"/>
                <w:color w:val="auto"/>
                <w:spacing w:val="6"/>
                <w:sz w:val="17"/>
                <w:szCs w:val="17"/>
                <w:highlight w:val="none"/>
              </w:rPr>
              <w:t>□</w:t>
            </w:r>
            <w:r>
              <w:rPr>
                <w:rFonts w:ascii="宋体" w:hAnsi="宋体" w:eastAsia="宋体" w:cs="宋体"/>
                <w:color w:val="auto"/>
                <w:spacing w:val="6"/>
                <w:sz w:val="17"/>
                <w:szCs w:val="17"/>
                <w:highlight w:val="none"/>
              </w:rPr>
              <w:t>；不可行</w:t>
            </w:r>
            <w:r>
              <w:rPr>
                <w:rFonts w:ascii="Calibri" w:hAnsi="Calibri" w:eastAsia="Calibri" w:cs="Calibri"/>
                <w:color w:val="auto"/>
                <w:spacing w:val="6"/>
                <w:sz w:val="17"/>
                <w:szCs w:val="17"/>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5000" w:type="pct"/>
            <w:gridSpan w:val="3"/>
            <w:tcBorders>
              <w:left w:val="single" w:color="000000" w:sz="10" w:space="0"/>
              <w:right w:val="single" w:color="000000" w:sz="10" w:space="0"/>
            </w:tcBorders>
            <w:vAlign w:val="top"/>
          </w:tcPr>
          <w:p>
            <w:pPr>
              <w:spacing w:before="76" w:line="241" w:lineRule="exact"/>
              <w:ind w:left="116"/>
              <w:rPr>
                <w:rFonts w:ascii="宋体" w:hAnsi="宋体" w:eastAsia="宋体" w:cs="宋体"/>
                <w:color w:val="auto"/>
                <w:sz w:val="17"/>
                <w:szCs w:val="17"/>
                <w:highlight w:val="none"/>
              </w:rPr>
            </w:pPr>
            <w:r>
              <w:rPr>
                <w:rFonts w:ascii="宋体" w:hAnsi="宋体" w:eastAsia="宋体" w:cs="宋体"/>
                <w:color w:val="auto"/>
                <w:spacing w:val="-6"/>
                <w:position w:val="1"/>
                <w:sz w:val="17"/>
                <w:szCs w:val="17"/>
                <w:highlight w:val="none"/>
              </w:rPr>
              <w:t xml:space="preserve">注：  </w:t>
            </w:r>
            <w:r>
              <w:rPr>
                <w:rFonts w:ascii="Calibri" w:hAnsi="Calibri" w:eastAsia="Calibri" w:cs="Calibri"/>
                <w:color w:val="auto"/>
                <w:spacing w:val="-6"/>
                <w:position w:val="1"/>
                <w:sz w:val="17"/>
                <w:szCs w:val="17"/>
                <w:highlight w:val="none"/>
              </w:rPr>
              <w:t>“</w:t>
            </w:r>
            <w:r>
              <w:rPr>
                <w:rFonts w:ascii="Calibri" w:hAnsi="Calibri" w:eastAsia="Calibri" w:cs="Calibri"/>
                <w:color w:val="auto"/>
                <w:spacing w:val="-4"/>
                <w:position w:val="1"/>
                <w:sz w:val="17"/>
                <w:szCs w:val="17"/>
                <w:highlight w:val="none"/>
              </w:rPr>
              <w:t>□</w:t>
            </w:r>
            <w:r>
              <w:rPr>
                <w:rFonts w:ascii="Calibri" w:hAnsi="Calibri" w:eastAsia="Calibri" w:cs="Calibri"/>
                <w:color w:val="auto"/>
                <w:spacing w:val="-3"/>
                <w:position w:val="1"/>
                <w:sz w:val="17"/>
                <w:szCs w:val="17"/>
                <w:highlight w:val="none"/>
              </w:rPr>
              <w:t xml:space="preserve">”  </w:t>
            </w:r>
            <w:r>
              <w:rPr>
                <w:rFonts w:ascii="宋体" w:hAnsi="宋体" w:eastAsia="宋体" w:cs="宋体"/>
                <w:color w:val="auto"/>
                <w:spacing w:val="-3"/>
                <w:position w:val="1"/>
                <w:sz w:val="17"/>
                <w:szCs w:val="17"/>
                <w:highlight w:val="none"/>
              </w:rPr>
              <w:t>为勾选项 ，可</w:t>
            </w:r>
            <w:r>
              <w:rPr>
                <w:rFonts w:ascii="Calibri" w:hAnsi="Calibri" w:eastAsia="Calibri" w:cs="Calibri"/>
                <w:color w:val="auto"/>
                <w:spacing w:val="-3"/>
                <w:position w:val="1"/>
                <w:sz w:val="17"/>
                <w:szCs w:val="17"/>
                <w:highlight w:val="none"/>
              </w:rPr>
              <w:t>√  “</w:t>
            </w:r>
            <w:r>
              <w:rPr>
                <w:rFonts w:ascii="宋体" w:hAnsi="宋体" w:eastAsia="宋体" w:cs="宋体"/>
                <w:color w:val="auto"/>
                <w:spacing w:val="-3"/>
                <w:position w:val="1"/>
                <w:sz w:val="17"/>
                <w:szCs w:val="17"/>
                <w:highlight w:val="none"/>
              </w:rPr>
              <w:t xml:space="preserve">；(          </w:t>
            </w:r>
            <w:r>
              <w:rPr>
                <w:rFonts w:ascii="Calibri" w:hAnsi="Calibri" w:eastAsia="Calibri" w:cs="Calibri"/>
                <w:color w:val="auto"/>
                <w:spacing w:val="-3"/>
                <w:position w:val="1"/>
                <w:sz w:val="17"/>
                <w:szCs w:val="17"/>
                <w:highlight w:val="none"/>
              </w:rPr>
              <w:t>”</w:t>
            </w:r>
            <w:r>
              <w:rPr>
                <w:rFonts w:ascii="宋体" w:hAnsi="宋体" w:eastAsia="宋体" w:cs="宋体"/>
                <w:color w:val="auto"/>
                <w:spacing w:val="-3"/>
                <w:position w:val="1"/>
                <w:sz w:val="17"/>
                <w:szCs w:val="17"/>
                <w:highlight w:val="none"/>
              </w:rPr>
              <w:t>) 为内容填写项。</w:t>
            </w:r>
          </w:p>
        </w:tc>
      </w:tr>
    </w:tbl>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77" w:name="_Toc5407"/>
      <w:bookmarkStart w:id="78" w:name="_Toc2608"/>
      <w:r>
        <w:rPr>
          <w:rFonts w:hint="eastAsia" w:ascii="Times New Roman" w:hAnsi="Times New Roman" w:eastAsia="宋体" w:cs="Times New Roman"/>
          <w:snapToGrid/>
          <w:sz w:val="32"/>
          <w:lang w:val="en-US" w:eastAsia="zh-CN" w:bidi="ar-SA"/>
        </w:rPr>
        <w:t>5.2  声环境影响分析</w:t>
      </w:r>
      <w:bookmarkEnd w:id="77"/>
      <w:bookmarkEnd w:id="78"/>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79" w:name="_bookmark113"/>
      <w:bookmarkEnd w:id="79"/>
      <w:bookmarkStart w:id="80" w:name="_Toc17244"/>
      <w:r>
        <w:rPr>
          <w:rFonts w:hint="eastAsia" w:ascii="Times New Roman" w:hAnsi="Times New Roman" w:eastAsia="宋体" w:cs="Times New Roman"/>
          <w:snapToGrid/>
          <w:kern w:val="0"/>
          <w:sz w:val="24"/>
          <w:szCs w:val="24"/>
          <w:highlight w:val="none"/>
          <w:lang w:val="en-US" w:eastAsia="zh-CN" w:bidi="ar"/>
        </w:rPr>
        <w:t>5.2.1  500kV 汇集站</w:t>
      </w:r>
      <w:bookmarkEnd w:id="80"/>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81" w:name="_Toc12070"/>
      <w:r>
        <w:rPr>
          <w:rFonts w:hint="eastAsia" w:ascii="Times New Roman" w:hAnsi="Times New Roman" w:eastAsia="宋体" w:cs="Times New Roman"/>
          <w:snapToGrid/>
          <w:kern w:val="0"/>
          <w:sz w:val="24"/>
          <w:szCs w:val="24"/>
          <w:highlight w:val="none"/>
          <w:lang w:val="en-US" w:eastAsia="zh-CN" w:bidi="ar"/>
        </w:rPr>
        <w:t>（1）噪声源</w:t>
      </w:r>
      <w:bookmarkEnd w:id="81"/>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项目建设期间，不同施工阶段使用不同的施工机械设备，主要产噪施工机械有挖掘 机、推土机和混凝土搅拌机等，大多属于高噪声设备。根据 HJ2034-2013《环境噪声与 振动控制工程技术导则》，噪声源强处于73dB(A)~ 103dB(A)之间。</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82" w:name="_Toc26872"/>
      <w:r>
        <w:rPr>
          <w:rFonts w:hint="eastAsia" w:ascii="Times New Roman" w:hAnsi="Times New Roman" w:eastAsia="宋体" w:cs="Times New Roman"/>
          <w:snapToGrid/>
          <w:kern w:val="0"/>
          <w:sz w:val="24"/>
          <w:szCs w:val="24"/>
          <w:highlight w:val="none"/>
          <w:lang w:val="en-US" w:eastAsia="zh-CN" w:bidi="ar"/>
        </w:rPr>
        <w:t>（2）影响分析</w:t>
      </w:r>
      <w:bookmarkEnd w:id="82"/>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根据类比调查，主要噪声源及声级列于表中。建设建设期一般为露天作业，而且场 地内设备大多属于移动声源，要准确预测施工场地各厂界噪声值较困难，因此本评价只 预测各噪声源单独作用时的超标范围，详见表 5.2- 1  (建设期场界噪声限值要求执行 GB12523-2011《建筑施工场界环境噪声排放标准》) 。</w:t>
      </w:r>
    </w:p>
    <w:p>
      <w:pPr>
        <w:spacing w:before="104" w:line="229" w:lineRule="auto"/>
        <w:ind w:left="1700"/>
        <w:rPr>
          <w:rFonts w:ascii="黑体" w:hAnsi="黑体" w:eastAsia="黑体" w:cs="黑体"/>
          <w:color w:val="auto"/>
          <w:sz w:val="23"/>
          <w:szCs w:val="23"/>
          <w:highlight w:val="none"/>
        </w:rPr>
      </w:pPr>
      <w:r>
        <w:rPr>
          <w:rFonts w:ascii="黑体" w:hAnsi="黑体" w:eastAsia="黑体" w:cs="黑体"/>
          <w:color w:val="auto"/>
          <w:spacing w:val="6"/>
          <w:sz w:val="23"/>
          <w:szCs w:val="23"/>
          <w:highlight w:val="none"/>
        </w:rPr>
        <w:t>表 5.2-1    施工机械环境噪声源及噪声影响预测结果</w:t>
      </w:r>
      <w:r>
        <w:rPr>
          <w:rFonts w:ascii="黑体" w:hAnsi="黑体" w:eastAsia="黑体" w:cs="黑体"/>
          <w:color w:val="auto"/>
          <w:spacing w:val="2"/>
          <w:sz w:val="23"/>
          <w:szCs w:val="23"/>
          <w:highlight w:val="none"/>
        </w:rPr>
        <w:t>表</w:t>
      </w:r>
    </w:p>
    <w:p>
      <w:pPr>
        <w:spacing w:line="147" w:lineRule="exact"/>
        <w:rPr>
          <w:color w:val="auto"/>
          <w:highlight w:val="none"/>
        </w:rPr>
      </w:pPr>
    </w:p>
    <w:tbl>
      <w:tblPr>
        <w:tblStyle w:val="20"/>
        <w:tblW w:w="907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86"/>
        <w:gridCol w:w="1171"/>
        <w:gridCol w:w="1384"/>
        <w:gridCol w:w="1503"/>
        <w:gridCol w:w="1060"/>
        <w:gridCol w:w="978"/>
        <w:gridCol w:w="10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1886" w:type="dxa"/>
            <w:vMerge w:val="restart"/>
            <w:tcBorders>
              <w:left w:val="single" w:color="000000" w:sz="10" w:space="0"/>
              <w:bottom w:val="nil"/>
            </w:tcBorders>
            <w:vAlign w:val="top"/>
          </w:tcPr>
          <w:p>
            <w:pPr>
              <w:spacing w:line="257" w:lineRule="auto"/>
              <w:rPr>
                <w:rFonts w:ascii="Arial"/>
                <w:color w:val="auto"/>
                <w:sz w:val="21"/>
                <w:highlight w:val="none"/>
              </w:rPr>
            </w:pPr>
          </w:p>
          <w:p>
            <w:pPr>
              <w:spacing w:before="65" w:line="229" w:lineRule="auto"/>
              <w:ind w:left="517"/>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14:textOutline w14:w="3795" w14:cap="sq" w14:cmpd="sng">
                  <w14:solidFill>
                    <w14:srgbClr w14:val="000000"/>
                  </w14:solidFill>
                  <w14:prstDash w14:val="solid"/>
                  <w14:bevel/>
                </w14:textOutline>
              </w:rPr>
              <w:t>设</w:t>
            </w:r>
            <w:r>
              <w:rPr>
                <w:rFonts w:ascii="宋体" w:hAnsi="宋体" w:eastAsia="宋体" w:cs="宋体"/>
                <w:color w:val="auto"/>
                <w:spacing w:val="7"/>
                <w:sz w:val="20"/>
                <w:szCs w:val="20"/>
                <w:highlight w:val="none"/>
                <w14:textOutline w14:w="3795" w14:cap="sq" w14:cmpd="sng">
                  <w14:solidFill>
                    <w14:srgbClr w14:val="000000"/>
                  </w14:solidFill>
                  <w14:prstDash w14:val="solid"/>
                  <w14:bevel/>
                </w14:textOutline>
              </w:rPr>
              <w:t>备名称</w:t>
            </w:r>
          </w:p>
        </w:tc>
        <w:tc>
          <w:tcPr>
            <w:tcW w:w="1171" w:type="dxa"/>
            <w:vMerge w:val="restart"/>
            <w:tcBorders>
              <w:bottom w:val="nil"/>
            </w:tcBorders>
            <w:vAlign w:val="top"/>
          </w:tcPr>
          <w:p>
            <w:pPr>
              <w:spacing w:before="286" w:line="290" w:lineRule="exact"/>
              <w:ind w:left="110"/>
              <w:rPr>
                <w:rFonts w:ascii="Calibri" w:hAnsi="Calibri" w:eastAsia="Calibri" w:cs="Calibri"/>
                <w:color w:val="auto"/>
                <w:sz w:val="20"/>
                <w:szCs w:val="20"/>
                <w:highlight w:val="none"/>
              </w:rPr>
            </w:pPr>
            <w:r>
              <w:rPr>
                <w:rFonts w:ascii="宋体" w:hAnsi="宋体" w:eastAsia="宋体" w:cs="宋体"/>
                <w:color w:val="auto"/>
                <w:spacing w:val="-2"/>
                <w:position w:val="2"/>
                <w:sz w:val="20"/>
                <w:szCs w:val="20"/>
                <w:highlight w:val="none"/>
                <w14:textOutline w14:w="3795" w14:cap="sq" w14:cmpd="sng">
                  <w14:solidFill>
                    <w14:srgbClr w14:val="000000"/>
                  </w14:solidFill>
                  <w14:prstDash w14:val="solid"/>
                  <w14:bevel/>
                </w14:textOutline>
              </w:rPr>
              <w:t>声级</w:t>
            </w:r>
            <w:r>
              <w:rPr>
                <w:rFonts w:ascii="宋体" w:hAnsi="宋体" w:eastAsia="宋体" w:cs="宋体"/>
                <w:color w:val="auto"/>
                <w:spacing w:val="-2"/>
                <w:position w:val="2"/>
                <w:sz w:val="20"/>
                <w:szCs w:val="20"/>
                <w:highlight w:val="none"/>
              </w:rPr>
              <w:t xml:space="preserve"> </w:t>
            </w:r>
            <w:r>
              <w:rPr>
                <w:rFonts w:ascii="Calibri" w:hAnsi="Calibri" w:eastAsia="Calibri" w:cs="Calibri"/>
                <w:b/>
                <w:bCs/>
                <w:color w:val="auto"/>
                <w:spacing w:val="-2"/>
                <w:position w:val="2"/>
                <w:sz w:val="20"/>
                <w:szCs w:val="20"/>
                <w:highlight w:val="none"/>
              </w:rPr>
              <w:t>dB(A)</w:t>
            </w:r>
          </w:p>
        </w:tc>
        <w:tc>
          <w:tcPr>
            <w:tcW w:w="1384" w:type="dxa"/>
            <w:vMerge w:val="restart"/>
            <w:tcBorders>
              <w:bottom w:val="nil"/>
            </w:tcBorders>
            <w:vAlign w:val="top"/>
          </w:tcPr>
          <w:p>
            <w:pPr>
              <w:spacing w:before="196" w:line="205" w:lineRule="auto"/>
              <w:ind w:left="168"/>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14:textOutline w14:w="3795" w14:cap="sq" w14:cmpd="sng">
                  <w14:solidFill>
                    <w14:srgbClr w14:val="000000"/>
                  </w14:solidFill>
                  <w14:prstDash w14:val="solid"/>
                  <w14:bevel/>
                </w14:textOutline>
              </w:rPr>
              <w:t>距声源距</w:t>
            </w:r>
            <w:r>
              <w:rPr>
                <w:rFonts w:ascii="宋体" w:hAnsi="宋体" w:eastAsia="宋体" w:cs="宋体"/>
                <w:color w:val="auto"/>
                <w:spacing w:val="8"/>
                <w:sz w:val="20"/>
                <w:szCs w:val="20"/>
                <w:highlight w:val="none"/>
                <w14:textOutline w14:w="3795" w14:cap="sq" w14:cmpd="sng">
                  <w14:solidFill>
                    <w14:srgbClr w14:val="000000"/>
                  </w14:solidFill>
                  <w14:prstDash w14:val="solid"/>
                  <w14:bevel/>
                </w14:textOutline>
              </w:rPr>
              <w:t>离</w:t>
            </w:r>
          </w:p>
          <w:p>
            <w:pPr>
              <w:spacing w:line="290" w:lineRule="exact"/>
              <w:ind w:left="435"/>
              <w:rPr>
                <w:rFonts w:ascii="Calibri" w:hAnsi="Calibri" w:eastAsia="Calibri" w:cs="Calibri"/>
                <w:color w:val="auto"/>
                <w:sz w:val="20"/>
                <w:szCs w:val="20"/>
                <w:highlight w:val="none"/>
              </w:rPr>
            </w:pPr>
            <w:r>
              <w:rPr>
                <w:rFonts w:ascii="Calibri" w:hAnsi="Calibri" w:eastAsia="Calibri" w:cs="Calibri"/>
                <w:b/>
                <w:bCs/>
                <w:color w:val="auto"/>
                <w:position w:val="3"/>
                <w:sz w:val="20"/>
                <w:szCs w:val="20"/>
                <w:highlight w:val="none"/>
              </w:rPr>
              <w:t>r</w:t>
            </w:r>
            <w:r>
              <w:rPr>
                <w:rFonts w:ascii="Calibri" w:hAnsi="Calibri" w:eastAsia="Calibri" w:cs="Calibri"/>
                <w:b/>
                <w:bCs/>
                <w:color w:val="auto"/>
                <w:spacing w:val="5"/>
                <w:position w:val="3"/>
                <w:sz w:val="20"/>
                <w:szCs w:val="20"/>
                <w:highlight w:val="none"/>
              </w:rPr>
              <w:t>1</w:t>
            </w:r>
            <w:r>
              <w:rPr>
                <w:rFonts w:ascii="Calibri" w:hAnsi="Calibri" w:eastAsia="Calibri" w:cs="Calibri"/>
                <w:color w:val="auto"/>
                <w:spacing w:val="4"/>
                <w:position w:val="3"/>
                <w:sz w:val="20"/>
                <w:szCs w:val="20"/>
                <w:highlight w:val="none"/>
              </w:rPr>
              <w:t xml:space="preserve"> </w:t>
            </w:r>
            <w:r>
              <w:rPr>
                <w:rFonts w:ascii="Calibri" w:hAnsi="Calibri" w:eastAsia="Calibri" w:cs="Calibri"/>
                <w:b/>
                <w:bCs/>
                <w:color w:val="auto"/>
                <w:spacing w:val="4"/>
                <w:position w:val="3"/>
                <w:sz w:val="20"/>
                <w:szCs w:val="20"/>
                <w:highlight w:val="none"/>
              </w:rPr>
              <w:t>(</w:t>
            </w:r>
            <w:r>
              <w:rPr>
                <w:rFonts w:ascii="Calibri" w:hAnsi="Calibri" w:eastAsia="Calibri" w:cs="Calibri"/>
                <w:b/>
                <w:bCs/>
                <w:color w:val="auto"/>
                <w:position w:val="3"/>
                <w:sz w:val="20"/>
                <w:szCs w:val="20"/>
                <w:highlight w:val="none"/>
              </w:rPr>
              <w:t>m</w:t>
            </w:r>
            <w:r>
              <w:rPr>
                <w:rFonts w:ascii="Calibri" w:hAnsi="Calibri" w:eastAsia="Calibri" w:cs="Calibri"/>
                <w:b/>
                <w:bCs/>
                <w:color w:val="auto"/>
                <w:spacing w:val="4"/>
                <w:position w:val="3"/>
                <w:sz w:val="20"/>
                <w:szCs w:val="20"/>
                <w:highlight w:val="none"/>
              </w:rPr>
              <w:t>)</w:t>
            </w:r>
          </w:p>
        </w:tc>
        <w:tc>
          <w:tcPr>
            <w:tcW w:w="2563" w:type="dxa"/>
            <w:gridSpan w:val="2"/>
            <w:vAlign w:val="top"/>
          </w:tcPr>
          <w:p>
            <w:pPr>
              <w:spacing w:before="145" w:line="290" w:lineRule="exact"/>
              <w:ind w:left="283"/>
              <w:rPr>
                <w:rFonts w:ascii="Calibri" w:hAnsi="Calibri" w:eastAsia="Calibri" w:cs="Calibri"/>
                <w:color w:val="auto"/>
                <w:sz w:val="20"/>
                <w:szCs w:val="20"/>
                <w:highlight w:val="none"/>
              </w:rPr>
            </w:pPr>
            <w:r>
              <w:rPr>
                <w:rFonts w:ascii="宋体" w:hAnsi="宋体" w:eastAsia="宋体" w:cs="宋体"/>
                <w:color w:val="auto"/>
                <w:spacing w:val="8"/>
                <w:position w:val="2"/>
                <w:sz w:val="20"/>
                <w:szCs w:val="20"/>
                <w:highlight w:val="none"/>
                <w14:textOutline w14:w="3795" w14:cap="sq" w14:cmpd="sng">
                  <w14:solidFill>
                    <w14:srgbClr w14:val="000000"/>
                  </w14:solidFill>
                  <w14:prstDash w14:val="solid"/>
                  <w14:bevel/>
                </w14:textOutline>
              </w:rPr>
              <w:t>建</w:t>
            </w:r>
            <w:r>
              <w:rPr>
                <w:rFonts w:ascii="宋体" w:hAnsi="宋体" w:eastAsia="宋体" w:cs="宋体"/>
                <w:color w:val="auto"/>
                <w:spacing w:val="7"/>
                <w:position w:val="2"/>
                <w:sz w:val="20"/>
                <w:szCs w:val="20"/>
                <w:highlight w:val="none"/>
                <w14:textOutline w14:w="3795" w14:cap="sq" w14:cmpd="sng">
                  <w14:solidFill>
                    <w14:srgbClr w14:val="000000"/>
                  </w14:solidFill>
                  <w14:prstDash w14:val="solid"/>
                  <w14:bevel/>
                </w14:textOutline>
              </w:rPr>
              <w:t>设</w:t>
            </w:r>
            <w:r>
              <w:rPr>
                <w:rFonts w:ascii="宋体" w:hAnsi="宋体" w:eastAsia="宋体" w:cs="宋体"/>
                <w:color w:val="auto"/>
                <w:spacing w:val="4"/>
                <w:position w:val="2"/>
                <w:sz w:val="20"/>
                <w:szCs w:val="20"/>
                <w:highlight w:val="none"/>
                <w14:textOutline w14:w="3795" w14:cap="sq" w14:cmpd="sng">
                  <w14:solidFill>
                    <w14:srgbClr w14:val="000000"/>
                  </w14:solidFill>
                  <w14:prstDash w14:val="solid"/>
                  <w14:bevel/>
                </w14:textOutline>
              </w:rPr>
              <w:t>期评价标准</w:t>
            </w:r>
            <w:r>
              <w:rPr>
                <w:rFonts w:ascii="宋体" w:hAnsi="宋体" w:eastAsia="宋体" w:cs="宋体"/>
                <w:color w:val="auto"/>
                <w:spacing w:val="4"/>
                <w:position w:val="2"/>
                <w:sz w:val="20"/>
                <w:szCs w:val="20"/>
                <w:highlight w:val="none"/>
              </w:rPr>
              <w:t xml:space="preserve"> </w:t>
            </w:r>
            <w:r>
              <w:rPr>
                <w:rFonts w:ascii="Calibri" w:hAnsi="Calibri" w:eastAsia="Calibri" w:cs="Calibri"/>
                <w:b/>
                <w:bCs/>
                <w:color w:val="auto"/>
                <w:position w:val="2"/>
                <w:sz w:val="20"/>
                <w:szCs w:val="20"/>
                <w:highlight w:val="none"/>
              </w:rPr>
              <w:t>dB</w:t>
            </w:r>
            <w:r>
              <w:rPr>
                <w:rFonts w:ascii="Calibri" w:hAnsi="Calibri" w:eastAsia="Calibri" w:cs="Calibri"/>
                <w:b/>
                <w:bCs/>
                <w:color w:val="auto"/>
                <w:spacing w:val="4"/>
                <w:position w:val="2"/>
                <w:sz w:val="20"/>
                <w:szCs w:val="20"/>
                <w:highlight w:val="none"/>
              </w:rPr>
              <w:t>(</w:t>
            </w:r>
            <w:r>
              <w:rPr>
                <w:rFonts w:ascii="Calibri" w:hAnsi="Calibri" w:eastAsia="Calibri" w:cs="Calibri"/>
                <w:b/>
                <w:bCs/>
                <w:color w:val="auto"/>
                <w:position w:val="2"/>
                <w:sz w:val="20"/>
                <w:szCs w:val="20"/>
                <w:highlight w:val="none"/>
              </w:rPr>
              <w:t>A</w:t>
            </w:r>
            <w:r>
              <w:rPr>
                <w:rFonts w:ascii="Calibri" w:hAnsi="Calibri" w:eastAsia="Calibri" w:cs="Calibri"/>
                <w:b/>
                <w:bCs/>
                <w:color w:val="auto"/>
                <w:spacing w:val="4"/>
                <w:position w:val="2"/>
                <w:sz w:val="20"/>
                <w:szCs w:val="20"/>
                <w:highlight w:val="none"/>
              </w:rPr>
              <w:t>)</w:t>
            </w:r>
          </w:p>
        </w:tc>
        <w:tc>
          <w:tcPr>
            <w:tcW w:w="2068" w:type="dxa"/>
            <w:gridSpan w:val="2"/>
            <w:tcBorders>
              <w:right w:val="single" w:color="000000" w:sz="10" w:space="0"/>
            </w:tcBorders>
            <w:vAlign w:val="top"/>
          </w:tcPr>
          <w:p>
            <w:pPr>
              <w:spacing w:before="55" w:line="207" w:lineRule="auto"/>
              <w:ind w:left="198"/>
              <w:rPr>
                <w:rFonts w:ascii="宋体" w:hAnsi="宋体" w:eastAsia="宋体" w:cs="宋体"/>
                <w:color w:val="auto"/>
                <w:sz w:val="20"/>
                <w:szCs w:val="20"/>
                <w:highlight w:val="none"/>
              </w:rPr>
            </w:pPr>
            <w:r>
              <w:rPr>
                <w:rFonts w:ascii="宋体" w:hAnsi="宋体" w:eastAsia="宋体" w:cs="宋体"/>
                <w:color w:val="auto"/>
                <w:spacing w:val="14"/>
                <w:sz w:val="20"/>
                <w:szCs w:val="20"/>
                <w:highlight w:val="none"/>
                <w14:textOutline w14:w="3795" w14:cap="sq" w14:cmpd="sng">
                  <w14:solidFill>
                    <w14:srgbClr w14:val="000000"/>
                  </w14:solidFill>
                  <w14:prstDash w14:val="solid"/>
                  <w14:bevel/>
                </w14:textOutline>
              </w:rPr>
              <w:t>施</w:t>
            </w:r>
            <w:r>
              <w:rPr>
                <w:rFonts w:ascii="宋体" w:hAnsi="宋体" w:eastAsia="宋体" w:cs="宋体"/>
                <w:color w:val="auto"/>
                <w:spacing w:val="9"/>
                <w:sz w:val="20"/>
                <w:szCs w:val="20"/>
                <w:highlight w:val="none"/>
                <w14:textOutline w14:w="3795" w14:cap="sq" w14:cmpd="sng">
                  <w14:solidFill>
                    <w14:srgbClr w14:val="000000"/>
                  </w14:solidFill>
                  <w14:prstDash w14:val="solid"/>
                  <w14:bevel/>
                </w14:textOutline>
              </w:rPr>
              <w:t>工场地达标半径</w:t>
            </w:r>
          </w:p>
          <w:p>
            <w:pPr>
              <w:spacing w:line="277" w:lineRule="exact"/>
              <w:ind w:left="893"/>
              <w:rPr>
                <w:rFonts w:ascii="Calibri" w:hAnsi="Calibri" w:eastAsia="Calibri" w:cs="Calibri"/>
                <w:color w:val="auto"/>
                <w:sz w:val="19"/>
                <w:szCs w:val="19"/>
                <w:highlight w:val="none"/>
              </w:rPr>
            </w:pPr>
            <w:r>
              <w:rPr>
                <w:rFonts w:ascii="Calibri" w:hAnsi="Calibri" w:eastAsia="Calibri" w:cs="Calibri"/>
                <w:b/>
                <w:bCs/>
                <w:color w:val="auto"/>
                <w:spacing w:val="10"/>
                <w:position w:val="3"/>
                <w:sz w:val="19"/>
                <w:szCs w:val="19"/>
                <w:highlight w:val="none"/>
              </w:rPr>
              <w:t>(</w:t>
            </w:r>
            <w:r>
              <w:rPr>
                <w:rFonts w:ascii="Calibri" w:hAnsi="Calibri" w:eastAsia="Calibri" w:cs="Calibri"/>
                <w:b/>
                <w:bCs/>
                <w:color w:val="auto"/>
                <w:position w:val="3"/>
                <w:sz w:val="19"/>
                <w:szCs w:val="19"/>
                <w:highlight w:val="none"/>
              </w:rPr>
              <w:t>m</w:t>
            </w:r>
            <w:r>
              <w:rPr>
                <w:rFonts w:ascii="Calibri" w:hAnsi="Calibri" w:eastAsia="Calibri" w:cs="Calibri"/>
                <w:b/>
                <w:bCs/>
                <w:color w:val="auto"/>
                <w:spacing w:val="10"/>
                <w:position w:val="3"/>
                <w:sz w:val="19"/>
                <w:szCs w:val="19"/>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886" w:type="dxa"/>
            <w:vMerge w:val="continue"/>
            <w:tcBorders>
              <w:top w:val="nil"/>
              <w:left w:val="single" w:color="000000" w:sz="10" w:space="0"/>
            </w:tcBorders>
            <w:vAlign w:val="top"/>
          </w:tcPr>
          <w:p>
            <w:pPr>
              <w:rPr>
                <w:rFonts w:ascii="Arial"/>
                <w:color w:val="auto"/>
                <w:sz w:val="21"/>
                <w:highlight w:val="none"/>
              </w:rPr>
            </w:pPr>
          </w:p>
        </w:tc>
        <w:tc>
          <w:tcPr>
            <w:tcW w:w="1171" w:type="dxa"/>
            <w:vMerge w:val="continue"/>
            <w:tcBorders>
              <w:top w:val="nil"/>
            </w:tcBorders>
            <w:vAlign w:val="top"/>
          </w:tcPr>
          <w:p>
            <w:pPr>
              <w:rPr>
                <w:rFonts w:ascii="Arial"/>
                <w:color w:val="auto"/>
                <w:sz w:val="21"/>
                <w:highlight w:val="none"/>
              </w:rPr>
            </w:pPr>
          </w:p>
        </w:tc>
        <w:tc>
          <w:tcPr>
            <w:tcW w:w="1384" w:type="dxa"/>
            <w:vMerge w:val="continue"/>
            <w:tcBorders>
              <w:top w:val="nil"/>
            </w:tcBorders>
            <w:vAlign w:val="top"/>
          </w:tcPr>
          <w:p>
            <w:pPr>
              <w:rPr>
                <w:rFonts w:ascii="Arial"/>
                <w:color w:val="auto"/>
                <w:sz w:val="21"/>
                <w:highlight w:val="none"/>
              </w:rPr>
            </w:pPr>
          </w:p>
        </w:tc>
        <w:tc>
          <w:tcPr>
            <w:tcW w:w="1503" w:type="dxa"/>
            <w:vAlign w:val="top"/>
          </w:tcPr>
          <w:p>
            <w:pPr>
              <w:spacing w:before="30" w:line="228" w:lineRule="auto"/>
              <w:ind w:left="548"/>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昼</w:t>
            </w:r>
            <w:r>
              <w:rPr>
                <w:rFonts w:ascii="宋体" w:hAnsi="宋体" w:eastAsia="宋体" w:cs="宋体"/>
                <w:color w:val="auto"/>
                <w:spacing w:val="5"/>
                <w:sz w:val="20"/>
                <w:szCs w:val="20"/>
                <w:highlight w:val="none"/>
              </w:rPr>
              <w:t>间</w:t>
            </w:r>
          </w:p>
        </w:tc>
        <w:tc>
          <w:tcPr>
            <w:tcW w:w="1060" w:type="dxa"/>
            <w:vAlign w:val="top"/>
          </w:tcPr>
          <w:p>
            <w:pPr>
              <w:spacing w:before="30" w:line="228" w:lineRule="auto"/>
              <w:ind w:left="333"/>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14:textOutline w14:w="3795" w14:cap="sq" w14:cmpd="sng">
                  <w14:solidFill>
                    <w14:srgbClr w14:val="000000"/>
                  </w14:solidFill>
                  <w14:prstDash w14:val="solid"/>
                  <w14:bevel/>
                </w14:textOutline>
              </w:rPr>
              <w:t>夜间</w:t>
            </w:r>
          </w:p>
        </w:tc>
        <w:tc>
          <w:tcPr>
            <w:tcW w:w="978" w:type="dxa"/>
            <w:vAlign w:val="top"/>
          </w:tcPr>
          <w:p>
            <w:pPr>
              <w:spacing w:before="30" w:line="228" w:lineRule="auto"/>
              <w:ind w:left="291"/>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14:textOutline w14:w="3795" w14:cap="sq" w14:cmpd="sng">
                  <w14:solidFill>
                    <w14:srgbClr w14:val="000000"/>
                  </w14:solidFill>
                  <w14:prstDash w14:val="solid"/>
                  <w14:bevel/>
                </w14:textOutline>
              </w:rPr>
              <w:t>昼</w:t>
            </w:r>
            <w:r>
              <w:rPr>
                <w:rFonts w:ascii="宋体" w:hAnsi="宋体" w:eastAsia="宋体" w:cs="宋体"/>
                <w:color w:val="auto"/>
                <w:spacing w:val="5"/>
                <w:sz w:val="20"/>
                <w:szCs w:val="20"/>
                <w:highlight w:val="none"/>
              </w:rPr>
              <w:t>间</w:t>
            </w:r>
          </w:p>
        </w:tc>
        <w:tc>
          <w:tcPr>
            <w:tcW w:w="1090" w:type="dxa"/>
            <w:tcBorders>
              <w:right w:val="single" w:color="000000" w:sz="10" w:space="0"/>
            </w:tcBorders>
            <w:vAlign w:val="top"/>
          </w:tcPr>
          <w:p>
            <w:pPr>
              <w:spacing w:before="30" w:line="228" w:lineRule="auto"/>
              <w:ind w:left="347"/>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14:textOutline w14:w="3795" w14:cap="sq" w14:cmpd="sng">
                  <w14:solidFill>
                    <w14:srgbClr w14:val="000000"/>
                  </w14:solidFill>
                  <w14:prstDash w14:val="solid"/>
                  <w14:bevel/>
                </w14:textOutline>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86" w:type="dxa"/>
            <w:tcBorders>
              <w:left w:val="single" w:color="000000" w:sz="10" w:space="0"/>
            </w:tcBorders>
            <w:vAlign w:val="top"/>
          </w:tcPr>
          <w:p>
            <w:pPr>
              <w:spacing w:before="50" w:line="227" w:lineRule="auto"/>
              <w:ind w:left="617"/>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翻</w:t>
            </w:r>
            <w:r>
              <w:rPr>
                <w:rFonts w:ascii="宋体" w:hAnsi="宋体" w:eastAsia="宋体" w:cs="宋体"/>
                <w:color w:val="auto"/>
                <w:spacing w:val="7"/>
                <w:sz w:val="20"/>
                <w:szCs w:val="20"/>
                <w:highlight w:val="none"/>
              </w:rPr>
              <w:t>斗机</w:t>
            </w:r>
          </w:p>
        </w:tc>
        <w:tc>
          <w:tcPr>
            <w:tcW w:w="1171" w:type="dxa"/>
            <w:vAlign w:val="top"/>
          </w:tcPr>
          <w:p>
            <w:pPr>
              <w:spacing w:before="92" w:line="186" w:lineRule="auto"/>
              <w:ind w:left="478"/>
              <w:rPr>
                <w:rFonts w:ascii="Calibri" w:hAnsi="Calibri" w:eastAsia="Calibri" w:cs="Calibri"/>
                <w:color w:val="auto"/>
                <w:sz w:val="20"/>
                <w:szCs w:val="20"/>
                <w:highlight w:val="none"/>
              </w:rPr>
            </w:pPr>
            <w:r>
              <w:rPr>
                <w:rFonts w:ascii="Calibri" w:hAnsi="Calibri" w:eastAsia="Calibri" w:cs="Calibri"/>
                <w:color w:val="auto"/>
                <w:sz w:val="20"/>
                <w:szCs w:val="20"/>
                <w:highlight w:val="none"/>
              </w:rPr>
              <w:t>80</w:t>
            </w:r>
          </w:p>
        </w:tc>
        <w:tc>
          <w:tcPr>
            <w:tcW w:w="1384" w:type="dxa"/>
            <w:vAlign w:val="top"/>
          </w:tcPr>
          <w:p>
            <w:pPr>
              <w:spacing w:before="92" w:line="186" w:lineRule="auto"/>
              <w:ind w:left="644"/>
              <w:rPr>
                <w:rFonts w:ascii="Calibri" w:hAnsi="Calibri" w:eastAsia="Calibri" w:cs="Calibri"/>
                <w:color w:val="auto"/>
                <w:sz w:val="20"/>
                <w:szCs w:val="20"/>
                <w:highlight w:val="none"/>
              </w:rPr>
            </w:pPr>
            <w:r>
              <w:rPr>
                <w:rFonts w:ascii="Calibri" w:hAnsi="Calibri" w:eastAsia="Calibri" w:cs="Calibri"/>
                <w:color w:val="auto"/>
                <w:sz w:val="20"/>
                <w:szCs w:val="20"/>
                <w:highlight w:val="none"/>
              </w:rPr>
              <w:t>3</w:t>
            </w:r>
          </w:p>
        </w:tc>
        <w:tc>
          <w:tcPr>
            <w:tcW w:w="1503" w:type="dxa"/>
            <w:vAlign w:val="top"/>
          </w:tcPr>
          <w:p>
            <w:pPr>
              <w:spacing w:before="92" w:line="186" w:lineRule="auto"/>
              <w:ind w:left="654"/>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70</w:t>
            </w:r>
          </w:p>
        </w:tc>
        <w:tc>
          <w:tcPr>
            <w:tcW w:w="1060" w:type="dxa"/>
            <w:vAlign w:val="top"/>
          </w:tcPr>
          <w:p>
            <w:pPr>
              <w:spacing w:before="94" w:line="184" w:lineRule="auto"/>
              <w:ind w:left="435"/>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55</w:t>
            </w:r>
          </w:p>
        </w:tc>
        <w:tc>
          <w:tcPr>
            <w:tcW w:w="978" w:type="dxa"/>
            <w:vAlign w:val="top"/>
          </w:tcPr>
          <w:p>
            <w:pPr>
              <w:spacing w:before="92" w:line="186" w:lineRule="auto"/>
              <w:ind w:left="369"/>
              <w:rPr>
                <w:rFonts w:ascii="Calibri" w:hAnsi="Calibri" w:eastAsia="Calibri" w:cs="Calibri"/>
                <w:color w:val="auto"/>
                <w:sz w:val="20"/>
                <w:szCs w:val="20"/>
                <w:highlight w:val="none"/>
              </w:rPr>
            </w:pPr>
            <w:r>
              <w:rPr>
                <w:rFonts w:ascii="Calibri" w:hAnsi="Calibri" w:eastAsia="Calibri" w:cs="Calibri"/>
                <w:color w:val="auto"/>
                <w:spacing w:val="3"/>
                <w:sz w:val="20"/>
                <w:szCs w:val="20"/>
                <w:highlight w:val="none"/>
              </w:rPr>
              <w:t>9.</w:t>
            </w:r>
            <w:r>
              <w:rPr>
                <w:rFonts w:ascii="Calibri" w:hAnsi="Calibri" w:eastAsia="Calibri" w:cs="Calibri"/>
                <w:color w:val="auto"/>
                <w:spacing w:val="2"/>
                <w:sz w:val="20"/>
                <w:szCs w:val="20"/>
                <w:highlight w:val="none"/>
              </w:rPr>
              <w:t>5</w:t>
            </w:r>
          </w:p>
        </w:tc>
        <w:tc>
          <w:tcPr>
            <w:tcW w:w="1090" w:type="dxa"/>
            <w:tcBorders>
              <w:right w:val="single" w:color="000000" w:sz="10" w:space="0"/>
            </w:tcBorders>
            <w:vAlign w:val="top"/>
          </w:tcPr>
          <w:p>
            <w:pPr>
              <w:spacing w:before="92" w:line="186" w:lineRule="auto"/>
              <w:ind w:left="370"/>
              <w:rPr>
                <w:rFonts w:ascii="Calibri" w:hAnsi="Calibri" w:eastAsia="Calibri" w:cs="Calibri"/>
                <w:color w:val="auto"/>
                <w:sz w:val="20"/>
                <w:szCs w:val="20"/>
                <w:highlight w:val="none"/>
              </w:rPr>
            </w:pPr>
            <w:r>
              <w:rPr>
                <w:rFonts w:ascii="Calibri" w:hAnsi="Calibri" w:eastAsia="Calibri" w:cs="Calibri"/>
                <w:color w:val="auto"/>
                <w:spacing w:val="4"/>
                <w:sz w:val="20"/>
                <w:szCs w:val="20"/>
                <w:highlight w:val="none"/>
              </w:rPr>
              <w:t>5</w:t>
            </w:r>
            <w:r>
              <w:rPr>
                <w:rFonts w:ascii="Calibri" w:hAnsi="Calibri" w:eastAsia="Calibri" w:cs="Calibri"/>
                <w:color w:val="auto"/>
                <w:spacing w:val="2"/>
                <w:sz w:val="20"/>
                <w:szCs w:val="20"/>
                <w:highlight w:val="none"/>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86" w:type="dxa"/>
            <w:tcBorders>
              <w:left w:val="single" w:color="000000" w:sz="10" w:space="0"/>
            </w:tcBorders>
            <w:vAlign w:val="top"/>
          </w:tcPr>
          <w:p>
            <w:pPr>
              <w:spacing w:before="51" w:line="227" w:lineRule="auto"/>
              <w:ind w:left="619"/>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推土</w:t>
            </w:r>
            <w:r>
              <w:rPr>
                <w:rFonts w:ascii="宋体" w:hAnsi="宋体" w:eastAsia="宋体" w:cs="宋体"/>
                <w:color w:val="auto"/>
                <w:spacing w:val="6"/>
                <w:sz w:val="20"/>
                <w:szCs w:val="20"/>
                <w:highlight w:val="none"/>
              </w:rPr>
              <w:t>机</w:t>
            </w:r>
          </w:p>
        </w:tc>
        <w:tc>
          <w:tcPr>
            <w:tcW w:w="1171" w:type="dxa"/>
            <w:vAlign w:val="top"/>
          </w:tcPr>
          <w:p>
            <w:pPr>
              <w:spacing w:before="92" w:line="186" w:lineRule="auto"/>
              <w:ind w:left="478"/>
              <w:rPr>
                <w:rFonts w:ascii="Calibri" w:hAnsi="Calibri" w:eastAsia="Calibri" w:cs="Calibri"/>
                <w:color w:val="auto"/>
                <w:sz w:val="20"/>
                <w:szCs w:val="20"/>
                <w:highlight w:val="none"/>
              </w:rPr>
            </w:pPr>
            <w:r>
              <w:rPr>
                <w:rFonts w:ascii="Calibri" w:hAnsi="Calibri" w:eastAsia="Calibri" w:cs="Calibri"/>
                <w:color w:val="auto"/>
                <w:sz w:val="20"/>
                <w:szCs w:val="20"/>
                <w:highlight w:val="none"/>
              </w:rPr>
              <w:t>83</w:t>
            </w:r>
          </w:p>
        </w:tc>
        <w:tc>
          <w:tcPr>
            <w:tcW w:w="1384" w:type="dxa"/>
            <w:vAlign w:val="top"/>
          </w:tcPr>
          <w:p>
            <w:pPr>
              <w:spacing w:before="94" w:line="184" w:lineRule="auto"/>
              <w:ind w:left="644"/>
              <w:rPr>
                <w:rFonts w:ascii="Calibri" w:hAnsi="Calibri" w:eastAsia="Calibri" w:cs="Calibri"/>
                <w:color w:val="auto"/>
                <w:sz w:val="20"/>
                <w:szCs w:val="20"/>
                <w:highlight w:val="none"/>
              </w:rPr>
            </w:pPr>
            <w:r>
              <w:rPr>
                <w:rFonts w:ascii="Calibri" w:hAnsi="Calibri" w:eastAsia="Calibri" w:cs="Calibri"/>
                <w:color w:val="auto"/>
                <w:sz w:val="20"/>
                <w:szCs w:val="20"/>
                <w:highlight w:val="none"/>
              </w:rPr>
              <w:t>5</w:t>
            </w:r>
          </w:p>
        </w:tc>
        <w:tc>
          <w:tcPr>
            <w:tcW w:w="1503" w:type="dxa"/>
            <w:vAlign w:val="top"/>
          </w:tcPr>
          <w:p>
            <w:pPr>
              <w:spacing w:before="92" w:line="186" w:lineRule="auto"/>
              <w:ind w:left="654"/>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70</w:t>
            </w:r>
          </w:p>
        </w:tc>
        <w:tc>
          <w:tcPr>
            <w:tcW w:w="1060" w:type="dxa"/>
            <w:vAlign w:val="top"/>
          </w:tcPr>
          <w:p>
            <w:pPr>
              <w:spacing w:before="94" w:line="184" w:lineRule="auto"/>
              <w:ind w:left="435"/>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55</w:t>
            </w:r>
          </w:p>
        </w:tc>
        <w:tc>
          <w:tcPr>
            <w:tcW w:w="978" w:type="dxa"/>
            <w:vAlign w:val="top"/>
          </w:tcPr>
          <w:p>
            <w:pPr>
              <w:spacing w:before="92" w:line="188" w:lineRule="auto"/>
              <w:ind w:left="320"/>
              <w:rPr>
                <w:rFonts w:ascii="Calibri" w:hAnsi="Calibri" w:eastAsia="Calibri" w:cs="Calibri"/>
                <w:color w:val="auto"/>
                <w:sz w:val="20"/>
                <w:szCs w:val="20"/>
                <w:highlight w:val="none"/>
              </w:rPr>
            </w:pPr>
            <w:r>
              <w:rPr>
                <w:rFonts w:ascii="Calibri" w:hAnsi="Calibri" w:eastAsia="Calibri" w:cs="Calibri"/>
                <w:color w:val="auto"/>
                <w:spacing w:val="3"/>
                <w:sz w:val="20"/>
                <w:szCs w:val="20"/>
                <w:highlight w:val="none"/>
              </w:rPr>
              <w:t>2</w:t>
            </w:r>
            <w:r>
              <w:rPr>
                <w:rFonts w:ascii="Calibri" w:hAnsi="Calibri" w:eastAsia="Calibri" w:cs="Calibri"/>
                <w:color w:val="auto"/>
                <w:spacing w:val="2"/>
                <w:sz w:val="20"/>
                <w:szCs w:val="20"/>
                <w:highlight w:val="none"/>
              </w:rPr>
              <w:t>2.3</w:t>
            </w:r>
          </w:p>
        </w:tc>
        <w:tc>
          <w:tcPr>
            <w:tcW w:w="1090" w:type="dxa"/>
            <w:tcBorders>
              <w:right w:val="single" w:color="000000" w:sz="10" w:space="0"/>
            </w:tcBorders>
            <w:vAlign w:val="top"/>
          </w:tcPr>
          <w:p>
            <w:pPr>
              <w:spacing w:before="92" w:line="186" w:lineRule="auto"/>
              <w:ind w:left="325"/>
              <w:rPr>
                <w:rFonts w:ascii="Calibri" w:hAnsi="Calibri" w:eastAsia="Calibri" w:cs="Calibri"/>
                <w:color w:val="auto"/>
                <w:sz w:val="20"/>
                <w:szCs w:val="20"/>
                <w:highlight w:val="none"/>
              </w:rPr>
            </w:pPr>
            <w:r>
              <w:rPr>
                <w:rFonts w:ascii="Calibri" w:hAnsi="Calibri" w:eastAsia="Calibri" w:cs="Calibri"/>
                <w:color w:val="auto"/>
                <w:spacing w:val="2"/>
                <w:sz w:val="20"/>
                <w:szCs w:val="20"/>
                <w:highlight w:val="none"/>
              </w:rPr>
              <w:t>125.6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86" w:type="dxa"/>
            <w:tcBorders>
              <w:left w:val="single" w:color="000000" w:sz="10" w:space="0"/>
            </w:tcBorders>
            <w:vAlign w:val="top"/>
          </w:tcPr>
          <w:p>
            <w:pPr>
              <w:spacing w:before="50" w:line="227" w:lineRule="auto"/>
              <w:ind w:left="619"/>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装载</w:t>
            </w:r>
            <w:r>
              <w:rPr>
                <w:rFonts w:ascii="宋体" w:hAnsi="宋体" w:eastAsia="宋体" w:cs="宋体"/>
                <w:color w:val="auto"/>
                <w:spacing w:val="6"/>
                <w:sz w:val="20"/>
                <w:szCs w:val="20"/>
                <w:highlight w:val="none"/>
              </w:rPr>
              <w:t>机</w:t>
            </w:r>
          </w:p>
        </w:tc>
        <w:tc>
          <w:tcPr>
            <w:tcW w:w="1171" w:type="dxa"/>
            <w:vAlign w:val="top"/>
          </w:tcPr>
          <w:p>
            <w:pPr>
              <w:spacing w:before="92" w:line="186" w:lineRule="auto"/>
              <w:ind w:left="478"/>
              <w:rPr>
                <w:rFonts w:ascii="Calibri" w:hAnsi="Calibri" w:eastAsia="Calibri" w:cs="Calibri"/>
                <w:color w:val="auto"/>
                <w:sz w:val="20"/>
                <w:szCs w:val="20"/>
                <w:highlight w:val="none"/>
              </w:rPr>
            </w:pPr>
            <w:r>
              <w:rPr>
                <w:rFonts w:ascii="Calibri" w:hAnsi="Calibri" w:eastAsia="Calibri" w:cs="Calibri"/>
                <w:color w:val="auto"/>
                <w:sz w:val="20"/>
                <w:szCs w:val="20"/>
                <w:highlight w:val="none"/>
              </w:rPr>
              <w:t>83</w:t>
            </w:r>
          </w:p>
        </w:tc>
        <w:tc>
          <w:tcPr>
            <w:tcW w:w="1384" w:type="dxa"/>
            <w:vAlign w:val="top"/>
          </w:tcPr>
          <w:p>
            <w:pPr>
              <w:spacing w:before="94" w:line="184" w:lineRule="auto"/>
              <w:ind w:left="644"/>
              <w:rPr>
                <w:rFonts w:ascii="Calibri" w:hAnsi="Calibri" w:eastAsia="Calibri" w:cs="Calibri"/>
                <w:color w:val="auto"/>
                <w:sz w:val="20"/>
                <w:szCs w:val="20"/>
                <w:highlight w:val="none"/>
              </w:rPr>
            </w:pPr>
            <w:r>
              <w:rPr>
                <w:rFonts w:ascii="Calibri" w:hAnsi="Calibri" w:eastAsia="Calibri" w:cs="Calibri"/>
                <w:color w:val="auto"/>
                <w:sz w:val="20"/>
                <w:szCs w:val="20"/>
                <w:highlight w:val="none"/>
              </w:rPr>
              <w:t>5</w:t>
            </w:r>
          </w:p>
        </w:tc>
        <w:tc>
          <w:tcPr>
            <w:tcW w:w="1503" w:type="dxa"/>
            <w:vAlign w:val="top"/>
          </w:tcPr>
          <w:p>
            <w:pPr>
              <w:spacing w:before="92" w:line="186" w:lineRule="auto"/>
              <w:ind w:left="654"/>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70</w:t>
            </w:r>
          </w:p>
        </w:tc>
        <w:tc>
          <w:tcPr>
            <w:tcW w:w="1060" w:type="dxa"/>
            <w:vAlign w:val="top"/>
          </w:tcPr>
          <w:p>
            <w:pPr>
              <w:spacing w:before="94" w:line="184" w:lineRule="auto"/>
              <w:ind w:left="435"/>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55</w:t>
            </w:r>
          </w:p>
        </w:tc>
        <w:tc>
          <w:tcPr>
            <w:tcW w:w="978" w:type="dxa"/>
            <w:vAlign w:val="top"/>
          </w:tcPr>
          <w:p>
            <w:pPr>
              <w:spacing w:before="92" w:line="188" w:lineRule="auto"/>
              <w:ind w:left="320"/>
              <w:rPr>
                <w:rFonts w:ascii="Calibri" w:hAnsi="Calibri" w:eastAsia="Calibri" w:cs="Calibri"/>
                <w:color w:val="auto"/>
                <w:sz w:val="20"/>
                <w:szCs w:val="20"/>
                <w:highlight w:val="none"/>
              </w:rPr>
            </w:pPr>
            <w:r>
              <w:rPr>
                <w:rFonts w:ascii="Calibri" w:hAnsi="Calibri" w:eastAsia="Calibri" w:cs="Calibri"/>
                <w:color w:val="auto"/>
                <w:spacing w:val="3"/>
                <w:sz w:val="20"/>
                <w:szCs w:val="20"/>
                <w:highlight w:val="none"/>
              </w:rPr>
              <w:t>2</w:t>
            </w:r>
            <w:r>
              <w:rPr>
                <w:rFonts w:ascii="Calibri" w:hAnsi="Calibri" w:eastAsia="Calibri" w:cs="Calibri"/>
                <w:color w:val="auto"/>
                <w:spacing w:val="2"/>
                <w:sz w:val="20"/>
                <w:szCs w:val="20"/>
                <w:highlight w:val="none"/>
              </w:rPr>
              <w:t>2.3</w:t>
            </w:r>
          </w:p>
        </w:tc>
        <w:tc>
          <w:tcPr>
            <w:tcW w:w="1090" w:type="dxa"/>
            <w:tcBorders>
              <w:right w:val="single" w:color="000000" w:sz="10" w:space="0"/>
            </w:tcBorders>
            <w:vAlign w:val="top"/>
          </w:tcPr>
          <w:p>
            <w:pPr>
              <w:spacing w:before="92" w:line="186" w:lineRule="auto"/>
              <w:ind w:left="325"/>
              <w:rPr>
                <w:rFonts w:ascii="Calibri" w:hAnsi="Calibri" w:eastAsia="Calibri" w:cs="Calibri"/>
                <w:color w:val="auto"/>
                <w:sz w:val="20"/>
                <w:szCs w:val="20"/>
                <w:highlight w:val="none"/>
              </w:rPr>
            </w:pPr>
            <w:r>
              <w:rPr>
                <w:rFonts w:ascii="Calibri" w:hAnsi="Calibri" w:eastAsia="Calibri" w:cs="Calibri"/>
                <w:color w:val="auto"/>
                <w:spacing w:val="2"/>
                <w:sz w:val="20"/>
                <w:szCs w:val="20"/>
                <w:highlight w:val="none"/>
              </w:rPr>
              <w:t>125.6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86" w:type="dxa"/>
            <w:tcBorders>
              <w:left w:val="single" w:color="000000" w:sz="10" w:space="0"/>
            </w:tcBorders>
            <w:vAlign w:val="top"/>
          </w:tcPr>
          <w:p>
            <w:pPr>
              <w:spacing w:before="50" w:line="227" w:lineRule="auto"/>
              <w:ind w:left="618"/>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挖掘机</w:t>
            </w:r>
          </w:p>
        </w:tc>
        <w:tc>
          <w:tcPr>
            <w:tcW w:w="1171" w:type="dxa"/>
            <w:vAlign w:val="top"/>
          </w:tcPr>
          <w:p>
            <w:pPr>
              <w:spacing w:before="94" w:line="186" w:lineRule="auto"/>
              <w:ind w:left="478"/>
              <w:rPr>
                <w:rFonts w:ascii="Calibri" w:hAnsi="Calibri" w:eastAsia="Calibri" w:cs="Calibri"/>
                <w:color w:val="auto"/>
                <w:sz w:val="20"/>
                <w:szCs w:val="20"/>
                <w:highlight w:val="none"/>
              </w:rPr>
            </w:pPr>
            <w:r>
              <w:rPr>
                <w:rFonts w:ascii="Calibri" w:hAnsi="Calibri" w:eastAsia="Calibri" w:cs="Calibri"/>
                <w:color w:val="auto"/>
                <w:sz w:val="20"/>
                <w:szCs w:val="20"/>
                <w:highlight w:val="none"/>
              </w:rPr>
              <w:t>83</w:t>
            </w:r>
          </w:p>
        </w:tc>
        <w:tc>
          <w:tcPr>
            <w:tcW w:w="1384" w:type="dxa"/>
            <w:vAlign w:val="top"/>
          </w:tcPr>
          <w:p>
            <w:pPr>
              <w:spacing w:before="96" w:line="184" w:lineRule="auto"/>
              <w:ind w:left="644"/>
              <w:rPr>
                <w:rFonts w:ascii="Calibri" w:hAnsi="Calibri" w:eastAsia="Calibri" w:cs="Calibri"/>
                <w:color w:val="auto"/>
                <w:sz w:val="20"/>
                <w:szCs w:val="20"/>
                <w:highlight w:val="none"/>
              </w:rPr>
            </w:pPr>
            <w:r>
              <w:rPr>
                <w:rFonts w:ascii="Calibri" w:hAnsi="Calibri" w:eastAsia="Calibri" w:cs="Calibri"/>
                <w:color w:val="auto"/>
                <w:sz w:val="20"/>
                <w:szCs w:val="20"/>
                <w:highlight w:val="none"/>
              </w:rPr>
              <w:t>5</w:t>
            </w:r>
          </w:p>
        </w:tc>
        <w:tc>
          <w:tcPr>
            <w:tcW w:w="1503" w:type="dxa"/>
            <w:vAlign w:val="top"/>
          </w:tcPr>
          <w:p>
            <w:pPr>
              <w:spacing w:before="91" w:line="186" w:lineRule="auto"/>
              <w:ind w:left="654"/>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70</w:t>
            </w:r>
          </w:p>
        </w:tc>
        <w:tc>
          <w:tcPr>
            <w:tcW w:w="1060" w:type="dxa"/>
            <w:vAlign w:val="top"/>
          </w:tcPr>
          <w:p>
            <w:pPr>
              <w:spacing w:before="93" w:line="184" w:lineRule="auto"/>
              <w:ind w:left="435"/>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55</w:t>
            </w:r>
          </w:p>
        </w:tc>
        <w:tc>
          <w:tcPr>
            <w:tcW w:w="978" w:type="dxa"/>
            <w:vAlign w:val="top"/>
          </w:tcPr>
          <w:p>
            <w:pPr>
              <w:spacing w:before="91" w:line="188" w:lineRule="auto"/>
              <w:ind w:left="320"/>
              <w:rPr>
                <w:rFonts w:ascii="Calibri" w:hAnsi="Calibri" w:eastAsia="Calibri" w:cs="Calibri"/>
                <w:color w:val="auto"/>
                <w:sz w:val="20"/>
                <w:szCs w:val="20"/>
                <w:highlight w:val="none"/>
              </w:rPr>
            </w:pPr>
            <w:r>
              <w:rPr>
                <w:rFonts w:ascii="Calibri" w:hAnsi="Calibri" w:eastAsia="Calibri" w:cs="Calibri"/>
                <w:color w:val="auto"/>
                <w:spacing w:val="3"/>
                <w:sz w:val="20"/>
                <w:szCs w:val="20"/>
                <w:highlight w:val="none"/>
              </w:rPr>
              <w:t>2</w:t>
            </w:r>
            <w:r>
              <w:rPr>
                <w:rFonts w:ascii="Calibri" w:hAnsi="Calibri" w:eastAsia="Calibri" w:cs="Calibri"/>
                <w:color w:val="auto"/>
                <w:spacing w:val="2"/>
                <w:sz w:val="20"/>
                <w:szCs w:val="20"/>
                <w:highlight w:val="none"/>
              </w:rPr>
              <w:t>2.3</w:t>
            </w:r>
          </w:p>
        </w:tc>
        <w:tc>
          <w:tcPr>
            <w:tcW w:w="1090" w:type="dxa"/>
            <w:tcBorders>
              <w:right w:val="single" w:color="000000" w:sz="10" w:space="0"/>
            </w:tcBorders>
            <w:vAlign w:val="top"/>
          </w:tcPr>
          <w:p>
            <w:pPr>
              <w:spacing w:before="91" w:line="186" w:lineRule="auto"/>
              <w:ind w:left="325"/>
              <w:rPr>
                <w:rFonts w:ascii="Calibri" w:hAnsi="Calibri" w:eastAsia="Calibri" w:cs="Calibri"/>
                <w:color w:val="auto"/>
                <w:sz w:val="20"/>
                <w:szCs w:val="20"/>
                <w:highlight w:val="none"/>
              </w:rPr>
            </w:pPr>
            <w:r>
              <w:rPr>
                <w:rFonts w:ascii="Calibri" w:hAnsi="Calibri" w:eastAsia="Calibri" w:cs="Calibri"/>
                <w:color w:val="auto"/>
                <w:spacing w:val="2"/>
                <w:sz w:val="20"/>
                <w:szCs w:val="20"/>
                <w:highlight w:val="none"/>
              </w:rPr>
              <w:t>125.6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86" w:type="dxa"/>
            <w:tcBorders>
              <w:left w:val="single" w:color="000000" w:sz="10" w:space="0"/>
            </w:tcBorders>
            <w:vAlign w:val="top"/>
          </w:tcPr>
          <w:p>
            <w:pPr>
              <w:spacing w:before="52" w:line="227" w:lineRule="auto"/>
              <w:ind w:left="199"/>
              <w:rPr>
                <w:rFonts w:ascii="宋体" w:hAnsi="宋体" w:eastAsia="宋体" w:cs="宋体"/>
                <w:color w:val="auto"/>
                <w:sz w:val="20"/>
                <w:szCs w:val="20"/>
                <w:highlight w:val="none"/>
              </w:rPr>
            </w:pPr>
            <w:r>
              <w:rPr>
                <w:rFonts w:ascii="宋体" w:hAnsi="宋体" w:eastAsia="宋体" w:cs="宋体"/>
                <w:color w:val="auto"/>
                <w:spacing w:val="12"/>
                <w:sz w:val="20"/>
                <w:szCs w:val="20"/>
                <w:highlight w:val="none"/>
              </w:rPr>
              <w:t>钻</w:t>
            </w:r>
            <w:r>
              <w:rPr>
                <w:rFonts w:ascii="宋体" w:hAnsi="宋体" w:eastAsia="宋体" w:cs="宋体"/>
                <w:color w:val="auto"/>
                <w:spacing w:val="8"/>
                <w:sz w:val="20"/>
                <w:szCs w:val="20"/>
                <w:highlight w:val="none"/>
              </w:rPr>
              <w:t>孔式灌注桩机</w:t>
            </w:r>
          </w:p>
        </w:tc>
        <w:tc>
          <w:tcPr>
            <w:tcW w:w="1171" w:type="dxa"/>
            <w:vAlign w:val="top"/>
          </w:tcPr>
          <w:p>
            <w:pPr>
              <w:spacing w:before="93" w:line="186" w:lineRule="auto"/>
              <w:ind w:left="478"/>
              <w:rPr>
                <w:rFonts w:ascii="Calibri" w:hAnsi="Calibri" w:eastAsia="Calibri" w:cs="Calibri"/>
                <w:color w:val="auto"/>
                <w:sz w:val="20"/>
                <w:szCs w:val="20"/>
                <w:highlight w:val="none"/>
              </w:rPr>
            </w:pPr>
            <w:r>
              <w:rPr>
                <w:rFonts w:ascii="Calibri" w:hAnsi="Calibri" w:eastAsia="Calibri" w:cs="Calibri"/>
                <w:color w:val="auto"/>
                <w:sz w:val="20"/>
                <w:szCs w:val="20"/>
                <w:highlight w:val="none"/>
              </w:rPr>
              <w:t>81</w:t>
            </w:r>
          </w:p>
        </w:tc>
        <w:tc>
          <w:tcPr>
            <w:tcW w:w="1384" w:type="dxa"/>
            <w:vAlign w:val="top"/>
          </w:tcPr>
          <w:p>
            <w:pPr>
              <w:spacing w:before="94" w:line="185" w:lineRule="auto"/>
              <w:ind w:left="598"/>
              <w:rPr>
                <w:rFonts w:ascii="Calibri" w:hAnsi="Calibri" w:eastAsia="Calibri" w:cs="Calibri"/>
                <w:color w:val="auto"/>
                <w:sz w:val="20"/>
                <w:szCs w:val="20"/>
                <w:highlight w:val="none"/>
              </w:rPr>
            </w:pPr>
            <w:r>
              <w:rPr>
                <w:rFonts w:ascii="Calibri" w:hAnsi="Calibri" w:eastAsia="Calibri" w:cs="Calibri"/>
                <w:color w:val="auto"/>
                <w:spacing w:val="-6"/>
                <w:sz w:val="20"/>
                <w:szCs w:val="20"/>
                <w:highlight w:val="none"/>
              </w:rPr>
              <w:t>1</w:t>
            </w:r>
            <w:r>
              <w:rPr>
                <w:rFonts w:ascii="Calibri" w:hAnsi="Calibri" w:eastAsia="Calibri" w:cs="Calibri"/>
                <w:color w:val="auto"/>
                <w:spacing w:val="-4"/>
                <w:sz w:val="20"/>
                <w:szCs w:val="20"/>
                <w:highlight w:val="none"/>
              </w:rPr>
              <w:t>5</w:t>
            </w:r>
          </w:p>
        </w:tc>
        <w:tc>
          <w:tcPr>
            <w:tcW w:w="1503" w:type="dxa"/>
            <w:vAlign w:val="top"/>
          </w:tcPr>
          <w:p>
            <w:pPr>
              <w:spacing w:before="91" w:line="186" w:lineRule="auto"/>
              <w:ind w:left="654"/>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70</w:t>
            </w:r>
          </w:p>
        </w:tc>
        <w:tc>
          <w:tcPr>
            <w:tcW w:w="1060" w:type="dxa"/>
            <w:vAlign w:val="top"/>
          </w:tcPr>
          <w:p>
            <w:pPr>
              <w:spacing w:before="93" w:line="184" w:lineRule="auto"/>
              <w:ind w:left="435"/>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55</w:t>
            </w:r>
          </w:p>
        </w:tc>
        <w:tc>
          <w:tcPr>
            <w:tcW w:w="978" w:type="dxa"/>
            <w:vAlign w:val="top"/>
          </w:tcPr>
          <w:p>
            <w:pPr>
              <w:spacing w:before="91" w:line="186" w:lineRule="auto"/>
              <w:ind w:left="318"/>
              <w:rPr>
                <w:rFonts w:ascii="Calibri" w:hAnsi="Calibri" w:eastAsia="Calibri" w:cs="Calibri"/>
                <w:color w:val="auto"/>
                <w:sz w:val="20"/>
                <w:szCs w:val="20"/>
                <w:highlight w:val="none"/>
              </w:rPr>
            </w:pPr>
            <w:r>
              <w:rPr>
                <w:rFonts w:ascii="Calibri" w:hAnsi="Calibri" w:eastAsia="Calibri" w:cs="Calibri"/>
                <w:color w:val="auto"/>
                <w:spacing w:val="3"/>
                <w:sz w:val="20"/>
                <w:szCs w:val="20"/>
                <w:highlight w:val="none"/>
              </w:rPr>
              <w:t>53.2</w:t>
            </w:r>
          </w:p>
        </w:tc>
        <w:tc>
          <w:tcPr>
            <w:tcW w:w="1090" w:type="dxa"/>
            <w:tcBorders>
              <w:right w:val="single" w:color="000000" w:sz="10" w:space="0"/>
            </w:tcBorders>
            <w:vAlign w:val="top"/>
          </w:tcPr>
          <w:p>
            <w:pPr>
              <w:spacing w:before="91" w:line="186" w:lineRule="auto"/>
              <w:ind w:left="319"/>
              <w:rPr>
                <w:rFonts w:ascii="Calibri" w:hAnsi="Calibri" w:eastAsia="Calibri" w:cs="Calibri"/>
                <w:color w:val="auto"/>
                <w:sz w:val="20"/>
                <w:szCs w:val="20"/>
                <w:highlight w:val="none"/>
              </w:rPr>
            </w:pPr>
            <w:r>
              <w:rPr>
                <w:rFonts w:ascii="Calibri" w:hAnsi="Calibri" w:eastAsia="Calibri" w:cs="Calibri"/>
                <w:color w:val="auto"/>
                <w:spacing w:val="4"/>
                <w:sz w:val="20"/>
                <w:szCs w:val="20"/>
                <w:highlight w:val="none"/>
              </w:rPr>
              <w:t>2</w:t>
            </w:r>
            <w:r>
              <w:rPr>
                <w:rFonts w:ascii="Calibri" w:hAnsi="Calibri" w:eastAsia="Calibri" w:cs="Calibri"/>
                <w:color w:val="auto"/>
                <w:spacing w:val="3"/>
                <w:sz w:val="20"/>
                <w:szCs w:val="20"/>
                <w:highlight w:val="none"/>
              </w:rPr>
              <w:t>99.3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86" w:type="dxa"/>
            <w:tcBorders>
              <w:left w:val="single" w:color="000000" w:sz="10" w:space="0"/>
            </w:tcBorders>
            <w:vAlign w:val="top"/>
          </w:tcPr>
          <w:p>
            <w:pPr>
              <w:spacing w:before="52" w:line="227" w:lineRule="auto"/>
              <w:ind w:left="30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静压式打桩机</w:t>
            </w:r>
          </w:p>
        </w:tc>
        <w:tc>
          <w:tcPr>
            <w:tcW w:w="1171" w:type="dxa"/>
            <w:vAlign w:val="top"/>
          </w:tcPr>
          <w:p>
            <w:pPr>
              <w:spacing w:before="94" w:line="186" w:lineRule="auto"/>
              <w:ind w:left="478"/>
              <w:rPr>
                <w:rFonts w:ascii="Calibri" w:hAnsi="Calibri" w:eastAsia="Calibri" w:cs="Calibri"/>
                <w:color w:val="auto"/>
                <w:sz w:val="20"/>
                <w:szCs w:val="20"/>
                <w:highlight w:val="none"/>
              </w:rPr>
            </w:pPr>
            <w:r>
              <w:rPr>
                <w:rFonts w:ascii="Calibri" w:hAnsi="Calibri" w:eastAsia="Calibri" w:cs="Calibri"/>
                <w:color w:val="auto"/>
                <w:sz w:val="20"/>
                <w:szCs w:val="20"/>
                <w:highlight w:val="none"/>
              </w:rPr>
              <w:t>80</w:t>
            </w:r>
          </w:p>
        </w:tc>
        <w:tc>
          <w:tcPr>
            <w:tcW w:w="1384" w:type="dxa"/>
            <w:vAlign w:val="top"/>
          </w:tcPr>
          <w:p>
            <w:pPr>
              <w:spacing w:before="95" w:line="185" w:lineRule="auto"/>
              <w:ind w:left="598"/>
              <w:rPr>
                <w:rFonts w:ascii="Calibri" w:hAnsi="Calibri" w:eastAsia="Calibri" w:cs="Calibri"/>
                <w:color w:val="auto"/>
                <w:sz w:val="20"/>
                <w:szCs w:val="20"/>
                <w:highlight w:val="none"/>
              </w:rPr>
            </w:pPr>
            <w:r>
              <w:rPr>
                <w:rFonts w:ascii="Calibri" w:hAnsi="Calibri" w:eastAsia="Calibri" w:cs="Calibri"/>
                <w:color w:val="auto"/>
                <w:spacing w:val="-6"/>
                <w:sz w:val="20"/>
                <w:szCs w:val="20"/>
                <w:highlight w:val="none"/>
              </w:rPr>
              <w:t>1</w:t>
            </w:r>
            <w:r>
              <w:rPr>
                <w:rFonts w:ascii="Calibri" w:hAnsi="Calibri" w:eastAsia="Calibri" w:cs="Calibri"/>
                <w:color w:val="auto"/>
                <w:spacing w:val="-4"/>
                <w:sz w:val="20"/>
                <w:szCs w:val="20"/>
                <w:highlight w:val="none"/>
              </w:rPr>
              <w:t>5</w:t>
            </w:r>
          </w:p>
        </w:tc>
        <w:tc>
          <w:tcPr>
            <w:tcW w:w="1503" w:type="dxa"/>
            <w:vAlign w:val="top"/>
          </w:tcPr>
          <w:p>
            <w:pPr>
              <w:spacing w:before="92" w:line="186" w:lineRule="auto"/>
              <w:ind w:left="654"/>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70</w:t>
            </w:r>
          </w:p>
        </w:tc>
        <w:tc>
          <w:tcPr>
            <w:tcW w:w="1060" w:type="dxa"/>
            <w:vAlign w:val="top"/>
          </w:tcPr>
          <w:p>
            <w:pPr>
              <w:spacing w:before="94" w:line="184" w:lineRule="auto"/>
              <w:ind w:left="435"/>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55</w:t>
            </w:r>
          </w:p>
        </w:tc>
        <w:tc>
          <w:tcPr>
            <w:tcW w:w="978" w:type="dxa"/>
            <w:vAlign w:val="top"/>
          </w:tcPr>
          <w:p>
            <w:pPr>
              <w:spacing w:before="93" w:line="185" w:lineRule="auto"/>
              <w:ind w:left="313"/>
              <w:rPr>
                <w:rFonts w:ascii="Calibri" w:hAnsi="Calibri" w:eastAsia="Calibri" w:cs="Calibri"/>
                <w:color w:val="auto"/>
                <w:sz w:val="20"/>
                <w:szCs w:val="20"/>
                <w:highlight w:val="none"/>
              </w:rPr>
            </w:pPr>
            <w:r>
              <w:rPr>
                <w:rFonts w:ascii="Calibri" w:hAnsi="Calibri" w:eastAsia="Calibri" w:cs="Calibri"/>
                <w:color w:val="auto"/>
                <w:spacing w:val="4"/>
                <w:sz w:val="20"/>
                <w:szCs w:val="20"/>
                <w:highlight w:val="none"/>
              </w:rPr>
              <w:t>4</w:t>
            </w:r>
            <w:r>
              <w:rPr>
                <w:rFonts w:ascii="Calibri" w:hAnsi="Calibri" w:eastAsia="Calibri" w:cs="Calibri"/>
                <w:color w:val="auto"/>
                <w:spacing w:val="2"/>
                <w:sz w:val="20"/>
                <w:szCs w:val="20"/>
                <w:highlight w:val="none"/>
              </w:rPr>
              <w:t>7.4</w:t>
            </w:r>
          </w:p>
        </w:tc>
        <w:tc>
          <w:tcPr>
            <w:tcW w:w="1090" w:type="dxa"/>
            <w:tcBorders>
              <w:right w:val="single" w:color="000000" w:sz="10" w:space="0"/>
            </w:tcBorders>
            <w:vAlign w:val="top"/>
          </w:tcPr>
          <w:p>
            <w:pPr>
              <w:spacing w:before="92" w:line="186" w:lineRule="auto"/>
              <w:ind w:left="319"/>
              <w:rPr>
                <w:rFonts w:ascii="Calibri" w:hAnsi="Calibri" w:eastAsia="Calibri" w:cs="Calibri"/>
                <w:color w:val="auto"/>
                <w:sz w:val="20"/>
                <w:szCs w:val="20"/>
                <w:highlight w:val="none"/>
              </w:rPr>
            </w:pPr>
            <w:r>
              <w:rPr>
                <w:rFonts w:ascii="Calibri" w:hAnsi="Calibri" w:eastAsia="Calibri" w:cs="Calibri"/>
                <w:color w:val="auto"/>
                <w:spacing w:val="3"/>
                <w:sz w:val="20"/>
                <w:szCs w:val="20"/>
                <w:highlight w:val="none"/>
              </w:rPr>
              <w:t>266.7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86" w:type="dxa"/>
            <w:tcBorders>
              <w:left w:val="single" w:color="000000" w:sz="10" w:space="0"/>
            </w:tcBorders>
            <w:vAlign w:val="top"/>
          </w:tcPr>
          <w:p>
            <w:pPr>
              <w:spacing w:before="53" w:line="228" w:lineRule="auto"/>
              <w:ind w:left="75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吊车</w:t>
            </w:r>
          </w:p>
        </w:tc>
        <w:tc>
          <w:tcPr>
            <w:tcW w:w="1171" w:type="dxa"/>
            <w:vAlign w:val="top"/>
          </w:tcPr>
          <w:p>
            <w:pPr>
              <w:spacing w:before="95" w:line="186" w:lineRule="auto"/>
              <w:ind w:left="480"/>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73</w:t>
            </w:r>
          </w:p>
        </w:tc>
        <w:tc>
          <w:tcPr>
            <w:tcW w:w="1384" w:type="dxa"/>
            <w:vAlign w:val="top"/>
          </w:tcPr>
          <w:p>
            <w:pPr>
              <w:spacing w:before="96" w:line="185" w:lineRule="auto"/>
              <w:ind w:left="598"/>
              <w:rPr>
                <w:rFonts w:ascii="Calibri" w:hAnsi="Calibri" w:eastAsia="Calibri" w:cs="Calibri"/>
                <w:color w:val="auto"/>
                <w:sz w:val="20"/>
                <w:szCs w:val="20"/>
                <w:highlight w:val="none"/>
              </w:rPr>
            </w:pPr>
            <w:r>
              <w:rPr>
                <w:rFonts w:ascii="Calibri" w:hAnsi="Calibri" w:eastAsia="Calibri" w:cs="Calibri"/>
                <w:color w:val="auto"/>
                <w:spacing w:val="-6"/>
                <w:sz w:val="20"/>
                <w:szCs w:val="20"/>
                <w:highlight w:val="none"/>
              </w:rPr>
              <w:t>1</w:t>
            </w:r>
            <w:r>
              <w:rPr>
                <w:rFonts w:ascii="Calibri" w:hAnsi="Calibri" w:eastAsia="Calibri" w:cs="Calibri"/>
                <w:color w:val="auto"/>
                <w:spacing w:val="-4"/>
                <w:sz w:val="20"/>
                <w:szCs w:val="20"/>
                <w:highlight w:val="none"/>
              </w:rPr>
              <w:t>5</w:t>
            </w:r>
          </w:p>
        </w:tc>
        <w:tc>
          <w:tcPr>
            <w:tcW w:w="1503" w:type="dxa"/>
            <w:vAlign w:val="top"/>
          </w:tcPr>
          <w:p>
            <w:pPr>
              <w:spacing w:before="95" w:line="186" w:lineRule="auto"/>
              <w:ind w:left="654"/>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70</w:t>
            </w:r>
          </w:p>
        </w:tc>
        <w:tc>
          <w:tcPr>
            <w:tcW w:w="1060" w:type="dxa"/>
            <w:vAlign w:val="top"/>
          </w:tcPr>
          <w:p>
            <w:pPr>
              <w:spacing w:before="97" w:line="184" w:lineRule="auto"/>
              <w:ind w:left="435"/>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55</w:t>
            </w:r>
          </w:p>
        </w:tc>
        <w:tc>
          <w:tcPr>
            <w:tcW w:w="978" w:type="dxa"/>
            <w:vAlign w:val="top"/>
          </w:tcPr>
          <w:p>
            <w:pPr>
              <w:spacing w:before="94" w:line="187" w:lineRule="auto"/>
              <w:ind w:left="320"/>
              <w:rPr>
                <w:rFonts w:ascii="Calibri" w:hAnsi="Calibri" w:eastAsia="Calibri" w:cs="Calibri"/>
                <w:color w:val="auto"/>
                <w:sz w:val="20"/>
                <w:szCs w:val="20"/>
                <w:highlight w:val="none"/>
              </w:rPr>
            </w:pPr>
            <w:r>
              <w:rPr>
                <w:rFonts w:ascii="Calibri" w:hAnsi="Calibri" w:eastAsia="Calibri" w:cs="Calibri"/>
                <w:color w:val="auto"/>
                <w:spacing w:val="4"/>
                <w:sz w:val="20"/>
                <w:szCs w:val="20"/>
                <w:highlight w:val="none"/>
              </w:rPr>
              <w:t>2</w:t>
            </w:r>
            <w:r>
              <w:rPr>
                <w:rFonts w:ascii="Calibri" w:hAnsi="Calibri" w:eastAsia="Calibri" w:cs="Calibri"/>
                <w:color w:val="auto"/>
                <w:spacing w:val="2"/>
                <w:sz w:val="20"/>
                <w:szCs w:val="20"/>
                <w:highlight w:val="none"/>
              </w:rPr>
              <w:t>1.2</w:t>
            </w:r>
          </w:p>
        </w:tc>
        <w:tc>
          <w:tcPr>
            <w:tcW w:w="1090" w:type="dxa"/>
            <w:tcBorders>
              <w:right w:val="single" w:color="000000" w:sz="10" w:space="0"/>
            </w:tcBorders>
            <w:vAlign w:val="top"/>
          </w:tcPr>
          <w:p>
            <w:pPr>
              <w:spacing w:before="95" w:line="186" w:lineRule="auto"/>
              <w:ind w:left="325"/>
              <w:rPr>
                <w:rFonts w:ascii="Calibri" w:hAnsi="Calibri" w:eastAsia="Calibri" w:cs="Calibri"/>
                <w:color w:val="auto"/>
                <w:sz w:val="20"/>
                <w:szCs w:val="20"/>
                <w:highlight w:val="none"/>
              </w:rPr>
            </w:pPr>
            <w:r>
              <w:rPr>
                <w:rFonts w:ascii="Calibri" w:hAnsi="Calibri" w:eastAsia="Calibri" w:cs="Calibri"/>
                <w:color w:val="auto"/>
                <w:spacing w:val="5"/>
                <w:sz w:val="20"/>
                <w:szCs w:val="20"/>
                <w:highlight w:val="none"/>
              </w:rPr>
              <w:t>1</w:t>
            </w:r>
            <w:r>
              <w:rPr>
                <w:rFonts w:ascii="Calibri" w:hAnsi="Calibri" w:eastAsia="Calibri" w:cs="Calibri"/>
                <w:color w:val="auto"/>
                <w:spacing w:val="3"/>
                <w:sz w:val="20"/>
                <w:szCs w:val="20"/>
                <w:highlight w:val="none"/>
              </w:rPr>
              <w:t>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886" w:type="dxa"/>
            <w:tcBorders>
              <w:left w:val="single" w:color="000000" w:sz="10" w:space="0"/>
            </w:tcBorders>
            <w:vAlign w:val="top"/>
          </w:tcPr>
          <w:p>
            <w:pPr>
              <w:spacing w:before="52" w:line="228" w:lineRule="auto"/>
              <w:ind w:left="618"/>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振捣棒</w:t>
            </w:r>
          </w:p>
        </w:tc>
        <w:tc>
          <w:tcPr>
            <w:tcW w:w="1171" w:type="dxa"/>
            <w:vAlign w:val="top"/>
          </w:tcPr>
          <w:p>
            <w:pPr>
              <w:spacing w:before="94" w:line="186" w:lineRule="auto"/>
              <w:ind w:left="478"/>
              <w:rPr>
                <w:rFonts w:ascii="Calibri" w:hAnsi="Calibri" w:eastAsia="Calibri" w:cs="Calibri"/>
                <w:color w:val="auto"/>
                <w:sz w:val="20"/>
                <w:szCs w:val="20"/>
                <w:highlight w:val="none"/>
              </w:rPr>
            </w:pPr>
            <w:r>
              <w:rPr>
                <w:rFonts w:ascii="Calibri" w:hAnsi="Calibri" w:eastAsia="Calibri" w:cs="Calibri"/>
                <w:color w:val="auto"/>
                <w:sz w:val="20"/>
                <w:szCs w:val="20"/>
                <w:highlight w:val="none"/>
              </w:rPr>
              <w:t>93</w:t>
            </w:r>
          </w:p>
        </w:tc>
        <w:tc>
          <w:tcPr>
            <w:tcW w:w="1384" w:type="dxa"/>
            <w:vAlign w:val="top"/>
          </w:tcPr>
          <w:p>
            <w:pPr>
              <w:spacing w:before="95" w:line="185" w:lineRule="auto"/>
              <w:ind w:left="651"/>
              <w:rPr>
                <w:rFonts w:ascii="Calibri" w:hAnsi="Calibri" w:eastAsia="Calibri" w:cs="Calibri"/>
                <w:color w:val="auto"/>
                <w:sz w:val="20"/>
                <w:szCs w:val="20"/>
                <w:highlight w:val="none"/>
              </w:rPr>
            </w:pPr>
            <w:r>
              <w:rPr>
                <w:rFonts w:ascii="Calibri" w:hAnsi="Calibri" w:eastAsia="Calibri" w:cs="Calibri"/>
                <w:color w:val="auto"/>
                <w:sz w:val="20"/>
                <w:szCs w:val="20"/>
                <w:highlight w:val="none"/>
              </w:rPr>
              <w:t>1</w:t>
            </w:r>
          </w:p>
        </w:tc>
        <w:tc>
          <w:tcPr>
            <w:tcW w:w="1503" w:type="dxa"/>
            <w:vAlign w:val="top"/>
          </w:tcPr>
          <w:p>
            <w:pPr>
              <w:spacing w:before="94" w:line="186" w:lineRule="auto"/>
              <w:ind w:left="654"/>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70</w:t>
            </w:r>
          </w:p>
        </w:tc>
        <w:tc>
          <w:tcPr>
            <w:tcW w:w="1060" w:type="dxa"/>
            <w:vAlign w:val="top"/>
          </w:tcPr>
          <w:p>
            <w:pPr>
              <w:spacing w:before="96" w:line="184" w:lineRule="auto"/>
              <w:ind w:left="435"/>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55</w:t>
            </w:r>
          </w:p>
        </w:tc>
        <w:tc>
          <w:tcPr>
            <w:tcW w:w="978" w:type="dxa"/>
            <w:vAlign w:val="top"/>
          </w:tcPr>
          <w:p>
            <w:pPr>
              <w:spacing w:before="95" w:line="185" w:lineRule="auto"/>
              <w:ind w:left="326"/>
              <w:rPr>
                <w:rFonts w:ascii="Calibri" w:hAnsi="Calibri" w:eastAsia="Calibri" w:cs="Calibri"/>
                <w:color w:val="auto"/>
                <w:sz w:val="20"/>
                <w:szCs w:val="20"/>
                <w:highlight w:val="none"/>
              </w:rPr>
            </w:pPr>
            <w:r>
              <w:rPr>
                <w:rFonts w:ascii="Calibri" w:hAnsi="Calibri" w:eastAsia="Calibri" w:cs="Calibri"/>
                <w:color w:val="auto"/>
                <w:spacing w:val="4"/>
                <w:sz w:val="20"/>
                <w:szCs w:val="20"/>
                <w:highlight w:val="none"/>
              </w:rPr>
              <w:t>1</w:t>
            </w:r>
            <w:r>
              <w:rPr>
                <w:rFonts w:ascii="Calibri" w:hAnsi="Calibri" w:eastAsia="Calibri" w:cs="Calibri"/>
                <w:color w:val="auto"/>
                <w:spacing w:val="2"/>
                <w:sz w:val="20"/>
                <w:szCs w:val="20"/>
                <w:highlight w:val="none"/>
              </w:rPr>
              <w:t>4.1</w:t>
            </w:r>
          </w:p>
        </w:tc>
        <w:tc>
          <w:tcPr>
            <w:tcW w:w="1090" w:type="dxa"/>
            <w:tcBorders>
              <w:right w:val="single" w:color="000000" w:sz="10" w:space="0"/>
            </w:tcBorders>
            <w:vAlign w:val="top"/>
          </w:tcPr>
          <w:p>
            <w:pPr>
              <w:spacing w:before="94" w:line="186" w:lineRule="auto"/>
              <w:ind w:left="370"/>
              <w:rPr>
                <w:rFonts w:ascii="Calibri" w:hAnsi="Calibri" w:eastAsia="Calibri" w:cs="Calibri"/>
                <w:color w:val="auto"/>
                <w:sz w:val="20"/>
                <w:szCs w:val="20"/>
                <w:highlight w:val="none"/>
              </w:rPr>
            </w:pPr>
            <w:r>
              <w:rPr>
                <w:rFonts w:ascii="Calibri" w:hAnsi="Calibri" w:eastAsia="Calibri" w:cs="Calibri"/>
                <w:color w:val="auto"/>
                <w:spacing w:val="2"/>
                <w:sz w:val="20"/>
                <w:szCs w:val="20"/>
                <w:highlight w:val="none"/>
              </w:rPr>
              <w:t>7</w:t>
            </w:r>
            <w:r>
              <w:rPr>
                <w:rFonts w:ascii="Calibri" w:hAnsi="Calibri" w:eastAsia="Calibri" w:cs="Calibri"/>
                <w:color w:val="auto"/>
                <w:spacing w:val="1"/>
                <w:sz w:val="20"/>
                <w:szCs w:val="20"/>
                <w:highlight w:val="none"/>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86" w:type="dxa"/>
            <w:tcBorders>
              <w:left w:val="single" w:color="000000" w:sz="10" w:space="0"/>
            </w:tcBorders>
            <w:vAlign w:val="top"/>
          </w:tcPr>
          <w:p>
            <w:pPr>
              <w:spacing w:before="53" w:line="230" w:lineRule="auto"/>
              <w:ind w:left="749"/>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电</w:t>
            </w:r>
            <w:r>
              <w:rPr>
                <w:rFonts w:ascii="宋体" w:hAnsi="宋体" w:eastAsia="宋体" w:cs="宋体"/>
                <w:color w:val="auto"/>
                <w:spacing w:val="-7"/>
                <w:sz w:val="20"/>
                <w:szCs w:val="20"/>
                <w:highlight w:val="none"/>
              </w:rPr>
              <w:t>锯</w:t>
            </w:r>
          </w:p>
        </w:tc>
        <w:tc>
          <w:tcPr>
            <w:tcW w:w="1171" w:type="dxa"/>
            <w:vAlign w:val="top"/>
          </w:tcPr>
          <w:p>
            <w:pPr>
              <w:spacing w:before="95" w:line="186" w:lineRule="auto"/>
              <w:ind w:left="435"/>
              <w:rPr>
                <w:rFonts w:ascii="Calibri" w:hAnsi="Calibri" w:eastAsia="Calibri" w:cs="Calibri"/>
                <w:color w:val="auto"/>
                <w:sz w:val="20"/>
                <w:szCs w:val="20"/>
                <w:highlight w:val="none"/>
              </w:rPr>
            </w:pPr>
            <w:r>
              <w:rPr>
                <w:rFonts w:ascii="Calibri" w:hAnsi="Calibri" w:eastAsia="Calibri" w:cs="Calibri"/>
                <w:color w:val="auto"/>
                <w:spacing w:val="-2"/>
                <w:sz w:val="20"/>
                <w:szCs w:val="20"/>
                <w:highlight w:val="none"/>
              </w:rPr>
              <w:t>10</w:t>
            </w:r>
            <w:r>
              <w:rPr>
                <w:rFonts w:ascii="Calibri" w:hAnsi="Calibri" w:eastAsia="Calibri" w:cs="Calibri"/>
                <w:color w:val="auto"/>
                <w:spacing w:val="-1"/>
                <w:sz w:val="20"/>
                <w:szCs w:val="20"/>
                <w:highlight w:val="none"/>
              </w:rPr>
              <w:t>3</w:t>
            </w:r>
          </w:p>
        </w:tc>
        <w:tc>
          <w:tcPr>
            <w:tcW w:w="1384" w:type="dxa"/>
            <w:vAlign w:val="top"/>
          </w:tcPr>
          <w:p>
            <w:pPr>
              <w:spacing w:before="96" w:line="185" w:lineRule="auto"/>
              <w:ind w:left="651"/>
              <w:rPr>
                <w:rFonts w:ascii="Calibri" w:hAnsi="Calibri" w:eastAsia="Calibri" w:cs="Calibri"/>
                <w:color w:val="auto"/>
                <w:sz w:val="20"/>
                <w:szCs w:val="20"/>
                <w:highlight w:val="none"/>
              </w:rPr>
            </w:pPr>
            <w:r>
              <w:rPr>
                <w:rFonts w:ascii="Calibri" w:hAnsi="Calibri" w:eastAsia="Calibri" w:cs="Calibri"/>
                <w:color w:val="auto"/>
                <w:sz w:val="20"/>
                <w:szCs w:val="20"/>
                <w:highlight w:val="none"/>
              </w:rPr>
              <w:t>1</w:t>
            </w:r>
          </w:p>
        </w:tc>
        <w:tc>
          <w:tcPr>
            <w:tcW w:w="1503" w:type="dxa"/>
            <w:vAlign w:val="top"/>
          </w:tcPr>
          <w:p>
            <w:pPr>
              <w:spacing w:before="95" w:line="186" w:lineRule="auto"/>
              <w:ind w:left="654"/>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70</w:t>
            </w:r>
          </w:p>
        </w:tc>
        <w:tc>
          <w:tcPr>
            <w:tcW w:w="1060" w:type="dxa"/>
            <w:vAlign w:val="top"/>
          </w:tcPr>
          <w:p>
            <w:pPr>
              <w:spacing w:before="97" w:line="184" w:lineRule="auto"/>
              <w:ind w:left="435"/>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55</w:t>
            </w:r>
          </w:p>
        </w:tc>
        <w:tc>
          <w:tcPr>
            <w:tcW w:w="978" w:type="dxa"/>
            <w:vAlign w:val="top"/>
          </w:tcPr>
          <w:p>
            <w:pPr>
              <w:spacing w:before="96" w:line="185" w:lineRule="auto"/>
              <w:ind w:left="313"/>
              <w:rPr>
                <w:rFonts w:ascii="Calibri" w:hAnsi="Calibri" w:eastAsia="Calibri" w:cs="Calibri"/>
                <w:color w:val="auto"/>
                <w:sz w:val="20"/>
                <w:szCs w:val="20"/>
                <w:highlight w:val="none"/>
              </w:rPr>
            </w:pPr>
            <w:r>
              <w:rPr>
                <w:rFonts w:ascii="Calibri" w:hAnsi="Calibri" w:eastAsia="Calibri" w:cs="Calibri"/>
                <w:color w:val="auto"/>
                <w:spacing w:val="4"/>
                <w:sz w:val="20"/>
                <w:szCs w:val="20"/>
                <w:highlight w:val="none"/>
              </w:rPr>
              <w:t>44.</w:t>
            </w:r>
            <w:r>
              <w:rPr>
                <w:rFonts w:ascii="Calibri" w:hAnsi="Calibri" w:eastAsia="Calibri" w:cs="Calibri"/>
                <w:color w:val="auto"/>
                <w:spacing w:val="3"/>
                <w:sz w:val="20"/>
                <w:szCs w:val="20"/>
                <w:highlight w:val="none"/>
              </w:rPr>
              <w:t>7</w:t>
            </w:r>
          </w:p>
        </w:tc>
        <w:tc>
          <w:tcPr>
            <w:tcW w:w="1090" w:type="dxa"/>
            <w:tcBorders>
              <w:right w:val="single" w:color="000000" w:sz="10" w:space="0"/>
            </w:tcBorders>
            <w:vAlign w:val="top"/>
          </w:tcPr>
          <w:p>
            <w:pPr>
              <w:spacing w:before="95" w:line="186" w:lineRule="auto"/>
              <w:ind w:left="319"/>
              <w:rPr>
                <w:rFonts w:ascii="Calibri" w:hAnsi="Calibri" w:eastAsia="Calibri" w:cs="Calibri"/>
                <w:color w:val="auto"/>
                <w:sz w:val="20"/>
                <w:szCs w:val="20"/>
                <w:highlight w:val="none"/>
              </w:rPr>
            </w:pPr>
            <w:r>
              <w:rPr>
                <w:rFonts w:ascii="Calibri" w:hAnsi="Calibri" w:eastAsia="Calibri" w:cs="Calibri"/>
                <w:color w:val="auto"/>
                <w:spacing w:val="5"/>
                <w:sz w:val="20"/>
                <w:szCs w:val="20"/>
                <w:highlight w:val="none"/>
              </w:rPr>
              <w:t>2</w:t>
            </w:r>
            <w:r>
              <w:rPr>
                <w:rFonts w:ascii="Calibri" w:hAnsi="Calibri" w:eastAsia="Calibri" w:cs="Calibri"/>
                <w:color w:val="auto"/>
                <w:spacing w:val="3"/>
                <w:sz w:val="20"/>
                <w:szCs w:val="20"/>
                <w:highlight w:val="none"/>
              </w:rPr>
              <w:t>51.2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86" w:type="dxa"/>
            <w:tcBorders>
              <w:left w:val="single" w:color="000000" w:sz="10" w:space="0"/>
            </w:tcBorders>
            <w:vAlign w:val="top"/>
          </w:tcPr>
          <w:p>
            <w:pPr>
              <w:spacing w:before="53" w:line="227" w:lineRule="auto"/>
              <w:ind w:left="621"/>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升</w:t>
            </w:r>
            <w:r>
              <w:rPr>
                <w:rFonts w:ascii="宋体" w:hAnsi="宋体" w:eastAsia="宋体" w:cs="宋体"/>
                <w:color w:val="auto"/>
                <w:spacing w:val="6"/>
                <w:sz w:val="20"/>
                <w:szCs w:val="20"/>
                <w:highlight w:val="none"/>
              </w:rPr>
              <w:t>降机</w:t>
            </w:r>
          </w:p>
        </w:tc>
        <w:tc>
          <w:tcPr>
            <w:tcW w:w="1171" w:type="dxa"/>
            <w:vAlign w:val="top"/>
          </w:tcPr>
          <w:p>
            <w:pPr>
              <w:spacing w:before="97" w:line="186" w:lineRule="auto"/>
              <w:ind w:left="480"/>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78</w:t>
            </w:r>
          </w:p>
        </w:tc>
        <w:tc>
          <w:tcPr>
            <w:tcW w:w="1384" w:type="dxa"/>
            <w:vAlign w:val="top"/>
          </w:tcPr>
          <w:p>
            <w:pPr>
              <w:spacing w:before="98" w:line="185" w:lineRule="auto"/>
              <w:ind w:left="651"/>
              <w:rPr>
                <w:rFonts w:ascii="Calibri" w:hAnsi="Calibri" w:eastAsia="Calibri" w:cs="Calibri"/>
                <w:color w:val="auto"/>
                <w:sz w:val="20"/>
                <w:szCs w:val="20"/>
                <w:highlight w:val="none"/>
              </w:rPr>
            </w:pPr>
            <w:r>
              <w:rPr>
                <w:rFonts w:ascii="Calibri" w:hAnsi="Calibri" w:eastAsia="Calibri" w:cs="Calibri"/>
                <w:color w:val="auto"/>
                <w:sz w:val="20"/>
                <w:szCs w:val="20"/>
                <w:highlight w:val="none"/>
              </w:rPr>
              <w:t>1</w:t>
            </w:r>
          </w:p>
        </w:tc>
        <w:tc>
          <w:tcPr>
            <w:tcW w:w="1503" w:type="dxa"/>
            <w:vAlign w:val="top"/>
          </w:tcPr>
          <w:p>
            <w:pPr>
              <w:spacing w:before="94" w:line="186" w:lineRule="auto"/>
              <w:ind w:left="654"/>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70</w:t>
            </w:r>
          </w:p>
        </w:tc>
        <w:tc>
          <w:tcPr>
            <w:tcW w:w="1060" w:type="dxa"/>
            <w:vAlign w:val="top"/>
          </w:tcPr>
          <w:p>
            <w:pPr>
              <w:spacing w:before="96" w:line="184" w:lineRule="auto"/>
              <w:ind w:left="435"/>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55</w:t>
            </w:r>
          </w:p>
        </w:tc>
        <w:tc>
          <w:tcPr>
            <w:tcW w:w="978" w:type="dxa"/>
            <w:vAlign w:val="top"/>
          </w:tcPr>
          <w:p>
            <w:pPr>
              <w:spacing w:before="94" w:line="186" w:lineRule="auto"/>
              <w:ind w:left="451"/>
              <w:rPr>
                <w:rFonts w:ascii="Calibri" w:hAnsi="Calibri" w:eastAsia="Calibri" w:cs="Calibri"/>
                <w:color w:val="auto"/>
                <w:sz w:val="20"/>
                <w:szCs w:val="20"/>
                <w:highlight w:val="none"/>
              </w:rPr>
            </w:pPr>
            <w:r>
              <w:rPr>
                <w:rFonts w:ascii="Calibri" w:hAnsi="Calibri" w:eastAsia="Calibri" w:cs="Calibri"/>
                <w:color w:val="auto"/>
                <w:sz w:val="20"/>
                <w:szCs w:val="20"/>
                <w:highlight w:val="none"/>
              </w:rPr>
              <w:t>6</w:t>
            </w:r>
          </w:p>
        </w:tc>
        <w:tc>
          <w:tcPr>
            <w:tcW w:w="1090" w:type="dxa"/>
            <w:tcBorders>
              <w:right w:val="single" w:color="000000" w:sz="10" w:space="0"/>
            </w:tcBorders>
            <w:vAlign w:val="top"/>
          </w:tcPr>
          <w:p>
            <w:pPr>
              <w:spacing w:before="96" w:line="185" w:lineRule="auto"/>
              <w:ind w:left="377"/>
              <w:rPr>
                <w:rFonts w:ascii="Calibri" w:hAnsi="Calibri" w:eastAsia="Calibri" w:cs="Calibri"/>
                <w:color w:val="auto"/>
                <w:sz w:val="20"/>
                <w:szCs w:val="20"/>
                <w:highlight w:val="none"/>
              </w:rPr>
            </w:pPr>
            <w:r>
              <w:rPr>
                <w:rFonts w:ascii="Calibri" w:hAnsi="Calibri" w:eastAsia="Calibri" w:cs="Calibri"/>
                <w:color w:val="auto"/>
                <w:spacing w:val="4"/>
                <w:sz w:val="20"/>
                <w:szCs w:val="20"/>
                <w:highlight w:val="none"/>
              </w:rPr>
              <w:t>1</w:t>
            </w:r>
            <w:r>
              <w:rPr>
                <w:rFonts w:ascii="Calibri" w:hAnsi="Calibri" w:eastAsia="Calibri" w:cs="Calibri"/>
                <w:color w:val="auto"/>
                <w:spacing w:val="2"/>
                <w:sz w:val="20"/>
                <w:szCs w:val="20"/>
                <w:highlight w:val="none"/>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886" w:type="dxa"/>
            <w:tcBorders>
              <w:left w:val="single" w:color="000000" w:sz="10" w:space="0"/>
            </w:tcBorders>
            <w:vAlign w:val="top"/>
          </w:tcPr>
          <w:p>
            <w:pPr>
              <w:spacing w:before="55" w:line="227" w:lineRule="auto"/>
              <w:ind w:left="618"/>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切割机</w:t>
            </w:r>
          </w:p>
        </w:tc>
        <w:tc>
          <w:tcPr>
            <w:tcW w:w="1171" w:type="dxa"/>
            <w:vAlign w:val="top"/>
          </w:tcPr>
          <w:p>
            <w:pPr>
              <w:spacing w:before="96" w:line="186" w:lineRule="auto"/>
              <w:ind w:left="478"/>
              <w:rPr>
                <w:rFonts w:ascii="Calibri" w:hAnsi="Calibri" w:eastAsia="Calibri" w:cs="Calibri"/>
                <w:color w:val="auto"/>
                <w:sz w:val="20"/>
                <w:szCs w:val="20"/>
                <w:highlight w:val="none"/>
              </w:rPr>
            </w:pPr>
            <w:r>
              <w:rPr>
                <w:rFonts w:ascii="Calibri" w:hAnsi="Calibri" w:eastAsia="Calibri" w:cs="Calibri"/>
                <w:color w:val="auto"/>
                <w:sz w:val="20"/>
                <w:szCs w:val="20"/>
                <w:highlight w:val="none"/>
              </w:rPr>
              <w:t>88</w:t>
            </w:r>
          </w:p>
        </w:tc>
        <w:tc>
          <w:tcPr>
            <w:tcW w:w="1384" w:type="dxa"/>
            <w:vAlign w:val="top"/>
          </w:tcPr>
          <w:p>
            <w:pPr>
              <w:spacing w:before="98" w:line="185" w:lineRule="auto"/>
              <w:ind w:left="651"/>
              <w:rPr>
                <w:rFonts w:ascii="Calibri" w:hAnsi="Calibri" w:eastAsia="Calibri" w:cs="Calibri"/>
                <w:color w:val="auto"/>
                <w:sz w:val="20"/>
                <w:szCs w:val="20"/>
                <w:highlight w:val="none"/>
              </w:rPr>
            </w:pPr>
            <w:r>
              <w:rPr>
                <w:rFonts w:ascii="Calibri" w:hAnsi="Calibri" w:eastAsia="Calibri" w:cs="Calibri"/>
                <w:color w:val="auto"/>
                <w:sz w:val="20"/>
                <w:szCs w:val="20"/>
                <w:highlight w:val="none"/>
              </w:rPr>
              <w:t>1</w:t>
            </w:r>
          </w:p>
        </w:tc>
        <w:tc>
          <w:tcPr>
            <w:tcW w:w="1503" w:type="dxa"/>
            <w:vAlign w:val="top"/>
          </w:tcPr>
          <w:p>
            <w:pPr>
              <w:spacing w:before="94" w:line="186" w:lineRule="auto"/>
              <w:ind w:left="654"/>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70</w:t>
            </w:r>
          </w:p>
        </w:tc>
        <w:tc>
          <w:tcPr>
            <w:tcW w:w="1060" w:type="dxa"/>
            <w:vAlign w:val="top"/>
          </w:tcPr>
          <w:p>
            <w:pPr>
              <w:spacing w:before="96" w:line="184" w:lineRule="auto"/>
              <w:ind w:left="435"/>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55</w:t>
            </w:r>
          </w:p>
        </w:tc>
        <w:tc>
          <w:tcPr>
            <w:tcW w:w="978" w:type="dxa"/>
            <w:vAlign w:val="top"/>
          </w:tcPr>
          <w:p>
            <w:pPr>
              <w:spacing w:before="93" w:line="188" w:lineRule="auto"/>
              <w:ind w:left="371"/>
              <w:rPr>
                <w:rFonts w:ascii="Calibri" w:hAnsi="Calibri" w:eastAsia="Calibri" w:cs="Calibri"/>
                <w:color w:val="auto"/>
                <w:sz w:val="20"/>
                <w:szCs w:val="20"/>
                <w:highlight w:val="none"/>
              </w:rPr>
            </w:pPr>
            <w:r>
              <w:rPr>
                <w:rFonts w:ascii="Calibri" w:hAnsi="Calibri" w:eastAsia="Calibri" w:cs="Calibri"/>
                <w:color w:val="auto"/>
                <w:spacing w:val="2"/>
                <w:sz w:val="20"/>
                <w:szCs w:val="20"/>
                <w:highlight w:val="none"/>
              </w:rPr>
              <w:t>7</w:t>
            </w:r>
            <w:r>
              <w:rPr>
                <w:rFonts w:ascii="Calibri" w:hAnsi="Calibri" w:eastAsia="Calibri" w:cs="Calibri"/>
                <w:color w:val="auto"/>
                <w:spacing w:val="1"/>
                <w:sz w:val="20"/>
                <w:szCs w:val="20"/>
                <w:highlight w:val="none"/>
              </w:rPr>
              <w:t>.9</w:t>
            </w:r>
          </w:p>
        </w:tc>
        <w:tc>
          <w:tcPr>
            <w:tcW w:w="1090" w:type="dxa"/>
            <w:tcBorders>
              <w:right w:val="single" w:color="000000" w:sz="10" w:space="0"/>
            </w:tcBorders>
            <w:vAlign w:val="top"/>
          </w:tcPr>
          <w:p>
            <w:pPr>
              <w:spacing w:before="95" w:line="185" w:lineRule="auto"/>
              <w:ind w:left="365"/>
              <w:rPr>
                <w:rFonts w:ascii="Calibri" w:hAnsi="Calibri" w:eastAsia="Calibri" w:cs="Calibri"/>
                <w:color w:val="auto"/>
                <w:sz w:val="20"/>
                <w:szCs w:val="20"/>
                <w:highlight w:val="none"/>
              </w:rPr>
            </w:pPr>
            <w:r>
              <w:rPr>
                <w:rFonts w:ascii="Calibri" w:hAnsi="Calibri" w:eastAsia="Calibri" w:cs="Calibri"/>
                <w:color w:val="auto"/>
                <w:spacing w:val="4"/>
                <w:sz w:val="20"/>
                <w:szCs w:val="20"/>
                <w:highlight w:val="none"/>
              </w:rPr>
              <w:t>44.</w:t>
            </w:r>
            <w:r>
              <w:rPr>
                <w:rFonts w:ascii="Calibri" w:hAnsi="Calibri" w:eastAsia="Calibri" w:cs="Calibri"/>
                <w:color w:val="auto"/>
                <w:spacing w:val="3"/>
                <w:sz w:val="20"/>
                <w:szCs w:val="20"/>
                <w:highlight w:val="none"/>
              </w:rPr>
              <w:t>7</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从上表可以看出，施工机械噪声由于噪声级较高，在空旷地带声传播距离较远，昼 间最大在 53.2m 外可满足《建筑施工场界环境噪声排放标准》要求，夜间距离可达300m。 但由于施工机械位置的不确定性，施工机械噪声为间断性噪声，仅昼间施工，因此，500kV 汇集站周围 200m 范围内无敏感点，施工厂界昼间噪声排放可满足《建筑施工场界环境 噪声排放标准》(GB12523-2011)的要求，对夜间噪声不会增加影响。线路塔基施工处、 牵张场施工厂界周边无声环境敏感目标，施工厂界可以满足建筑施工场界环境噪声排放 标准》(GB12523-2011)的要求。</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sectPr>
          <w:headerReference r:id="rId11" w:type="default"/>
          <w:footerReference r:id="rId12" w:type="default"/>
          <w:pgSz w:w="11906" w:h="16839"/>
          <w:pgMar w:top="1212" w:right="1337" w:bottom="1156" w:left="1295" w:header="970" w:footer="996" w:gutter="0"/>
          <w:pgBorders>
            <w:top w:val="none" w:sz="0" w:space="0"/>
            <w:left w:val="none" w:sz="0" w:space="0"/>
            <w:bottom w:val="none" w:sz="0" w:space="0"/>
            <w:right w:val="none" w:sz="0" w:space="0"/>
          </w:pgBorders>
          <w:pgNumType w:fmt="decimal"/>
          <w:cols w:space="720" w:num="1"/>
        </w:sectPr>
      </w:pP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83" w:name="_Toc25062"/>
      <w:r>
        <w:rPr>
          <w:rFonts w:hint="eastAsia" w:ascii="Times New Roman" w:hAnsi="Times New Roman" w:eastAsia="宋体" w:cs="Times New Roman"/>
          <w:snapToGrid/>
          <w:kern w:val="0"/>
          <w:sz w:val="24"/>
          <w:szCs w:val="24"/>
          <w:highlight w:val="none"/>
          <w:lang w:val="en-US" w:eastAsia="zh-CN" w:bidi="ar"/>
        </w:rPr>
        <w:t>（3） 拟采取的环保措施</w:t>
      </w:r>
      <w:bookmarkEnd w:id="83"/>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为尽量降低施工噪声对周围环境的影响，本环评要求施工单位在施工期采取下列施工期噪声污染防治措施：</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1)强化施工管理，加强施工期的环境管理和环境监理工作，并接受生态环境部门的 监督管理。</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2)采用噪声水平满足国家相关标准的施工机械或采取带隔声、消声设备的机械，控 制设备噪声源强。注意对施工设备的维修、保养，使各种施工机械保持良好的运行状态。</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3)限制夜间(22:00-6:00)施工，站区施工应尽可能安排在白天进行。如因工艺特殊情 况要求，需在夜间施工时，应满足《中华人民共和国噪声污染防治法》的相关规定。</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4)运输材料的车辆进入施工现场严禁鸣笛，装卸材料时应做到轻拿轻放。</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84" w:name="_Toc27167"/>
      <w:r>
        <w:rPr>
          <w:rFonts w:hint="eastAsia" w:ascii="Times New Roman" w:hAnsi="Times New Roman" w:eastAsia="宋体" w:cs="Times New Roman"/>
          <w:snapToGrid/>
          <w:kern w:val="0"/>
          <w:sz w:val="24"/>
          <w:szCs w:val="24"/>
          <w:highlight w:val="none"/>
          <w:lang w:val="en-US" w:eastAsia="zh-CN" w:bidi="ar"/>
        </w:rPr>
        <w:t>（4）小结</w:t>
      </w:r>
      <w:bookmarkEnd w:id="84"/>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在采取上述噪声污染防治措施后，可将500kV 汇集站施工期对周边声环境的影响降 至最低。同时，施工期的声环境影响是短暂的，在施工结束后施工噪声影响也将随之消失。</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综上所述，本工程500kV 汇集站施工期间施工噪声可以满足《建筑施工场界环境噪 声排放标准》(GB12523-2011)的要求。</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85" w:name="_bookmark114"/>
      <w:bookmarkEnd w:id="85"/>
      <w:bookmarkStart w:id="86" w:name="_Toc1493"/>
      <w:r>
        <w:rPr>
          <w:rFonts w:hint="eastAsia" w:ascii="Times New Roman" w:hAnsi="Times New Roman" w:eastAsia="宋体" w:cs="Times New Roman"/>
          <w:snapToGrid/>
          <w:kern w:val="0"/>
          <w:sz w:val="24"/>
          <w:szCs w:val="24"/>
          <w:highlight w:val="none"/>
          <w:lang w:val="en-US" w:eastAsia="zh-CN" w:bidi="ar"/>
        </w:rPr>
        <w:t>5.2.2    交流输电线路工程</w:t>
      </w:r>
      <w:bookmarkEnd w:id="86"/>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交流输电线路工程在施工期的场地平整、挖土填方、钢结构及设备安装等几个阶段中，主要噪声源有混凝土搅拌机、电锯及交通运输噪声等。此外，线路工程在架线施工 过程中。根据交流输电线路塔基施工特点，各施工点施工量小，施工时间短。施工结束，施工噪声影响亦会结束。本环评建议依法限制夜间施工，如因工艺特殊情况要求，需在夜间施工时，应满足《中华人民共和国噪声污染防治法》的相关规定。采用噪声水平满足国家相关标准的施工机械，控制设备噪声源强。注意对施工设备的维修、保养，使各种施工机械保持良好的运行状态。运输材料的车辆进入施工现场严禁鸣笛，装卸材 料时应做到轻拿轻放。在采取以上噪声污染防治措施后，施工噪声对外环境的影响将被 减至最小程度。本工程施工期的噪声影响可满足《建筑施工场界环境噪声排放标准》 (GB12523-2011)的限值要求。</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87" w:name="_bookmark115"/>
      <w:bookmarkEnd w:id="87"/>
      <w:bookmarkStart w:id="88" w:name="_Toc11581"/>
      <w:bookmarkStart w:id="89" w:name="_Toc12272"/>
      <w:r>
        <w:rPr>
          <w:rFonts w:hint="eastAsia" w:ascii="Times New Roman" w:hAnsi="Times New Roman" w:eastAsia="宋体" w:cs="Times New Roman"/>
          <w:snapToGrid/>
          <w:sz w:val="32"/>
          <w:lang w:val="en-US" w:eastAsia="zh-CN" w:bidi="ar-SA"/>
        </w:rPr>
        <w:t>5.3  施工扬尘分析</w:t>
      </w:r>
      <w:bookmarkEnd w:id="88"/>
      <w:bookmarkEnd w:id="89"/>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90" w:name="_bookmark116"/>
      <w:bookmarkEnd w:id="90"/>
      <w:bookmarkStart w:id="91" w:name="_Toc16472"/>
      <w:r>
        <w:rPr>
          <w:rFonts w:hint="eastAsia" w:ascii="Times New Roman" w:hAnsi="Times New Roman" w:eastAsia="宋体" w:cs="Times New Roman"/>
          <w:snapToGrid/>
          <w:kern w:val="0"/>
          <w:sz w:val="24"/>
          <w:szCs w:val="24"/>
          <w:highlight w:val="none"/>
          <w:lang w:val="en-US" w:eastAsia="zh-CN" w:bidi="ar"/>
        </w:rPr>
        <w:t>5.3.1    500kV 汇集站</w:t>
      </w:r>
      <w:bookmarkEnd w:id="91"/>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92" w:name="_Toc16445"/>
      <w:r>
        <w:rPr>
          <w:rFonts w:hint="eastAsia" w:ascii="Times New Roman" w:hAnsi="Times New Roman" w:eastAsia="宋体" w:cs="Times New Roman"/>
          <w:snapToGrid/>
          <w:kern w:val="0"/>
          <w:sz w:val="24"/>
          <w:szCs w:val="24"/>
          <w:highlight w:val="none"/>
          <w:lang w:val="en-US" w:eastAsia="zh-CN" w:bidi="ar"/>
        </w:rPr>
        <w:t>（1） 主要污染源</w:t>
      </w:r>
      <w:bookmarkEnd w:id="92"/>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施工扬尘主要来自土方挖掘、物料运输和使用、施工现场内车辆行驶扬尘等。由于 扬尘源多且分散，源高一般在15m 以下，属于无组织排放。同时，受施工方式、设备、 气候等因素制约，产生的随机性和波动性较大。</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93" w:name="_Toc21854"/>
      <w:r>
        <w:rPr>
          <w:rFonts w:hint="eastAsia" w:ascii="Times New Roman" w:hAnsi="Times New Roman" w:eastAsia="宋体" w:cs="Times New Roman"/>
          <w:snapToGrid/>
          <w:kern w:val="0"/>
          <w:sz w:val="24"/>
          <w:szCs w:val="24"/>
          <w:highlight w:val="none"/>
          <w:lang w:val="en-US" w:eastAsia="zh-CN" w:bidi="ar"/>
        </w:rPr>
        <w:t>1、大气环境影响分析</w:t>
      </w:r>
      <w:bookmarkEnd w:id="93"/>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①场地扬尘</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本项目建设期主要为土建阶段，场地平整、土石方开挖、材料运输、堆放产生的扬 尘。根据生态环境部公告2014 年第92 号《扬尘源颗粒物排放清单编制技术指南(试行)》 进行核算，整个施工期扬尘排放量为0.43t/a 。根据类比资料，施工场地扬尘一般为 2.176～3.435mg/m3，场地下风向 50m 施工扬尘高达1.5mg/m3。在施工阶段站内施工场 地地表裸露，在长期干燥无雨及大风天气条件下，裸露地面和堆置的土石方极易产生风 蚀扬尘，风蚀扬尘影响范围通常不超过200m 。根据参考监测资料，施工扬尘影响主要在下风向距离200m 范围内，超标范围在下风向100m 范围内。</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②运输扬尘</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道路扬尘的起尘量与运输车辆的车速、载重量、车流量和路面含尘量等因素有关。一般而言，扬尘污染与路面湿度呈负相关，而与运行速度及车流量呈正相关，扬尘影响 范围局限于道路两侧近距离内。据类比调查，运输道路下风向颗粒物轴线净增浓度主要是对道路两侧各50m 范围影响较大，将形成扬尘污染带。</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运输道路沿线分布有零散居民点，物料运输扬尘对沿线敏感带将产生影响。为此，采取定期洒水抑尘，物料运输车辆加盖篷布，防止洒落，严禁车辆超载，运输车辆经过 敏感点减速慢行，最大幅度减少运输过程扬尘产生量，降低对沿线环境空气的扬尘影响。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③施工机械废气</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施工机械设备及车辆多为大动力柴油发动机，将排放一定量的燃油废气，废气中主 要污染物为CO 、NOx 、HC 等。 由于本项目施工量较小，施工机械使用量少，则排放的 机械废气量也较小，排放后很快扩散或被周边植被吸收、滞留，对外环境影响小。</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本项目施工量较小，在采取相应的环保措施后，施工扬尘和废气对周围的环境影响 较小。随着本项目施工结束，施工扬尘和废气污染也随之消失。</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94" w:name="_Toc22077"/>
      <w:r>
        <w:rPr>
          <w:rFonts w:hint="eastAsia" w:ascii="Times New Roman" w:hAnsi="Times New Roman" w:eastAsia="宋体" w:cs="Times New Roman"/>
          <w:snapToGrid/>
          <w:kern w:val="0"/>
          <w:sz w:val="24"/>
          <w:szCs w:val="24"/>
          <w:highlight w:val="none"/>
          <w:lang w:val="en-US" w:eastAsia="zh-CN" w:bidi="ar"/>
        </w:rPr>
        <w:t>2、污染防治措施</w:t>
      </w:r>
      <w:bookmarkEnd w:id="94"/>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建议施工期采取如下扬尘污染防治措施：</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( 1)将施工工地扬尘污染防治纳入文明施工管理范畴，建立扬尘控制责任制度。施工 组织设计中，必须制定施工现场扬尘预防治理专项方案，并指定专人负责落实。</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95" w:name="_Toc16318"/>
      <w:bookmarkStart w:id="96" w:name="_Toc7034"/>
      <w:r>
        <w:rPr>
          <w:rFonts w:hint="eastAsia" w:ascii="Times New Roman" w:hAnsi="Times New Roman" w:eastAsia="宋体" w:cs="Times New Roman"/>
          <w:snapToGrid/>
          <w:sz w:val="32"/>
          <w:lang w:val="en-US" w:eastAsia="zh-CN" w:bidi="ar-SA"/>
        </w:rPr>
        <w:t>5.4    固体废物环境影响分析</w:t>
      </w:r>
      <w:bookmarkEnd w:id="95"/>
      <w:bookmarkEnd w:id="96"/>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97" w:name="_bookmark119"/>
      <w:bookmarkEnd w:id="97"/>
      <w:bookmarkStart w:id="98" w:name="_Toc10359"/>
      <w:r>
        <w:rPr>
          <w:rFonts w:hint="eastAsia" w:ascii="Times New Roman" w:hAnsi="Times New Roman" w:eastAsia="宋体" w:cs="Times New Roman"/>
          <w:snapToGrid/>
          <w:kern w:val="0"/>
          <w:sz w:val="24"/>
          <w:szCs w:val="24"/>
          <w:highlight w:val="none"/>
          <w:lang w:val="en-US" w:eastAsia="zh-CN" w:bidi="ar"/>
        </w:rPr>
        <w:t>5.4.1    主要污染源</w:t>
      </w:r>
      <w:bookmarkEnd w:id="98"/>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施工期固体废物主要为施工人员的生活垃圾和建筑施工垃圾。施工过程中建材损耗、 装修阶段产生的少量废金属及各类建材的包装箱等，产生量为10t 。生活垃圾为施工人 员日常生活所产生，产生量按0.5kg/d 计，施工期施工人员按10人计，产生生活垃圾为1.825t/a。</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99" w:name="_bookmark120"/>
      <w:bookmarkEnd w:id="99"/>
      <w:bookmarkStart w:id="100" w:name="_Toc6494"/>
      <w:r>
        <w:rPr>
          <w:rFonts w:hint="eastAsia" w:ascii="Times New Roman" w:hAnsi="Times New Roman" w:eastAsia="宋体" w:cs="Times New Roman"/>
          <w:snapToGrid/>
          <w:kern w:val="0"/>
          <w:sz w:val="24"/>
          <w:szCs w:val="24"/>
          <w:highlight w:val="none"/>
          <w:lang w:val="en-US" w:eastAsia="zh-CN" w:bidi="ar"/>
        </w:rPr>
        <w:t>5.4.2    环境影响分析</w:t>
      </w:r>
      <w:bookmarkEnd w:id="100"/>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为避免施工建筑垃圾及生活垃圾对环境造成影响，在施工前应作好施工机构及施工人员的环保培训。分类设置垃圾桶，明确要求施工过程中的建筑垃圾及生活垃圾分别堆放，并安排专人专车及时清运或定期运至环卫部门指定的地点处置，使工程建设产生的垃圾处于可控状态。建筑垃圾全部集中收集运往指定建筑垃圾填埋场处置，对环境影响较小。</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01" w:name="_bookmark121"/>
      <w:bookmarkEnd w:id="101"/>
      <w:bookmarkStart w:id="102" w:name="_Toc17504"/>
      <w:bookmarkStart w:id="103" w:name="_Toc19888"/>
      <w:r>
        <w:rPr>
          <w:rFonts w:hint="eastAsia" w:ascii="Times New Roman" w:hAnsi="Times New Roman" w:eastAsia="宋体" w:cs="Times New Roman"/>
          <w:snapToGrid/>
          <w:sz w:val="32"/>
          <w:lang w:val="en-US" w:eastAsia="zh-CN" w:bidi="ar-SA"/>
        </w:rPr>
        <w:t>5.5    地表水环境影响分析</w:t>
      </w:r>
      <w:bookmarkEnd w:id="102"/>
      <w:bookmarkEnd w:id="103"/>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04" w:name="_bookmark122"/>
      <w:bookmarkEnd w:id="104"/>
      <w:bookmarkStart w:id="105" w:name="_Toc3429"/>
      <w:r>
        <w:rPr>
          <w:rFonts w:hint="eastAsia" w:ascii="Times New Roman" w:hAnsi="Times New Roman" w:eastAsia="宋体" w:cs="Times New Roman"/>
          <w:snapToGrid/>
          <w:kern w:val="0"/>
          <w:sz w:val="24"/>
          <w:szCs w:val="24"/>
          <w:highlight w:val="none"/>
          <w:lang w:val="en-US" w:eastAsia="zh-CN" w:bidi="ar"/>
        </w:rPr>
        <w:t>5.5.1    500kV 汇集站</w:t>
      </w:r>
      <w:bookmarkEnd w:id="105"/>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06" w:name="_Toc19109"/>
      <w:r>
        <w:rPr>
          <w:rFonts w:hint="eastAsia" w:ascii="Times New Roman" w:hAnsi="Times New Roman" w:eastAsia="宋体" w:cs="Times New Roman"/>
          <w:snapToGrid/>
          <w:kern w:val="0"/>
          <w:sz w:val="24"/>
          <w:szCs w:val="24"/>
          <w:highlight w:val="none"/>
          <w:lang w:val="en-US" w:eastAsia="zh-CN" w:bidi="ar"/>
        </w:rPr>
        <w:t>（1）  主要污染源</w:t>
      </w:r>
      <w:bookmarkEnd w:id="106"/>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施工期水污染源主要为施工生产废水和施工人员生活污水。生产废水主要由设备清 洗、物料清洗、进出车辆清洗及建筑结构养护等产生；生活污水主要来自于人员的生活。</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生产废水中的污染物主要为SS ，其次为石油类。 由于施工废水排放点分散，废水 中SS 含量较高且部分含有石油类，若任意排放将会对地表水和土壤环境造成一定的不利影响。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施工期人员生活污水产生量为3.84m³/d ，主要污染物为COD 、BOD5 、氨氮、SS等；生活污水需集中处置，若任意排放会对环境造成一定的影响。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07" w:name="_Toc9895"/>
      <w:r>
        <w:rPr>
          <w:rFonts w:hint="eastAsia" w:ascii="Times New Roman" w:hAnsi="Times New Roman" w:eastAsia="宋体" w:cs="Times New Roman"/>
          <w:snapToGrid/>
          <w:kern w:val="0"/>
          <w:sz w:val="24"/>
          <w:szCs w:val="24"/>
          <w:highlight w:val="none"/>
          <w:lang w:val="en-US" w:eastAsia="zh-CN" w:bidi="ar"/>
        </w:rPr>
        <w:t>（2）  施工期水环境影响分析</w:t>
      </w:r>
      <w:bookmarkEnd w:id="107"/>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为尽量减少施工期对水环境的影响，施工期采取如下水污染防治措施：</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1)在施工生产区设置隔油池和沉淀池，将施工生产废水集中，施工生产废水经隔油、 沉淀处理后回用于抑尘喷洒或收集清运。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2)本工程施工人员较少，施工期施工生活污水经旱厕处理后定期清掏外运。 采取上述措施后，500kV 汇集站的施工期水污染能得到有效控制。</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08" w:name="_bookmark123"/>
      <w:bookmarkEnd w:id="108"/>
      <w:bookmarkStart w:id="109" w:name="_Toc334"/>
      <w:r>
        <w:rPr>
          <w:rFonts w:hint="eastAsia" w:ascii="Times New Roman" w:hAnsi="Times New Roman" w:eastAsia="宋体" w:cs="Times New Roman"/>
          <w:snapToGrid/>
          <w:kern w:val="0"/>
          <w:sz w:val="24"/>
          <w:szCs w:val="24"/>
          <w:highlight w:val="none"/>
          <w:lang w:val="en-US" w:eastAsia="zh-CN" w:bidi="ar"/>
        </w:rPr>
        <w:t>5.5.2    交流输电线路工程</w:t>
      </w:r>
      <w:bookmarkEnd w:id="109"/>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本环评要求交流输电线路施工期采取如下措施：</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(1)施工期间划定明确的施工范围，不得随意扩大，施工临时道路要尽量利用已有人抬道路。</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(2)施工时应先设置拦挡，后进行工程建设。架线时采用无人机或其它先进的方式。</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(3施工中临时堆土点应远离跨越的水体。</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(4)基础钻孔或挖孔的渣不能随意堆弃，应运到指定地点堆放。</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(5)尽可能采用商品混凝土。</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(6)合理安排工期，抓紧时间完成施工内容，避免雨季施工。</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由于交流输电线路属线性工程，单塔开挖工程量小，作业点分散，施工时间较短， 影响区域较小；施工具有占地面积小、跨距长、点分散等特点，每个施工点的施工人员 很少，施工人员可租用当地厂房或民房，施工生产废水可经沉淀处理后回用，生活污水 经旱厕出后后定期清掏外运，对地表水环境的影响较小。在采取相关水环境保护措施后， 不会对线路所跨越的河流水环境和水源保护区造成明显不利影响。</w:t>
      </w:r>
    </w:p>
    <w:p>
      <w:pPr>
        <w:rPr>
          <w:color w:val="auto"/>
          <w:highlight w:val="none"/>
        </w:rPr>
        <w:sectPr>
          <w:headerReference r:id="rId13" w:type="default"/>
          <w:footerReference r:id="rId14" w:type="default"/>
          <w:pgSz w:w="11906" w:h="16839"/>
          <w:pgMar w:top="1212" w:right="1356" w:bottom="1156" w:left="1425" w:header="970" w:footer="996" w:gutter="0"/>
          <w:pgBorders>
            <w:top w:val="none" w:sz="0" w:space="0"/>
            <w:left w:val="none" w:sz="0" w:space="0"/>
            <w:bottom w:val="none" w:sz="0" w:space="0"/>
            <w:right w:val="none" w:sz="0" w:space="0"/>
          </w:pgBorders>
          <w:pgNumType w:fmt="decimal"/>
          <w:cols w:space="720" w:num="1"/>
        </w:sectPr>
      </w:pP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10" w:name="_Toc26504"/>
      <w:bookmarkStart w:id="111" w:name="_Toc30462"/>
      <w:r>
        <w:rPr>
          <w:rFonts w:hint="eastAsia" w:ascii="Times New Roman" w:hAnsi="Times New Roman" w:eastAsia="宋体" w:cs="Times New Roman"/>
          <w:snapToGrid/>
          <w:sz w:val="32"/>
          <w:lang w:val="en-US" w:eastAsia="zh-CN" w:bidi="ar-SA"/>
        </w:rPr>
        <w:t>6    运行期环境影响评价</w:t>
      </w:r>
      <w:bookmarkEnd w:id="110"/>
      <w:bookmarkEnd w:id="111"/>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12" w:name="_bookmark125"/>
      <w:bookmarkEnd w:id="112"/>
      <w:bookmarkStart w:id="113" w:name="_Toc19387"/>
      <w:bookmarkStart w:id="114" w:name="_Toc8177"/>
      <w:r>
        <w:rPr>
          <w:rFonts w:hint="eastAsia" w:ascii="Times New Roman" w:hAnsi="Times New Roman" w:eastAsia="宋体" w:cs="Times New Roman"/>
          <w:snapToGrid/>
          <w:sz w:val="32"/>
          <w:lang w:val="en-US" w:eastAsia="zh-CN" w:bidi="ar-SA"/>
        </w:rPr>
        <w:t>6.1    电磁环境影响预测与评价</w:t>
      </w:r>
      <w:bookmarkEnd w:id="113"/>
      <w:bookmarkEnd w:id="114"/>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15" w:name="_bookmark126"/>
      <w:bookmarkEnd w:id="115"/>
      <w:bookmarkStart w:id="116" w:name="_Toc11822"/>
      <w:r>
        <w:rPr>
          <w:rFonts w:hint="eastAsia" w:ascii="Times New Roman" w:hAnsi="Times New Roman" w:eastAsia="宋体" w:cs="Times New Roman"/>
          <w:snapToGrid/>
          <w:kern w:val="0"/>
          <w:sz w:val="24"/>
          <w:szCs w:val="24"/>
          <w:highlight w:val="none"/>
          <w:lang w:val="en-US" w:eastAsia="zh-CN" w:bidi="ar"/>
        </w:rPr>
        <w:t>6.1.1    500kV 汇集站</w:t>
      </w:r>
      <w:bookmarkEnd w:id="116"/>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根据《环境影响评价技术导则 输变电》(HJ24-2020) ，500kV 汇集站工程采用类比 评价法分析运行期的电磁环境影响。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17" w:name="_Toc7839"/>
      <w:r>
        <w:rPr>
          <w:rFonts w:hint="eastAsia" w:ascii="Times New Roman" w:hAnsi="Times New Roman" w:eastAsia="宋体" w:cs="Times New Roman"/>
          <w:snapToGrid/>
          <w:kern w:val="0"/>
          <w:sz w:val="24"/>
          <w:szCs w:val="24"/>
          <w:highlight w:val="none"/>
          <w:lang w:val="en-US" w:eastAsia="zh-CN" w:bidi="ar"/>
        </w:rPr>
        <w:t>( 1)选择类比对象</w:t>
      </w:r>
      <w:bookmarkEnd w:id="117"/>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 类比对象选择原则根据电磁场理论</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①当电气设备接通电源 (即加上电压或称为带电) 时，在其周围空间就形成了工</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频电场。</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②工频电场和工频磁场随距离衰减，是工频电场和工频磁场的基本衰减特性。电 场强度主要取决于电压等级及关心点与源的距离，并与环境湿度、植被及地理地形因子 等屏蔽条件密切相关；磁感应强度主要取决于电流强度及关心点与源的距离。</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根据以往对变电站的电磁环境的类比监测结果，变电站周围的工频磁感应强度远小 于《电磁环境控制限值》  (GB8702-2014) 规定的100μT 标准限值，而变电站围墙外 进出线处的工频电场强度则有可能超过《电磁环境控制限值》(GB8702-2014) 规定的4000V/m  标准限值。因此本工程主要针对工频电场选取类比对象。</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 类比对象的选择</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根据本工程的规模、电压等级、容量、总平面布置、环境条件等因素，本环评选择 湖南长沙鼎功500kV 变电站进行电磁环境的类比监测和评价。两变电站的规模及环境 条件详见表 6. 1- 1。</w:t>
      </w:r>
    </w:p>
    <w:p>
      <w:pPr>
        <w:spacing w:line="281" w:lineRule="exact"/>
        <w:ind w:left="2747"/>
        <w:rPr>
          <w:rFonts w:ascii="黑体" w:hAnsi="黑体" w:eastAsia="黑体" w:cs="黑体"/>
          <w:color w:val="auto"/>
          <w:sz w:val="20"/>
          <w:szCs w:val="20"/>
          <w:highlight w:val="none"/>
        </w:rPr>
      </w:pPr>
      <w:r>
        <w:rPr>
          <w:rFonts w:ascii="黑体" w:hAnsi="黑体" w:eastAsia="黑体" w:cs="黑体"/>
          <w:color w:val="auto"/>
          <w:spacing w:val="2"/>
          <w:position w:val="1"/>
          <w:sz w:val="20"/>
          <w:szCs w:val="20"/>
          <w:highlight w:val="none"/>
        </w:rPr>
        <w:t xml:space="preserve">表 </w:t>
      </w:r>
      <w:r>
        <w:rPr>
          <w:rFonts w:ascii="Times New Roman" w:hAnsi="Times New Roman" w:eastAsia="Times New Roman" w:cs="Times New Roman"/>
          <w:color w:val="auto"/>
          <w:spacing w:val="2"/>
          <w:position w:val="1"/>
          <w:sz w:val="20"/>
          <w:szCs w:val="20"/>
          <w:highlight w:val="none"/>
        </w:rPr>
        <w:t>6. 1- 1</w:t>
      </w:r>
      <w:r>
        <w:rPr>
          <w:rFonts w:ascii="Times New Roman" w:hAnsi="Times New Roman" w:eastAsia="Times New Roman" w:cs="Times New Roman"/>
          <w:color w:val="auto"/>
          <w:spacing w:val="1"/>
          <w:position w:val="1"/>
          <w:sz w:val="20"/>
          <w:szCs w:val="20"/>
          <w:highlight w:val="none"/>
        </w:rPr>
        <w:t xml:space="preserve">    500</w:t>
      </w:r>
      <w:r>
        <w:rPr>
          <w:rFonts w:ascii="Times New Roman" w:hAnsi="Times New Roman" w:eastAsia="Times New Roman" w:cs="Times New Roman"/>
          <w:color w:val="auto"/>
          <w:position w:val="1"/>
          <w:sz w:val="20"/>
          <w:szCs w:val="20"/>
          <w:highlight w:val="none"/>
        </w:rPr>
        <w:t>kV</w:t>
      </w:r>
      <w:r>
        <w:rPr>
          <w:rFonts w:ascii="Times New Roman" w:hAnsi="Times New Roman" w:eastAsia="Times New Roman" w:cs="Times New Roman"/>
          <w:color w:val="auto"/>
          <w:spacing w:val="1"/>
          <w:position w:val="1"/>
          <w:sz w:val="20"/>
          <w:szCs w:val="20"/>
          <w:highlight w:val="none"/>
        </w:rPr>
        <w:t xml:space="preserve"> </w:t>
      </w:r>
      <w:r>
        <w:rPr>
          <w:rFonts w:ascii="黑体" w:hAnsi="黑体" w:eastAsia="黑体" w:cs="黑体"/>
          <w:color w:val="auto"/>
          <w:spacing w:val="1"/>
          <w:position w:val="1"/>
          <w:sz w:val="20"/>
          <w:szCs w:val="20"/>
          <w:highlight w:val="none"/>
        </w:rPr>
        <w:t>汇集站与类比电站相关情况表</w:t>
      </w:r>
    </w:p>
    <w:p>
      <w:pPr>
        <w:spacing w:line="135" w:lineRule="exact"/>
        <w:rPr>
          <w:color w:val="0000FF"/>
          <w:highlight w:val="none"/>
        </w:rPr>
      </w:pPr>
    </w:p>
    <w:tbl>
      <w:tblPr>
        <w:tblStyle w:val="20"/>
        <w:tblW w:w="928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2"/>
        <w:gridCol w:w="3760"/>
        <w:gridCol w:w="81"/>
        <w:gridCol w:w="3295"/>
        <w:gridCol w:w="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jc w:val="center"/>
        </w:trPr>
        <w:tc>
          <w:tcPr>
            <w:tcW w:w="2072" w:type="dxa"/>
            <w:tcBorders>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项目</w:t>
            </w:r>
          </w:p>
        </w:tc>
        <w:tc>
          <w:tcPr>
            <w:tcW w:w="3841"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0"/>
                <w:szCs w:val="20"/>
                <w:highlight w:val="none"/>
              </w:rPr>
            </w:pPr>
            <w:r>
              <w:rPr>
                <w:rFonts w:ascii="宋体" w:hAnsi="宋体" w:eastAsia="宋体" w:cs="宋体"/>
                <w:color w:val="auto"/>
                <w:spacing w:val="14"/>
                <w:position w:val="1"/>
                <w:sz w:val="20"/>
                <w:szCs w:val="20"/>
                <w:highlight w:val="none"/>
              </w:rPr>
              <w:t>湖</w:t>
            </w:r>
            <w:r>
              <w:rPr>
                <w:rFonts w:ascii="宋体" w:hAnsi="宋体" w:eastAsia="宋体" w:cs="宋体"/>
                <w:color w:val="auto"/>
                <w:spacing w:val="8"/>
                <w:position w:val="1"/>
                <w:sz w:val="20"/>
                <w:szCs w:val="20"/>
                <w:highlight w:val="none"/>
              </w:rPr>
              <w:t xml:space="preserve">南长沙鼎功 </w:t>
            </w:r>
            <w:r>
              <w:rPr>
                <w:rFonts w:ascii="Calibri" w:hAnsi="Calibri" w:eastAsia="Calibri" w:cs="Calibri"/>
                <w:color w:val="auto"/>
                <w:spacing w:val="8"/>
                <w:position w:val="1"/>
                <w:sz w:val="20"/>
                <w:szCs w:val="20"/>
                <w:highlight w:val="none"/>
              </w:rPr>
              <w:t>500</w:t>
            </w:r>
            <w:r>
              <w:rPr>
                <w:rFonts w:ascii="Calibri" w:hAnsi="Calibri" w:eastAsia="Calibri" w:cs="Calibri"/>
                <w:color w:val="auto"/>
                <w:position w:val="1"/>
                <w:sz w:val="20"/>
                <w:szCs w:val="20"/>
                <w:highlight w:val="none"/>
              </w:rPr>
              <w:t>kV</w:t>
            </w:r>
            <w:r>
              <w:rPr>
                <w:rFonts w:ascii="Calibri" w:hAnsi="Calibri" w:eastAsia="Calibri" w:cs="Calibri"/>
                <w:color w:val="auto"/>
                <w:spacing w:val="8"/>
                <w:position w:val="1"/>
                <w:sz w:val="20"/>
                <w:szCs w:val="20"/>
                <w:highlight w:val="none"/>
              </w:rPr>
              <w:t xml:space="preserve">  </w:t>
            </w:r>
            <w:r>
              <w:rPr>
                <w:rFonts w:ascii="宋体" w:hAnsi="宋体" w:eastAsia="宋体" w:cs="宋体"/>
                <w:color w:val="auto"/>
                <w:spacing w:val="8"/>
                <w:position w:val="1"/>
                <w:sz w:val="20"/>
                <w:szCs w:val="20"/>
                <w:highlight w:val="none"/>
              </w:rPr>
              <w:t>变电站</w:t>
            </w:r>
          </w:p>
        </w:tc>
        <w:tc>
          <w:tcPr>
            <w:tcW w:w="3376" w:type="dxa"/>
            <w:gridSpan w:val="2"/>
            <w:tcBorders>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0"/>
                <w:szCs w:val="20"/>
                <w:highlight w:val="none"/>
              </w:rPr>
            </w:pPr>
            <w:r>
              <w:rPr>
                <w:rFonts w:ascii="Calibri" w:hAnsi="Calibri" w:eastAsia="Calibri" w:cs="Calibri"/>
                <w:color w:val="auto"/>
                <w:spacing w:val="11"/>
                <w:position w:val="1"/>
                <w:sz w:val="20"/>
                <w:szCs w:val="20"/>
                <w:highlight w:val="none"/>
              </w:rPr>
              <w:t>5</w:t>
            </w:r>
            <w:r>
              <w:rPr>
                <w:rFonts w:ascii="Calibri" w:hAnsi="Calibri" w:eastAsia="Calibri" w:cs="Calibri"/>
                <w:color w:val="auto"/>
                <w:spacing w:val="7"/>
                <w:position w:val="1"/>
                <w:sz w:val="20"/>
                <w:szCs w:val="20"/>
                <w:highlight w:val="none"/>
              </w:rPr>
              <w:t>00</w:t>
            </w:r>
            <w:r>
              <w:rPr>
                <w:rFonts w:ascii="Calibri" w:hAnsi="Calibri" w:eastAsia="Calibri" w:cs="Calibri"/>
                <w:color w:val="auto"/>
                <w:position w:val="1"/>
                <w:sz w:val="20"/>
                <w:szCs w:val="20"/>
                <w:highlight w:val="none"/>
              </w:rPr>
              <w:t>kV</w:t>
            </w:r>
            <w:r>
              <w:rPr>
                <w:rFonts w:ascii="Calibri" w:hAnsi="Calibri" w:eastAsia="Calibri" w:cs="Calibri"/>
                <w:color w:val="auto"/>
                <w:spacing w:val="7"/>
                <w:position w:val="1"/>
                <w:sz w:val="20"/>
                <w:szCs w:val="20"/>
                <w:highlight w:val="none"/>
              </w:rPr>
              <w:t xml:space="preserve"> </w:t>
            </w:r>
            <w:r>
              <w:rPr>
                <w:rFonts w:ascii="宋体" w:hAnsi="宋体" w:eastAsia="宋体" w:cs="宋体"/>
                <w:color w:val="auto"/>
                <w:spacing w:val="7"/>
                <w:position w:val="1"/>
                <w:sz w:val="20"/>
                <w:szCs w:val="20"/>
                <w:highlight w:val="none"/>
              </w:rPr>
              <w:t>汇集站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jc w:val="center"/>
        </w:trPr>
        <w:tc>
          <w:tcPr>
            <w:tcW w:w="2072" w:type="dxa"/>
            <w:tcBorders>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0"/>
                <w:szCs w:val="20"/>
                <w:highlight w:val="none"/>
              </w:rPr>
            </w:pPr>
            <w:r>
              <w:rPr>
                <w:rFonts w:ascii="宋体" w:hAnsi="宋体" w:eastAsia="宋体" w:cs="宋体"/>
                <w:color w:val="auto"/>
                <w:spacing w:val="-1"/>
                <w:position w:val="1"/>
                <w:sz w:val="20"/>
                <w:szCs w:val="20"/>
                <w:highlight w:val="none"/>
              </w:rPr>
              <w:t xml:space="preserve">电压等级 </w:t>
            </w:r>
            <w:r>
              <w:rPr>
                <w:rFonts w:ascii="宋体" w:hAnsi="宋体" w:eastAsia="宋体" w:cs="宋体"/>
                <w:color w:val="auto"/>
                <w:position w:val="1"/>
                <w:sz w:val="20"/>
                <w:szCs w:val="20"/>
                <w:highlight w:val="none"/>
              </w:rPr>
              <w:t>(</w:t>
            </w:r>
            <w:r>
              <w:rPr>
                <w:rFonts w:ascii="Calibri" w:hAnsi="Calibri" w:eastAsia="Calibri" w:cs="Calibri"/>
                <w:color w:val="auto"/>
                <w:position w:val="1"/>
                <w:sz w:val="20"/>
                <w:szCs w:val="20"/>
                <w:highlight w:val="none"/>
              </w:rPr>
              <w:t>kV</w:t>
            </w:r>
            <w:r>
              <w:rPr>
                <w:rFonts w:ascii="宋体" w:hAnsi="宋体" w:eastAsia="宋体" w:cs="宋体"/>
                <w:color w:val="auto"/>
                <w:position w:val="1"/>
                <w:sz w:val="20"/>
                <w:szCs w:val="20"/>
                <w:highlight w:val="none"/>
              </w:rPr>
              <w:t>)</w:t>
            </w:r>
          </w:p>
        </w:tc>
        <w:tc>
          <w:tcPr>
            <w:tcW w:w="3841"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50</w:t>
            </w:r>
            <w:r>
              <w:rPr>
                <w:rFonts w:ascii="Calibri" w:hAnsi="Calibri" w:eastAsia="Calibri" w:cs="Calibri"/>
                <w:color w:val="auto"/>
                <w:sz w:val="20"/>
                <w:szCs w:val="20"/>
                <w:highlight w:val="none"/>
              </w:rPr>
              <w:t>0</w:t>
            </w:r>
          </w:p>
        </w:tc>
        <w:tc>
          <w:tcPr>
            <w:tcW w:w="3376" w:type="dxa"/>
            <w:gridSpan w:val="2"/>
            <w:tcBorders>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Calibri" w:hAnsi="Calibri" w:eastAsia="Calibri" w:cs="Calibri"/>
                <w:color w:val="auto"/>
                <w:sz w:val="20"/>
                <w:szCs w:val="20"/>
                <w:highlight w:val="none"/>
              </w:rPr>
            </w:pPr>
            <w:r>
              <w:rPr>
                <w:rFonts w:ascii="Calibri" w:hAnsi="Calibri" w:eastAsia="Calibri" w:cs="Calibri"/>
                <w:color w:val="auto"/>
                <w:spacing w:val="1"/>
                <w:sz w:val="20"/>
                <w:szCs w:val="20"/>
                <w:highlight w:val="none"/>
              </w:rPr>
              <w:t>50</w:t>
            </w:r>
            <w:r>
              <w:rPr>
                <w:rFonts w:ascii="Calibri" w:hAnsi="Calibri" w:eastAsia="Calibri" w:cs="Calibri"/>
                <w:color w:val="auto"/>
                <w:sz w:val="20"/>
                <w:szCs w:val="20"/>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jc w:val="center"/>
        </w:trPr>
        <w:tc>
          <w:tcPr>
            <w:tcW w:w="2072" w:type="dxa"/>
            <w:tcBorders>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0"/>
                <w:szCs w:val="20"/>
                <w:highlight w:val="none"/>
              </w:rPr>
            </w:pPr>
            <w:r>
              <w:rPr>
                <w:rFonts w:ascii="宋体" w:hAnsi="宋体" w:eastAsia="宋体" w:cs="宋体"/>
                <w:color w:val="auto"/>
                <w:spacing w:val="7"/>
                <w:position w:val="19"/>
                <w:sz w:val="20"/>
                <w:szCs w:val="20"/>
                <w:highlight w:val="none"/>
              </w:rPr>
              <w:t>主变容</w:t>
            </w:r>
            <w:r>
              <w:rPr>
                <w:rFonts w:ascii="宋体" w:hAnsi="宋体" w:eastAsia="宋体" w:cs="宋体"/>
                <w:color w:val="auto"/>
                <w:spacing w:val="6"/>
                <w:position w:val="19"/>
                <w:sz w:val="20"/>
                <w:szCs w:val="20"/>
                <w:highlight w:val="none"/>
              </w:rPr>
              <w:t>量</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0"/>
                <w:szCs w:val="20"/>
                <w:highlight w:val="none"/>
              </w:rPr>
            </w:pPr>
            <w:r>
              <w:rPr>
                <w:rFonts w:ascii="宋体" w:hAnsi="宋体" w:eastAsia="宋体" w:cs="宋体"/>
                <w:color w:val="auto"/>
                <w:spacing w:val="53"/>
                <w:sz w:val="20"/>
                <w:szCs w:val="20"/>
                <w:highlight w:val="none"/>
              </w:rPr>
              <w:t>(</w:t>
            </w:r>
            <w:r>
              <w:rPr>
                <w:rFonts w:ascii="Calibri" w:hAnsi="Calibri" w:eastAsia="Calibri" w:cs="Calibri"/>
                <w:color w:val="auto"/>
                <w:sz w:val="20"/>
                <w:szCs w:val="20"/>
                <w:highlight w:val="none"/>
              </w:rPr>
              <w:t>MVA</w:t>
            </w:r>
            <w:r>
              <w:rPr>
                <w:rFonts w:ascii="宋体" w:hAnsi="宋体" w:eastAsia="宋体" w:cs="宋体"/>
                <w:color w:val="auto"/>
                <w:spacing w:val="53"/>
                <w:sz w:val="20"/>
                <w:szCs w:val="20"/>
                <w:highlight w:val="none"/>
              </w:rPr>
              <w:t>)</w:t>
            </w:r>
          </w:p>
        </w:tc>
        <w:tc>
          <w:tcPr>
            <w:tcW w:w="3841"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Calibri" w:hAnsi="Calibri" w:eastAsia="Calibri" w:cs="Calibri"/>
                <w:color w:val="auto"/>
                <w:sz w:val="20"/>
                <w:szCs w:val="20"/>
                <w:highlight w:val="none"/>
              </w:rPr>
            </w:pPr>
            <w:r>
              <w:rPr>
                <w:rFonts w:ascii="Calibri" w:hAnsi="Calibri" w:eastAsia="Calibri" w:cs="Calibri"/>
                <w:color w:val="auto"/>
                <w:spacing w:val="6"/>
                <w:position w:val="1"/>
                <w:sz w:val="20"/>
                <w:szCs w:val="20"/>
                <w:highlight w:val="none"/>
              </w:rPr>
              <w:t>3</w:t>
            </w:r>
            <w:r>
              <w:rPr>
                <w:rFonts w:ascii="宋体" w:hAnsi="宋体" w:eastAsia="宋体" w:cs="宋体"/>
                <w:color w:val="auto"/>
                <w:spacing w:val="6"/>
                <w:position w:val="1"/>
                <w:sz w:val="20"/>
                <w:szCs w:val="20"/>
                <w:highlight w:val="none"/>
              </w:rPr>
              <w:t>×</w:t>
            </w:r>
            <w:r>
              <w:rPr>
                <w:rFonts w:ascii="Calibri" w:hAnsi="Calibri" w:eastAsia="Calibri" w:cs="Calibri"/>
                <w:color w:val="auto"/>
                <w:spacing w:val="6"/>
                <w:position w:val="1"/>
                <w:sz w:val="20"/>
                <w:szCs w:val="20"/>
                <w:highlight w:val="none"/>
              </w:rPr>
              <w:t>100</w:t>
            </w:r>
            <w:r>
              <w:rPr>
                <w:rFonts w:ascii="Calibri" w:hAnsi="Calibri" w:eastAsia="Calibri" w:cs="Calibri"/>
                <w:color w:val="auto"/>
                <w:spacing w:val="5"/>
                <w:position w:val="1"/>
                <w:sz w:val="20"/>
                <w:szCs w:val="20"/>
                <w:highlight w:val="none"/>
              </w:rPr>
              <w:t>0</w:t>
            </w:r>
            <w:r>
              <w:rPr>
                <w:rFonts w:ascii="Calibri" w:hAnsi="Calibri" w:eastAsia="Calibri" w:cs="Calibri"/>
                <w:color w:val="auto"/>
                <w:position w:val="1"/>
                <w:sz w:val="20"/>
                <w:szCs w:val="20"/>
                <w:highlight w:val="none"/>
              </w:rPr>
              <w:t>MVA</w:t>
            </w:r>
          </w:p>
        </w:tc>
        <w:tc>
          <w:tcPr>
            <w:tcW w:w="3376" w:type="dxa"/>
            <w:gridSpan w:val="2"/>
            <w:tcBorders>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Calibri" w:hAnsi="Calibri" w:eastAsia="Calibri" w:cs="Calibri"/>
                <w:color w:val="auto"/>
                <w:sz w:val="20"/>
                <w:szCs w:val="20"/>
                <w:highlight w:val="none"/>
              </w:rPr>
            </w:pPr>
            <w:r>
              <w:rPr>
                <w:rFonts w:hint="eastAsia" w:ascii="Calibri" w:hAnsi="Calibri" w:eastAsia="宋体" w:cs="Calibri"/>
                <w:color w:val="auto"/>
                <w:spacing w:val="9"/>
                <w:position w:val="1"/>
                <w:sz w:val="20"/>
                <w:szCs w:val="20"/>
                <w:highlight w:val="none"/>
                <w:lang w:val="en-US" w:eastAsia="zh-CN"/>
              </w:rPr>
              <w:t>1</w:t>
            </w:r>
            <w:r>
              <w:rPr>
                <w:rFonts w:ascii="宋体" w:hAnsi="宋体" w:eastAsia="宋体" w:cs="宋体"/>
                <w:color w:val="auto"/>
                <w:spacing w:val="5"/>
                <w:position w:val="1"/>
                <w:sz w:val="20"/>
                <w:szCs w:val="20"/>
                <w:highlight w:val="none"/>
              </w:rPr>
              <w:t>×</w:t>
            </w:r>
            <w:r>
              <w:rPr>
                <w:rFonts w:hint="eastAsia" w:ascii="Calibri" w:hAnsi="Calibri" w:eastAsia="宋体" w:cs="Calibri"/>
                <w:color w:val="auto"/>
                <w:spacing w:val="5"/>
                <w:position w:val="1"/>
                <w:sz w:val="20"/>
                <w:szCs w:val="20"/>
                <w:highlight w:val="none"/>
                <w:lang w:val="en-US" w:eastAsia="zh-CN"/>
              </w:rPr>
              <w:t>5</w:t>
            </w:r>
            <w:r>
              <w:rPr>
                <w:rFonts w:ascii="Calibri" w:hAnsi="Calibri" w:eastAsia="Calibri" w:cs="Calibri"/>
                <w:color w:val="auto"/>
                <w:spacing w:val="5"/>
                <w:position w:val="1"/>
                <w:sz w:val="20"/>
                <w:szCs w:val="20"/>
                <w:highlight w:val="none"/>
              </w:rPr>
              <w:t>00</w:t>
            </w:r>
            <w:r>
              <w:rPr>
                <w:rFonts w:ascii="Calibri" w:hAnsi="Calibri" w:eastAsia="Calibri" w:cs="Calibri"/>
                <w:color w:val="auto"/>
                <w:position w:val="1"/>
                <w:sz w:val="20"/>
                <w:szCs w:val="20"/>
                <w:highlight w:val="none"/>
              </w:rPr>
              <w:t>MVA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2072" w:type="dxa"/>
            <w:tcBorders>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color w:val="auto"/>
                <w:sz w:val="20"/>
                <w:szCs w:val="20"/>
                <w:highlight w:val="none"/>
                <w:lang w:eastAsia="zh-CN"/>
              </w:rPr>
            </w:pPr>
            <w:r>
              <w:rPr>
                <w:rFonts w:ascii="Calibri" w:hAnsi="Calibri" w:eastAsia="Calibri" w:cs="Calibri"/>
                <w:color w:val="auto"/>
                <w:spacing w:val="-8"/>
                <w:position w:val="1"/>
                <w:sz w:val="20"/>
                <w:szCs w:val="20"/>
                <w:highlight w:val="none"/>
              </w:rPr>
              <w:t>5</w:t>
            </w:r>
            <w:r>
              <w:rPr>
                <w:rFonts w:ascii="Calibri" w:hAnsi="Calibri" w:eastAsia="Calibri" w:cs="Calibri"/>
                <w:color w:val="auto"/>
                <w:spacing w:val="-5"/>
                <w:position w:val="1"/>
                <w:sz w:val="20"/>
                <w:szCs w:val="20"/>
                <w:highlight w:val="none"/>
              </w:rPr>
              <w:t>0</w:t>
            </w:r>
            <w:r>
              <w:rPr>
                <w:rFonts w:ascii="Calibri" w:hAnsi="Calibri" w:eastAsia="Calibri" w:cs="Calibri"/>
                <w:color w:val="auto"/>
                <w:spacing w:val="-4"/>
                <w:position w:val="1"/>
                <w:sz w:val="20"/>
                <w:szCs w:val="20"/>
                <w:highlight w:val="none"/>
              </w:rPr>
              <w:t xml:space="preserve">0kV  </w:t>
            </w:r>
            <w:r>
              <w:rPr>
                <w:rFonts w:ascii="宋体" w:hAnsi="宋体" w:eastAsia="宋体" w:cs="宋体"/>
                <w:color w:val="auto"/>
                <w:spacing w:val="-4"/>
                <w:position w:val="1"/>
                <w:sz w:val="20"/>
                <w:szCs w:val="20"/>
                <w:highlight w:val="none"/>
              </w:rPr>
              <w:t>出线回</w:t>
            </w:r>
            <w:r>
              <w:rPr>
                <w:rFonts w:hint="eastAsia" w:ascii="宋体" w:hAnsi="宋体" w:eastAsia="宋体" w:cs="宋体"/>
                <w:color w:val="auto"/>
                <w:spacing w:val="-4"/>
                <w:position w:val="1"/>
                <w:sz w:val="20"/>
                <w:szCs w:val="20"/>
                <w:highlight w:val="none"/>
                <w:lang w:eastAsia="zh-CN"/>
              </w:rPr>
              <w:t>数</w:t>
            </w:r>
          </w:p>
        </w:tc>
        <w:tc>
          <w:tcPr>
            <w:tcW w:w="3841"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0"/>
                <w:szCs w:val="20"/>
                <w:highlight w:val="none"/>
              </w:rPr>
            </w:pPr>
            <w:r>
              <w:rPr>
                <w:rFonts w:ascii="Calibri" w:hAnsi="Calibri" w:eastAsia="Calibri" w:cs="Calibri"/>
                <w:color w:val="auto"/>
                <w:spacing w:val="7"/>
                <w:sz w:val="20"/>
                <w:szCs w:val="20"/>
                <w:highlight w:val="none"/>
              </w:rPr>
              <w:t>4</w:t>
            </w:r>
            <w:r>
              <w:rPr>
                <w:rFonts w:ascii="Calibri" w:hAnsi="Calibri" w:eastAsia="Calibri" w:cs="Calibri"/>
                <w:color w:val="auto"/>
                <w:spacing w:val="5"/>
                <w:sz w:val="20"/>
                <w:szCs w:val="20"/>
                <w:highlight w:val="none"/>
              </w:rPr>
              <w:t xml:space="preserve">  </w:t>
            </w:r>
            <w:r>
              <w:rPr>
                <w:rFonts w:ascii="宋体" w:hAnsi="宋体" w:eastAsia="宋体" w:cs="宋体"/>
                <w:color w:val="auto"/>
                <w:spacing w:val="5"/>
                <w:sz w:val="20"/>
                <w:szCs w:val="20"/>
                <w:highlight w:val="none"/>
              </w:rPr>
              <w:t>(架空)</w:t>
            </w:r>
          </w:p>
        </w:tc>
        <w:tc>
          <w:tcPr>
            <w:tcW w:w="3376" w:type="dxa"/>
            <w:gridSpan w:val="2"/>
            <w:tcBorders>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z w:val="20"/>
                <w:szCs w:val="20"/>
                <w:highlight w:val="none"/>
              </w:rPr>
            </w:pPr>
            <w:r>
              <w:rPr>
                <w:rFonts w:hint="eastAsia" w:ascii="宋体" w:hAnsi="宋体" w:eastAsia="宋体" w:cs="宋体"/>
                <w:color w:val="auto"/>
                <w:spacing w:val="1"/>
                <w:sz w:val="20"/>
                <w:szCs w:val="20"/>
                <w:highlight w:val="none"/>
                <w:lang w:val="en-US" w:eastAsia="zh-CN"/>
              </w:rPr>
              <w:t>1回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2072" w:type="dxa"/>
            <w:tcBorders>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Calibri" w:hAnsi="Calibri" w:eastAsia="Calibri" w:cs="Calibri"/>
                <w:color w:val="auto"/>
                <w:spacing w:val="-8"/>
                <w:position w:val="1"/>
                <w:sz w:val="20"/>
                <w:szCs w:val="20"/>
                <w:highlight w:val="none"/>
              </w:rPr>
            </w:pPr>
            <w:r>
              <w:rPr>
                <w:rFonts w:hint="eastAsia" w:ascii="Calibri" w:hAnsi="Calibri" w:eastAsia="宋体" w:cs="Calibri"/>
                <w:color w:val="auto"/>
                <w:spacing w:val="-8"/>
                <w:position w:val="1"/>
                <w:sz w:val="20"/>
                <w:szCs w:val="20"/>
                <w:highlight w:val="none"/>
                <w:lang w:val="en-US" w:eastAsia="zh-CN"/>
              </w:rPr>
              <w:t>22</w:t>
            </w:r>
            <w:r>
              <w:rPr>
                <w:rFonts w:ascii="Calibri" w:hAnsi="Calibri" w:eastAsia="Calibri" w:cs="Calibri"/>
                <w:color w:val="auto"/>
                <w:spacing w:val="-8"/>
                <w:position w:val="1"/>
                <w:sz w:val="20"/>
                <w:szCs w:val="20"/>
                <w:highlight w:val="none"/>
              </w:rPr>
              <w:t>0kV  出线回</w:t>
            </w:r>
            <w:r>
              <w:rPr>
                <w:rFonts w:hint="eastAsia" w:ascii="Calibri" w:hAnsi="Calibri" w:eastAsia="Calibri" w:cs="Calibri"/>
                <w:color w:val="auto"/>
                <w:spacing w:val="-8"/>
                <w:position w:val="1"/>
                <w:sz w:val="20"/>
                <w:szCs w:val="20"/>
                <w:highlight w:val="none"/>
                <w:lang w:eastAsia="zh-CN"/>
              </w:rPr>
              <w:t>数</w:t>
            </w:r>
          </w:p>
        </w:tc>
        <w:tc>
          <w:tcPr>
            <w:tcW w:w="3841"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Calibri" w:hAnsi="Calibri" w:eastAsia="宋体" w:cs="Calibri"/>
                <w:color w:val="auto"/>
                <w:spacing w:val="7"/>
                <w:sz w:val="20"/>
                <w:szCs w:val="20"/>
                <w:highlight w:val="none"/>
                <w:lang w:val="en-US" w:eastAsia="zh-CN"/>
              </w:rPr>
            </w:pPr>
            <w:r>
              <w:rPr>
                <w:rFonts w:hint="eastAsia" w:ascii="Calibri" w:hAnsi="Calibri" w:eastAsia="宋体" w:cs="Calibri"/>
                <w:color w:val="auto"/>
                <w:spacing w:val="7"/>
                <w:sz w:val="20"/>
                <w:szCs w:val="20"/>
                <w:highlight w:val="none"/>
                <w:lang w:val="en-US" w:eastAsia="zh-CN"/>
              </w:rPr>
              <w:t>/</w:t>
            </w:r>
          </w:p>
        </w:tc>
        <w:tc>
          <w:tcPr>
            <w:tcW w:w="3376" w:type="dxa"/>
            <w:gridSpan w:val="2"/>
            <w:tcBorders>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宋体" w:hAnsi="宋体" w:eastAsia="宋体" w:cs="宋体"/>
                <w:color w:val="auto"/>
                <w:spacing w:val="1"/>
                <w:sz w:val="20"/>
                <w:szCs w:val="20"/>
                <w:highlight w:val="none"/>
              </w:rPr>
            </w:pPr>
            <w:r>
              <w:rPr>
                <w:rFonts w:hint="eastAsia" w:ascii="宋体" w:hAnsi="宋体" w:eastAsia="宋体" w:cs="宋体"/>
                <w:color w:val="auto"/>
                <w:spacing w:val="1"/>
                <w:sz w:val="20"/>
                <w:szCs w:val="20"/>
                <w:highlight w:val="none"/>
                <w:lang w:val="en-US" w:eastAsia="zh-CN"/>
              </w:rPr>
              <w:t>1回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1" w:type="dxa"/>
          <w:trHeight w:val="1842" w:hRule="atLeast"/>
          <w:jc w:val="center"/>
        </w:trPr>
        <w:tc>
          <w:tcPr>
            <w:tcW w:w="2072" w:type="dxa"/>
            <w:tcBorders>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7" w:lineRule="auto"/>
              <w:ind w:left="0" w:right="0"/>
              <w:jc w:val="center"/>
              <w:textAlignment w:val="baseline"/>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总平面布置</w:t>
            </w:r>
          </w:p>
        </w:tc>
        <w:tc>
          <w:tcPr>
            <w:tcW w:w="3760" w:type="dxa"/>
            <w:vAlign w:val="center"/>
          </w:tcPr>
          <w:p>
            <w:pPr>
              <w:keepNext w:val="0"/>
              <w:keepLines w:val="0"/>
              <w:pageBreakBefore w:val="0"/>
              <w:widowControl/>
              <w:kinsoku w:val="0"/>
              <w:wordWrap/>
              <w:overflowPunct/>
              <w:topLinePunct w:val="0"/>
              <w:autoSpaceDE w:val="0"/>
              <w:autoSpaceDN w:val="0"/>
              <w:bidi w:val="0"/>
              <w:adjustRightInd w:val="0"/>
              <w:snapToGrid w:val="0"/>
              <w:spacing w:line="424" w:lineRule="auto"/>
              <w:ind w:right="0"/>
              <w:jc w:val="both"/>
              <w:textAlignment w:val="baseline"/>
              <w:rPr>
                <w:rFonts w:ascii="宋体" w:hAnsi="宋体" w:eastAsia="宋体" w:cs="宋体"/>
                <w:color w:val="auto"/>
                <w:sz w:val="20"/>
                <w:szCs w:val="20"/>
                <w:highlight w:val="none"/>
              </w:rPr>
            </w:pPr>
            <w:r>
              <w:rPr>
                <w:rFonts w:ascii="Calibri" w:hAnsi="Calibri" w:eastAsia="Calibri" w:cs="Calibri"/>
                <w:color w:val="auto"/>
                <w:spacing w:val="8"/>
                <w:sz w:val="20"/>
                <w:szCs w:val="20"/>
                <w:highlight w:val="none"/>
              </w:rPr>
              <w:t>5</w:t>
            </w:r>
            <w:r>
              <w:rPr>
                <w:rFonts w:ascii="Calibri" w:hAnsi="Calibri" w:eastAsia="Calibri" w:cs="Calibri"/>
                <w:color w:val="auto"/>
                <w:spacing w:val="6"/>
                <w:sz w:val="20"/>
                <w:szCs w:val="20"/>
                <w:highlight w:val="none"/>
              </w:rPr>
              <w:t>00</w:t>
            </w:r>
            <w:r>
              <w:rPr>
                <w:rFonts w:ascii="Calibri" w:hAnsi="Calibri" w:eastAsia="Calibri" w:cs="Calibri"/>
                <w:color w:val="auto"/>
                <w:sz w:val="20"/>
                <w:szCs w:val="20"/>
                <w:highlight w:val="none"/>
              </w:rPr>
              <w:t>kV</w:t>
            </w:r>
            <w:r>
              <w:rPr>
                <w:rFonts w:ascii="Calibri" w:hAnsi="Calibri" w:eastAsia="Calibri" w:cs="Calibri"/>
                <w:color w:val="auto"/>
                <w:spacing w:val="6"/>
                <w:sz w:val="20"/>
                <w:szCs w:val="20"/>
                <w:highlight w:val="none"/>
              </w:rPr>
              <w:t xml:space="preserve"> </w:t>
            </w:r>
            <w:r>
              <w:rPr>
                <w:rFonts w:ascii="宋体" w:hAnsi="宋体" w:eastAsia="宋体" w:cs="宋体"/>
                <w:color w:val="auto"/>
                <w:spacing w:val="6"/>
                <w:sz w:val="20"/>
                <w:szCs w:val="20"/>
                <w:highlight w:val="none"/>
              </w:rPr>
              <w:t>主变户外布置；</w:t>
            </w:r>
            <w:r>
              <w:rPr>
                <w:rFonts w:ascii="Calibri" w:hAnsi="Calibri" w:eastAsia="Calibri" w:cs="Calibri"/>
                <w:color w:val="auto"/>
                <w:spacing w:val="6"/>
                <w:sz w:val="20"/>
                <w:szCs w:val="20"/>
                <w:highlight w:val="none"/>
              </w:rPr>
              <w:t>500</w:t>
            </w:r>
            <w:r>
              <w:rPr>
                <w:rFonts w:ascii="Calibri" w:hAnsi="Calibri" w:eastAsia="Calibri" w:cs="Calibri"/>
                <w:color w:val="auto"/>
                <w:sz w:val="20"/>
                <w:szCs w:val="20"/>
                <w:highlight w:val="none"/>
              </w:rPr>
              <w:t>kV</w:t>
            </w:r>
            <w:r>
              <w:rPr>
                <w:rFonts w:ascii="宋体" w:hAnsi="宋体" w:eastAsia="宋体" w:cs="宋体"/>
                <w:color w:val="auto"/>
                <w:spacing w:val="6"/>
                <w:sz w:val="20"/>
                <w:szCs w:val="20"/>
                <w:highlight w:val="none"/>
              </w:rPr>
              <w:t>采用</w:t>
            </w:r>
            <w:r>
              <w:rPr>
                <w:rFonts w:ascii="宋体" w:hAnsi="宋体" w:eastAsia="宋体" w:cs="宋体"/>
                <w:color w:val="auto"/>
                <w:sz w:val="20"/>
                <w:szCs w:val="20"/>
                <w:highlight w:val="none"/>
              </w:rPr>
              <w:t xml:space="preserve"> </w:t>
            </w:r>
            <w:r>
              <w:rPr>
                <w:rFonts w:ascii="Calibri" w:hAnsi="Calibri" w:eastAsia="Calibri" w:cs="Calibri"/>
                <w:color w:val="auto"/>
                <w:sz w:val="20"/>
                <w:szCs w:val="20"/>
                <w:highlight w:val="none"/>
              </w:rPr>
              <w:t>HGIS</w:t>
            </w:r>
            <w:r>
              <w:rPr>
                <w:rFonts w:ascii="Calibri" w:hAnsi="Calibri" w:eastAsia="Calibri" w:cs="Calibri"/>
                <w:color w:val="auto"/>
                <w:spacing w:val="16"/>
                <w:sz w:val="20"/>
                <w:szCs w:val="20"/>
                <w:highlight w:val="none"/>
              </w:rPr>
              <w:t xml:space="preserve"> </w:t>
            </w:r>
            <w:r>
              <w:rPr>
                <w:rFonts w:ascii="Calibri" w:hAnsi="Calibri" w:eastAsia="Calibri" w:cs="Calibri"/>
                <w:color w:val="auto"/>
                <w:spacing w:val="12"/>
                <w:sz w:val="20"/>
                <w:szCs w:val="20"/>
                <w:highlight w:val="none"/>
              </w:rPr>
              <w:t xml:space="preserve"> </w:t>
            </w:r>
            <w:r>
              <w:rPr>
                <w:rFonts w:ascii="宋体" w:hAnsi="宋体" w:eastAsia="宋体" w:cs="宋体"/>
                <w:color w:val="auto"/>
                <w:spacing w:val="8"/>
                <w:sz w:val="20"/>
                <w:szCs w:val="20"/>
                <w:highlight w:val="none"/>
              </w:rPr>
              <w:t>设备；</w:t>
            </w:r>
            <w:r>
              <w:rPr>
                <w:rFonts w:ascii="Calibri" w:hAnsi="Calibri" w:eastAsia="Calibri" w:cs="Calibri"/>
                <w:color w:val="auto"/>
                <w:spacing w:val="8"/>
                <w:sz w:val="20"/>
                <w:szCs w:val="20"/>
                <w:highlight w:val="none"/>
              </w:rPr>
              <w:t>220</w:t>
            </w:r>
            <w:r>
              <w:rPr>
                <w:rFonts w:ascii="Calibri" w:hAnsi="Calibri" w:eastAsia="Calibri" w:cs="Calibri"/>
                <w:color w:val="auto"/>
                <w:sz w:val="20"/>
                <w:szCs w:val="20"/>
                <w:highlight w:val="none"/>
              </w:rPr>
              <w:t>kV</w:t>
            </w:r>
            <w:r>
              <w:rPr>
                <w:rFonts w:ascii="Calibri" w:hAnsi="Calibri" w:eastAsia="Calibri" w:cs="Calibri"/>
                <w:color w:val="auto"/>
                <w:spacing w:val="8"/>
                <w:sz w:val="20"/>
                <w:szCs w:val="20"/>
                <w:highlight w:val="none"/>
              </w:rPr>
              <w:t xml:space="preserve">  </w:t>
            </w:r>
            <w:r>
              <w:rPr>
                <w:rFonts w:ascii="宋体" w:hAnsi="宋体" w:eastAsia="宋体" w:cs="宋体"/>
                <w:color w:val="auto"/>
                <w:spacing w:val="8"/>
                <w:sz w:val="20"/>
                <w:szCs w:val="20"/>
                <w:highlight w:val="none"/>
              </w:rPr>
              <w:t>采用</w:t>
            </w:r>
            <w:r>
              <w:rPr>
                <w:rFonts w:ascii="Calibri" w:hAnsi="Calibri" w:eastAsia="Calibri" w:cs="Calibri"/>
                <w:color w:val="auto"/>
                <w:sz w:val="20"/>
                <w:szCs w:val="20"/>
                <w:highlight w:val="none"/>
              </w:rPr>
              <w:t>GIS</w:t>
            </w:r>
            <w:r>
              <w:rPr>
                <w:rFonts w:ascii="Calibri" w:hAnsi="Calibri" w:eastAsia="Calibri" w:cs="Calibri"/>
                <w:color w:val="auto"/>
                <w:spacing w:val="8"/>
                <w:sz w:val="20"/>
                <w:szCs w:val="20"/>
                <w:highlight w:val="none"/>
              </w:rPr>
              <w:t xml:space="preserve"> </w:t>
            </w:r>
            <w:r>
              <w:rPr>
                <w:rFonts w:ascii="宋体" w:hAnsi="宋体" w:eastAsia="宋体" w:cs="宋体"/>
                <w:color w:val="auto"/>
                <w:spacing w:val="8"/>
                <w:sz w:val="20"/>
                <w:szCs w:val="20"/>
                <w:highlight w:val="none"/>
              </w:rPr>
              <w:t>设备；</w:t>
            </w:r>
          </w:p>
          <w:p>
            <w:pPr>
              <w:keepNext w:val="0"/>
              <w:keepLines w:val="0"/>
              <w:pageBreakBefore w:val="0"/>
              <w:widowControl/>
              <w:kinsoku w:val="0"/>
              <w:wordWrap/>
              <w:overflowPunct/>
              <w:topLinePunct w:val="0"/>
              <w:autoSpaceDE w:val="0"/>
              <w:autoSpaceDN w:val="0"/>
              <w:bidi w:val="0"/>
              <w:adjustRightInd w:val="0"/>
              <w:snapToGrid w:val="0"/>
              <w:spacing w:line="495" w:lineRule="exact"/>
              <w:ind w:left="0" w:right="0"/>
              <w:jc w:val="both"/>
              <w:textAlignment w:val="baseline"/>
              <w:rPr>
                <w:rFonts w:hint="eastAsia" w:ascii="宋体" w:hAnsi="宋体" w:eastAsia="宋体" w:cs="宋体"/>
                <w:color w:val="auto"/>
                <w:sz w:val="20"/>
                <w:szCs w:val="20"/>
                <w:highlight w:val="none"/>
                <w:lang w:eastAsia="zh-CN"/>
              </w:rPr>
            </w:pPr>
            <w:r>
              <w:rPr>
                <w:rFonts w:ascii="Calibri" w:hAnsi="Calibri" w:eastAsia="Calibri" w:cs="Calibri"/>
                <w:color w:val="auto"/>
                <w:spacing w:val="16"/>
                <w:position w:val="18"/>
                <w:sz w:val="20"/>
                <w:szCs w:val="20"/>
                <w:highlight w:val="none"/>
              </w:rPr>
              <w:t>5</w:t>
            </w:r>
            <w:r>
              <w:rPr>
                <w:rFonts w:ascii="Calibri" w:hAnsi="Calibri" w:eastAsia="Calibri" w:cs="Calibri"/>
                <w:color w:val="auto"/>
                <w:spacing w:val="12"/>
                <w:position w:val="18"/>
                <w:sz w:val="20"/>
                <w:szCs w:val="20"/>
                <w:highlight w:val="none"/>
              </w:rPr>
              <w:t>0</w:t>
            </w:r>
            <w:r>
              <w:rPr>
                <w:rFonts w:ascii="Calibri" w:hAnsi="Calibri" w:eastAsia="Calibri" w:cs="Calibri"/>
                <w:color w:val="auto"/>
                <w:spacing w:val="8"/>
                <w:position w:val="18"/>
                <w:sz w:val="20"/>
                <w:szCs w:val="20"/>
                <w:highlight w:val="none"/>
              </w:rPr>
              <w:t>0</w:t>
            </w:r>
            <w:r>
              <w:rPr>
                <w:rFonts w:ascii="Calibri" w:hAnsi="Calibri" w:eastAsia="Calibri" w:cs="Calibri"/>
                <w:color w:val="auto"/>
                <w:position w:val="18"/>
                <w:sz w:val="20"/>
                <w:szCs w:val="20"/>
                <w:highlight w:val="none"/>
              </w:rPr>
              <w:t>kV</w:t>
            </w:r>
            <w:r>
              <w:rPr>
                <w:rFonts w:ascii="Calibri" w:hAnsi="Calibri" w:eastAsia="Calibri" w:cs="Calibri"/>
                <w:color w:val="auto"/>
                <w:spacing w:val="8"/>
                <w:position w:val="18"/>
                <w:sz w:val="20"/>
                <w:szCs w:val="20"/>
                <w:highlight w:val="none"/>
              </w:rPr>
              <w:t xml:space="preserve"> </w:t>
            </w:r>
            <w:r>
              <w:rPr>
                <w:rFonts w:ascii="宋体" w:hAnsi="宋体" w:eastAsia="宋体" w:cs="宋体"/>
                <w:color w:val="auto"/>
                <w:spacing w:val="8"/>
                <w:position w:val="18"/>
                <w:sz w:val="20"/>
                <w:szCs w:val="20"/>
                <w:highlight w:val="none"/>
              </w:rPr>
              <w:t>配电装置、主变压器、</w:t>
            </w:r>
            <w:r>
              <w:rPr>
                <w:rFonts w:ascii="Calibri" w:hAnsi="Calibri" w:eastAsia="Calibri" w:cs="Calibri"/>
                <w:color w:val="auto"/>
                <w:spacing w:val="8"/>
                <w:position w:val="18"/>
                <w:sz w:val="20"/>
                <w:szCs w:val="20"/>
                <w:highlight w:val="none"/>
              </w:rPr>
              <w:t>220</w:t>
            </w:r>
            <w:r>
              <w:rPr>
                <w:rFonts w:ascii="Calibri" w:hAnsi="Calibri" w:eastAsia="Calibri" w:cs="Calibri"/>
                <w:color w:val="auto"/>
                <w:position w:val="18"/>
                <w:sz w:val="20"/>
                <w:szCs w:val="20"/>
                <w:highlight w:val="none"/>
              </w:rPr>
              <w:t>kV</w:t>
            </w:r>
            <w:r>
              <w:rPr>
                <w:rFonts w:ascii="Calibri" w:hAnsi="Calibri" w:eastAsia="Calibri" w:cs="Calibri"/>
                <w:color w:val="auto"/>
                <w:spacing w:val="8"/>
                <w:position w:val="18"/>
                <w:sz w:val="20"/>
                <w:szCs w:val="20"/>
                <w:highlight w:val="none"/>
              </w:rPr>
              <w:t xml:space="preserve"> </w:t>
            </w:r>
            <w:r>
              <w:rPr>
                <w:rFonts w:ascii="宋体" w:hAnsi="宋体" w:eastAsia="宋体" w:cs="宋体"/>
                <w:color w:val="auto"/>
                <w:spacing w:val="8"/>
                <w:position w:val="18"/>
                <w:sz w:val="20"/>
                <w:szCs w:val="20"/>
                <w:highlight w:val="none"/>
              </w:rPr>
              <w:t>配</w:t>
            </w:r>
            <w:r>
              <w:rPr>
                <w:rFonts w:hint="eastAsia" w:ascii="宋体" w:hAnsi="宋体" w:eastAsia="宋体" w:cs="宋体"/>
                <w:color w:val="auto"/>
                <w:spacing w:val="8"/>
                <w:position w:val="18"/>
                <w:sz w:val="20"/>
                <w:szCs w:val="20"/>
                <w:highlight w:val="none"/>
                <w:lang w:eastAsia="zh-CN"/>
              </w:rPr>
              <w:t>电</w:t>
            </w:r>
          </w:p>
          <w:p>
            <w:pPr>
              <w:keepNext w:val="0"/>
              <w:keepLines w:val="0"/>
              <w:pageBreakBefore w:val="0"/>
              <w:widowControl/>
              <w:kinsoku w:val="0"/>
              <w:wordWrap/>
              <w:overflowPunct/>
              <w:topLinePunct w:val="0"/>
              <w:autoSpaceDE w:val="0"/>
              <w:autoSpaceDN w:val="0"/>
              <w:bidi w:val="0"/>
              <w:adjustRightInd w:val="0"/>
              <w:snapToGrid w:val="0"/>
              <w:spacing w:line="226" w:lineRule="auto"/>
              <w:ind w:left="0" w:right="0"/>
              <w:jc w:val="both"/>
              <w:textAlignment w:val="baseline"/>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装置呈三列式布置</w:t>
            </w:r>
          </w:p>
        </w:tc>
        <w:tc>
          <w:tcPr>
            <w:tcW w:w="3376" w:type="dxa"/>
            <w:gridSpan w:val="2"/>
            <w:tcBorders>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79" w:lineRule="exact"/>
              <w:ind w:left="0" w:right="0"/>
              <w:jc w:val="both"/>
              <w:textAlignment w:val="baseline"/>
              <w:rPr>
                <w:rFonts w:ascii="宋体" w:hAnsi="宋体" w:eastAsia="宋体" w:cs="宋体"/>
                <w:color w:val="auto"/>
                <w:sz w:val="20"/>
                <w:szCs w:val="20"/>
                <w:highlight w:val="none"/>
              </w:rPr>
            </w:pPr>
            <w:r>
              <w:rPr>
                <w:rFonts w:hint="eastAsia" w:ascii="Calibri" w:hAnsi="Calibri" w:eastAsia="Calibri" w:cs="Calibri"/>
                <w:color w:val="auto"/>
                <w:spacing w:val="8"/>
                <w:position w:val="1"/>
                <w:sz w:val="20"/>
                <w:szCs w:val="20"/>
                <w:highlight w:val="none"/>
                <w:lang w:val="en-US" w:eastAsia="zh-CN"/>
              </w:rPr>
              <w:t>500kV户内GIS室、主变</w:t>
            </w:r>
            <w:r>
              <w:rPr>
                <w:rFonts w:hint="default" w:ascii="Calibri" w:hAnsi="Calibri" w:eastAsia="Calibri" w:cs="Calibri"/>
                <w:color w:val="auto"/>
                <w:spacing w:val="8"/>
                <w:position w:val="1"/>
                <w:sz w:val="20"/>
                <w:szCs w:val="20"/>
                <w:highlight w:val="none"/>
                <w:lang w:val="en-US" w:eastAsia="zh-CN"/>
              </w:rPr>
              <w:t>压器</w:t>
            </w:r>
            <w:r>
              <w:rPr>
                <w:rFonts w:hint="eastAsia" w:ascii="Calibri" w:hAnsi="Calibri" w:eastAsia="Calibri" w:cs="Calibri"/>
                <w:color w:val="auto"/>
                <w:spacing w:val="8"/>
                <w:position w:val="1"/>
                <w:sz w:val="20"/>
                <w:szCs w:val="20"/>
                <w:highlight w:val="none"/>
                <w:lang w:val="en-US" w:eastAsia="zh-CN"/>
              </w:rPr>
              <w:t>及35kV配电装置区，</w:t>
            </w:r>
            <w:r>
              <w:rPr>
                <w:rFonts w:hint="eastAsia" w:ascii="Calibri" w:hAnsi="Calibri" w:eastAsia="Calibri" w:cs="Calibri"/>
                <w:color w:val="auto"/>
                <w:spacing w:val="5"/>
                <w:position w:val="1"/>
                <w:sz w:val="20"/>
                <w:szCs w:val="20"/>
                <w:highlight w:val="none"/>
                <w:lang w:val="en-US" w:eastAsia="zh-CN"/>
              </w:rPr>
              <w:t>220kV主变保护小室及站用电室与200kV配电装置区并列设置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81" w:type="dxa"/>
          <w:trHeight w:val="488" w:hRule="atLeast"/>
          <w:jc w:val="center"/>
        </w:trPr>
        <w:tc>
          <w:tcPr>
            <w:tcW w:w="2072" w:type="dxa"/>
            <w:tcBorders>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jc w:val="center"/>
              <w:textAlignment w:val="baseline"/>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所</w:t>
            </w:r>
            <w:r>
              <w:rPr>
                <w:rFonts w:ascii="宋体" w:hAnsi="宋体" w:eastAsia="宋体" w:cs="宋体"/>
                <w:color w:val="auto"/>
                <w:spacing w:val="7"/>
                <w:sz w:val="20"/>
                <w:szCs w:val="20"/>
                <w:highlight w:val="none"/>
              </w:rPr>
              <w:t>在区域</w:t>
            </w:r>
          </w:p>
        </w:tc>
        <w:tc>
          <w:tcPr>
            <w:tcW w:w="3760" w:type="dxa"/>
            <w:vAlign w:val="center"/>
          </w:tcPr>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jc w:val="center"/>
              <w:textAlignment w:val="baseline"/>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湖南长沙市长沙</w:t>
            </w:r>
            <w:r>
              <w:rPr>
                <w:rFonts w:ascii="宋体" w:hAnsi="宋体" w:eastAsia="宋体" w:cs="宋体"/>
                <w:color w:val="auto"/>
                <w:spacing w:val="7"/>
                <w:sz w:val="20"/>
                <w:szCs w:val="20"/>
                <w:highlight w:val="none"/>
              </w:rPr>
              <w:t>县</w:t>
            </w:r>
          </w:p>
        </w:tc>
        <w:tc>
          <w:tcPr>
            <w:tcW w:w="3376" w:type="dxa"/>
            <w:gridSpan w:val="2"/>
            <w:tcBorders>
              <w:righ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8" w:lineRule="auto"/>
              <w:ind w:left="0" w:right="0"/>
              <w:jc w:val="center"/>
              <w:textAlignment w:val="baseline"/>
              <w:rPr>
                <w:rFonts w:hint="eastAsia" w:ascii="宋体" w:hAnsi="宋体" w:eastAsia="宋体" w:cs="宋体"/>
                <w:color w:val="auto"/>
                <w:sz w:val="20"/>
                <w:szCs w:val="20"/>
                <w:highlight w:val="none"/>
                <w:lang w:eastAsia="zh-CN"/>
              </w:rPr>
            </w:pPr>
            <w:r>
              <w:rPr>
                <w:rFonts w:hint="eastAsia" w:ascii="宋体" w:hAnsi="宋体" w:eastAsia="宋体" w:cs="宋体"/>
                <w:color w:val="auto"/>
                <w:spacing w:val="9"/>
                <w:sz w:val="20"/>
                <w:szCs w:val="20"/>
                <w:highlight w:val="none"/>
                <w:lang w:eastAsia="zh-CN"/>
              </w:rPr>
              <w:t>黑龙江省大庆市</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 类比对象可比性</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由表 6. 1- 1 可知，本工程 500kV 汇集站建投运后与类比对象鼎功500kV 变电站电压等级相同，容量、总平面布置相近，电气形式、母线形式一样，且湖南长沙鼎功500kV 变电站主变台数比500kV 汇集站主变多2台且主变容量比本项目大，因此采用鼎功500kV  变电站作为类比对象是可行的。</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18" w:name="_Toc30495"/>
      <w:r>
        <w:rPr>
          <w:rFonts w:hint="eastAsia" w:ascii="Times New Roman" w:hAnsi="Times New Roman" w:eastAsia="宋体" w:cs="Times New Roman"/>
          <w:snapToGrid/>
          <w:kern w:val="0"/>
          <w:sz w:val="24"/>
          <w:szCs w:val="24"/>
          <w:highlight w:val="none"/>
          <w:lang w:val="en-US" w:eastAsia="zh-CN" w:bidi="ar"/>
        </w:rPr>
        <w:t>(2)类比监测因子</w:t>
      </w:r>
      <w:bookmarkEnd w:id="118"/>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工频电场强度、工频磁感应强度</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19" w:name="_Toc23709"/>
      <w:r>
        <w:rPr>
          <w:rFonts w:hint="eastAsia" w:ascii="Times New Roman" w:hAnsi="Times New Roman" w:eastAsia="宋体" w:cs="Times New Roman"/>
          <w:snapToGrid/>
          <w:kern w:val="0"/>
          <w:sz w:val="24"/>
          <w:szCs w:val="24"/>
          <w:highlight w:val="none"/>
          <w:lang w:val="en-US" w:eastAsia="zh-CN" w:bidi="ar"/>
        </w:rPr>
        <w:t>(3)类比监测布点</w:t>
      </w:r>
      <w:bookmarkEnd w:id="119"/>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沿变电站厂界四周大致均匀布置监测点，同时尽量避开进出线，原则上工频电场、 工频磁场各监测点位距变电站围墙距离约为 5m，共设8个测点；变电站西南北地形为 丘陵，不具备断面监测条件，选变电站东侧偏南进行断面监测。具体监测布点详见图 6. 1- 1。</w:t>
      </w:r>
    </w:p>
    <w:p>
      <w:pPr>
        <w:spacing w:before="205" w:line="5530" w:lineRule="exact"/>
        <w:ind w:firstLine="40"/>
        <w:textAlignment w:val="center"/>
        <w:rPr>
          <w:color w:val="0000FF"/>
          <w:highlight w:val="none"/>
        </w:rPr>
      </w:pPr>
      <w:r>
        <w:rPr>
          <w:color w:val="0000FF"/>
          <w:highlight w:val="none"/>
        </w:rPr>
        <w:drawing>
          <wp:inline distT="0" distB="0" distL="0" distR="0">
            <wp:extent cx="5751195" cy="3510915"/>
            <wp:effectExtent l="0" t="0" r="9525" b="9525"/>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7"/>
                    <a:stretch>
                      <a:fillRect/>
                    </a:stretch>
                  </pic:blipFill>
                  <pic:spPr>
                    <a:xfrm>
                      <a:off x="0" y="0"/>
                      <a:ext cx="5751576" cy="3511295"/>
                    </a:xfrm>
                    <a:prstGeom prst="rect">
                      <a:avLst/>
                    </a:prstGeom>
                  </pic:spPr>
                </pic:pic>
              </a:graphicData>
            </a:graphic>
          </wp:inline>
        </w:drawing>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图 6. 1- 1 鼎功 500kV 变电站电磁环境监测布点图(引自鼎功变验收检测报告中布点图)</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20" w:name="_Toc22996"/>
      <w:r>
        <w:rPr>
          <w:rFonts w:hint="eastAsia" w:ascii="Times New Roman" w:hAnsi="Times New Roman" w:eastAsia="宋体" w:cs="Times New Roman"/>
          <w:snapToGrid/>
          <w:kern w:val="0"/>
          <w:sz w:val="24"/>
          <w:szCs w:val="24"/>
          <w:highlight w:val="none"/>
          <w:lang w:val="en-US" w:eastAsia="zh-CN" w:bidi="ar"/>
        </w:rPr>
        <w:t>(4)类比监测单位、监测时间、监测仪器</w:t>
      </w:r>
      <w:bookmarkEnd w:id="120"/>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1)监测单位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湖南省湘电试验研究院有限公司。</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2)监测时间</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监测时间为 2020 年 10 月 19 日。</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3)监测仪器</w:t>
      </w:r>
    </w:p>
    <w:p>
      <w:pPr>
        <w:widowControl/>
        <w:kinsoku/>
        <w:autoSpaceDE/>
        <w:autoSpaceDN/>
        <w:adjustRightInd/>
        <w:snapToGrid/>
        <w:spacing w:line="360" w:lineRule="auto"/>
        <w:ind w:firstLine="480" w:firstLineChars="200"/>
        <w:jc w:val="both"/>
        <w:textAlignment w:val="auto"/>
        <w:rPr>
          <w:rFonts w:ascii="宋体" w:hAnsi="宋体" w:eastAsia="宋体" w:cs="宋体"/>
          <w:color w:val="auto"/>
          <w:sz w:val="23"/>
          <w:szCs w:val="23"/>
          <w:highlight w:val="none"/>
        </w:rPr>
      </w:pPr>
      <w:r>
        <w:rPr>
          <w:rFonts w:hint="eastAsia" w:ascii="Times New Roman" w:hAnsi="Times New Roman" w:eastAsia="宋体" w:cs="Times New Roman"/>
          <w:snapToGrid/>
          <w:kern w:val="0"/>
          <w:sz w:val="24"/>
          <w:szCs w:val="24"/>
          <w:highlight w:val="none"/>
          <w:lang w:val="en-US" w:eastAsia="zh-CN" w:bidi="ar"/>
        </w:rPr>
        <w:t>监测仪器见表 6. 1-2</w:t>
      </w:r>
      <w:r>
        <w:rPr>
          <w:rFonts w:ascii="宋体" w:hAnsi="宋体" w:eastAsia="宋体" w:cs="宋体"/>
          <w:color w:val="auto"/>
          <w:spacing w:val="-3"/>
          <w:sz w:val="23"/>
          <w:szCs w:val="23"/>
          <w:highlight w:val="none"/>
        </w:rPr>
        <w:t>。</w:t>
      </w:r>
    </w:p>
    <w:p>
      <w:pPr>
        <w:spacing w:before="178" w:line="230" w:lineRule="auto"/>
        <w:ind w:left="2032"/>
        <w:rPr>
          <w:rFonts w:ascii="黑体" w:hAnsi="黑体" w:eastAsia="黑体" w:cs="黑体"/>
          <w:color w:val="auto"/>
          <w:sz w:val="20"/>
          <w:szCs w:val="20"/>
          <w:highlight w:val="none"/>
        </w:rPr>
      </w:pPr>
      <w:r>
        <w:rPr>
          <w:rFonts w:ascii="黑体" w:hAnsi="黑体" w:eastAsia="黑体" w:cs="黑体"/>
          <w:color w:val="auto"/>
          <w:spacing w:val="5"/>
          <w:sz w:val="20"/>
          <w:szCs w:val="20"/>
          <w:highlight w:val="none"/>
        </w:rPr>
        <w:t>表</w:t>
      </w:r>
      <w:r>
        <w:rPr>
          <w:rFonts w:ascii="黑体" w:hAnsi="黑体" w:eastAsia="黑体" w:cs="黑体"/>
          <w:color w:val="auto"/>
          <w:spacing w:val="4"/>
          <w:sz w:val="20"/>
          <w:szCs w:val="20"/>
          <w:highlight w:val="none"/>
        </w:rPr>
        <w:t xml:space="preserve"> </w:t>
      </w:r>
      <w:r>
        <w:rPr>
          <w:rFonts w:ascii="Times New Roman" w:hAnsi="Times New Roman" w:eastAsia="Times New Roman" w:cs="Times New Roman"/>
          <w:color w:val="auto"/>
          <w:spacing w:val="4"/>
          <w:sz w:val="20"/>
          <w:szCs w:val="20"/>
          <w:highlight w:val="none"/>
        </w:rPr>
        <w:t xml:space="preserve">6. 1-2    </w:t>
      </w:r>
      <w:r>
        <w:rPr>
          <w:rFonts w:ascii="黑体" w:hAnsi="黑体" w:eastAsia="黑体" w:cs="黑体"/>
          <w:color w:val="auto"/>
          <w:spacing w:val="4"/>
          <w:sz w:val="20"/>
          <w:szCs w:val="20"/>
          <w:highlight w:val="none"/>
        </w:rPr>
        <w:t>监测所用仪器名称、型号以及检定情况一览表</w:t>
      </w:r>
    </w:p>
    <w:p>
      <w:pPr>
        <w:spacing w:line="130" w:lineRule="exact"/>
        <w:rPr>
          <w:color w:val="auto"/>
          <w:highlight w:val="none"/>
        </w:rPr>
      </w:pPr>
    </w:p>
    <w:tbl>
      <w:tblPr>
        <w:tblStyle w:val="20"/>
        <w:tblW w:w="91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3"/>
        <w:gridCol w:w="1147"/>
        <w:gridCol w:w="1768"/>
        <w:gridCol w:w="1808"/>
        <w:gridCol w:w="1859"/>
        <w:gridCol w:w="8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1683" w:type="dxa"/>
            <w:tcBorders>
              <w:left w:val="single" w:color="000000" w:sz="10" w:space="0"/>
            </w:tcBorders>
            <w:vAlign w:val="top"/>
          </w:tcPr>
          <w:p>
            <w:pPr>
              <w:spacing w:before="51" w:line="229" w:lineRule="auto"/>
              <w:ind w:left="474"/>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仪器名称</w:t>
            </w:r>
          </w:p>
        </w:tc>
        <w:tc>
          <w:tcPr>
            <w:tcW w:w="1147" w:type="dxa"/>
            <w:vAlign w:val="top"/>
          </w:tcPr>
          <w:p>
            <w:pPr>
              <w:spacing w:before="51" w:line="229" w:lineRule="auto"/>
              <w:ind w:left="212"/>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仪器型号</w:t>
            </w:r>
          </w:p>
        </w:tc>
        <w:tc>
          <w:tcPr>
            <w:tcW w:w="1768" w:type="dxa"/>
            <w:vAlign w:val="top"/>
          </w:tcPr>
          <w:p>
            <w:pPr>
              <w:spacing w:before="51" w:line="229" w:lineRule="auto"/>
              <w:ind w:left="529"/>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设</w:t>
            </w:r>
            <w:r>
              <w:rPr>
                <w:rFonts w:ascii="宋体" w:hAnsi="宋体" w:eastAsia="宋体" w:cs="宋体"/>
                <w:color w:val="auto"/>
                <w:spacing w:val="7"/>
                <w:sz w:val="17"/>
                <w:szCs w:val="17"/>
                <w:highlight w:val="none"/>
              </w:rPr>
              <w:t>备编号</w:t>
            </w:r>
          </w:p>
        </w:tc>
        <w:tc>
          <w:tcPr>
            <w:tcW w:w="1808" w:type="dxa"/>
            <w:vAlign w:val="top"/>
          </w:tcPr>
          <w:p>
            <w:pPr>
              <w:spacing w:before="51" w:line="229" w:lineRule="auto"/>
              <w:ind w:left="551"/>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证书编号</w:t>
            </w:r>
          </w:p>
        </w:tc>
        <w:tc>
          <w:tcPr>
            <w:tcW w:w="1859" w:type="dxa"/>
            <w:vAlign w:val="top"/>
          </w:tcPr>
          <w:p>
            <w:pPr>
              <w:spacing w:before="51" w:line="229" w:lineRule="auto"/>
              <w:ind w:left="582"/>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有效日期</w:t>
            </w:r>
          </w:p>
        </w:tc>
        <w:tc>
          <w:tcPr>
            <w:tcW w:w="859" w:type="dxa"/>
            <w:tcBorders>
              <w:right w:val="single" w:color="000000" w:sz="10" w:space="0"/>
            </w:tcBorders>
            <w:vAlign w:val="top"/>
          </w:tcPr>
          <w:p>
            <w:pPr>
              <w:spacing w:before="51" w:line="229" w:lineRule="auto"/>
              <w:ind w:left="79"/>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仪器状态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683" w:type="dxa"/>
            <w:tcBorders>
              <w:left w:val="single" w:color="000000" w:sz="10" w:space="0"/>
            </w:tcBorders>
            <w:vAlign w:val="top"/>
          </w:tcPr>
          <w:p>
            <w:pPr>
              <w:spacing w:before="29" w:line="225" w:lineRule="auto"/>
              <w:ind w:left="296"/>
              <w:rPr>
                <w:rFonts w:ascii="宋体" w:hAnsi="宋体" w:eastAsia="宋体" w:cs="宋体"/>
                <w:color w:val="auto"/>
                <w:sz w:val="17"/>
                <w:szCs w:val="17"/>
                <w:highlight w:val="none"/>
              </w:rPr>
            </w:pPr>
            <w:r>
              <w:rPr>
                <w:rFonts w:ascii="宋体" w:hAnsi="宋体" w:eastAsia="宋体" w:cs="宋体"/>
                <w:color w:val="auto"/>
                <w:spacing w:val="10"/>
                <w:sz w:val="17"/>
                <w:szCs w:val="17"/>
                <w:highlight w:val="none"/>
              </w:rPr>
              <w:t>工</w:t>
            </w:r>
            <w:r>
              <w:rPr>
                <w:rFonts w:ascii="宋体" w:hAnsi="宋体" w:eastAsia="宋体" w:cs="宋体"/>
                <w:color w:val="auto"/>
                <w:spacing w:val="8"/>
                <w:sz w:val="17"/>
                <w:szCs w:val="17"/>
                <w:highlight w:val="none"/>
              </w:rPr>
              <w:t>频电磁场仪</w:t>
            </w:r>
          </w:p>
        </w:tc>
        <w:tc>
          <w:tcPr>
            <w:tcW w:w="1147" w:type="dxa"/>
            <w:vAlign w:val="top"/>
          </w:tcPr>
          <w:p>
            <w:pPr>
              <w:spacing w:before="57" w:line="197" w:lineRule="auto"/>
              <w:ind w:left="26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EFA</w:t>
            </w:r>
            <w:r>
              <w:rPr>
                <w:rFonts w:ascii="Times New Roman" w:hAnsi="Times New Roman" w:eastAsia="Times New Roman" w:cs="Times New Roman"/>
                <w:color w:val="auto"/>
                <w:spacing w:val="6"/>
                <w:sz w:val="17"/>
                <w:szCs w:val="17"/>
                <w:highlight w:val="none"/>
              </w:rPr>
              <w:t>300</w:t>
            </w:r>
          </w:p>
        </w:tc>
        <w:tc>
          <w:tcPr>
            <w:tcW w:w="1768" w:type="dxa"/>
            <w:vAlign w:val="top"/>
          </w:tcPr>
          <w:p>
            <w:pPr>
              <w:spacing w:line="236" w:lineRule="exact"/>
              <w:ind w:left="2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position w:val="1"/>
                <w:sz w:val="17"/>
                <w:szCs w:val="17"/>
                <w:highlight w:val="none"/>
              </w:rPr>
              <w:t>T</w:t>
            </w:r>
            <w:r>
              <w:rPr>
                <w:rFonts w:ascii="Times New Roman" w:hAnsi="Times New Roman" w:eastAsia="Times New Roman" w:cs="Times New Roman"/>
                <w:color w:val="auto"/>
                <w:spacing w:val="4"/>
                <w:position w:val="1"/>
                <w:sz w:val="17"/>
                <w:szCs w:val="17"/>
                <w:highlight w:val="none"/>
              </w:rPr>
              <w:t>-00</w:t>
            </w:r>
            <w:r>
              <w:rPr>
                <w:rFonts w:ascii="Times New Roman" w:hAnsi="Times New Roman" w:eastAsia="Times New Roman" w:cs="Times New Roman"/>
                <w:color w:val="auto"/>
                <w:spacing w:val="2"/>
                <w:position w:val="1"/>
                <w:sz w:val="17"/>
                <w:szCs w:val="17"/>
                <w:highlight w:val="none"/>
              </w:rPr>
              <w:t>11/</w:t>
            </w:r>
            <w:r>
              <w:rPr>
                <w:rFonts w:ascii="Times New Roman" w:hAnsi="Times New Roman" w:eastAsia="Times New Roman" w:cs="Times New Roman"/>
                <w:color w:val="auto"/>
                <w:position w:val="1"/>
                <w:sz w:val="17"/>
                <w:szCs w:val="17"/>
                <w:highlight w:val="none"/>
              </w:rPr>
              <w:t>W</w:t>
            </w:r>
            <w:r>
              <w:rPr>
                <w:rFonts w:ascii="Times New Roman" w:hAnsi="Times New Roman" w:eastAsia="Times New Roman" w:cs="Times New Roman"/>
                <w:color w:val="auto"/>
                <w:spacing w:val="2"/>
                <w:position w:val="1"/>
                <w:sz w:val="17"/>
                <w:szCs w:val="17"/>
                <w:highlight w:val="none"/>
              </w:rPr>
              <w:t>-0016/</w:t>
            </w:r>
            <w:r>
              <w:rPr>
                <w:rFonts w:ascii="Times New Roman" w:hAnsi="Times New Roman" w:eastAsia="Times New Roman" w:cs="Times New Roman"/>
                <w:color w:val="auto"/>
                <w:position w:val="1"/>
                <w:sz w:val="17"/>
                <w:szCs w:val="17"/>
                <w:highlight w:val="none"/>
              </w:rPr>
              <w:t>Y</w:t>
            </w:r>
            <w:r>
              <w:rPr>
                <w:rFonts w:ascii="Times New Roman" w:hAnsi="Times New Roman" w:eastAsia="Times New Roman" w:cs="Times New Roman"/>
                <w:color w:val="auto"/>
                <w:spacing w:val="2"/>
                <w:position w:val="1"/>
                <w:sz w:val="17"/>
                <w:szCs w:val="17"/>
                <w:highlight w:val="none"/>
              </w:rPr>
              <w:t>-0009</w:t>
            </w:r>
          </w:p>
        </w:tc>
        <w:tc>
          <w:tcPr>
            <w:tcW w:w="1808" w:type="dxa"/>
            <w:vAlign w:val="top"/>
          </w:tcPr>
          <w:p>
            <w:pPr>
              <w:spacing w:line="236" w:lineRule="exact"/>
              <w:ind w:left="26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position w:val="3"/>
                <w:sz w:val="17"/>
                <w:szCs w:val="17"/>
                <w:highlight w:val="none"/>
              </w:rPr>
              <w:t>XDdj</w:t>
            </w:r>
            <w:r>
              <w:rPr>
                <w:rFonts w:ascii="Times New Roman" w:hAnsi="Times New Roman" w:eastAsia="Times New Roman" w:cs="Times New Roman"/>
                <w:color w:val="auto"/>
                <w:spacing w:val="7"/>
                <w:position w:val="3"/>
                <w:sz w:val="17"/>
                <w:szCs w:val="17"/>
                <w:highlight w:val="none"/>
              </w:rPr>
              <w:t>2020-00631</w:t>
            </w:r>
          </w:p>
        </w:tc>
        <w:tc>
          <w:tcPr>
            <w:tcW w:w="1859" w:type="dxa"/>
            <w:vAlign w:val="top"/>
          </w:tcPr>
          <w:p>
            <w:pPr>
              <w:spacing w:before="29" w:line="225" w:lineRule="auto"/>
              <w:ind w:left="240"/>
              <w:rPr>
                <w:rFonts w:ascii="宋体" w:hAnsi="宋体" w:eastAsia="宋体" w:cs="宋体"/>
                <w:color w:val="auto"/>
                <w:sz w:val="17"/>
                <w:szCs w:val="17"/>
                <w:highlight w:val="none"/>
              </w:rPr>
            </w:pPr>
            <w:r>
              <w:rPr>
                <w:rFonts w:ascii="Times New Roman" w:hAnsi="Times New Roman" w:eastAsia="Times New Roman" w:cs="Times New Roman"/>
                <w:color w:val="auto"/>
                <w:spacing w:val="2"/>
                <w:sz w:val="17"/>
                <w:szCs w:val="17"/>
                <w:highlight w:val="none"/>
              </w:rPr>
              <w:t>202</w:t>
            </w:r>
            <w:r>
              <w:rPr>
                <w:rFonts w:ascii="Times New Roman" w:hAnsi="Times New Roman" w:eastAsia="Times New Roman" w:cs="Times New Roman"/>
                <w:color w:val="auto"/>
                <w:spacing w:val="1"/>
                <w:sz w:val="17"/>
                <w:szCs w:val="17"/>
                <w:highlight w:val="none"/>
              </w:rPr>
              <w:t xml:space="preserve">1 </w:t>
            </w:r>
            <w:r>
              <w:rPr>
                <w:rFonts w:ascii="宋体" w:hAnsi="宋体" w:eastAsia="宋体" w:cs="宋体"/>
                <w:color w:val="auto"/>
                <w:spacing w:val="1"/>
                <w:sz w:val="17"/>
                <w:szCs w:val="17"/>
                <w:highlight w:val="none"/>
              </w:rPr>
              <w:t xml:space="preserve">年 </w:t>
            </w:r>
            <w:r>
              <w:rPr>
                <w:rFonts w:ascii="Times New Roman" w:hAnsi="Times New Roman" w:eastAsia="Times New Roman" w:cs="Times New Roman"/>
                <w:color w:val="auto"/>
                <w:spacing w:val="1"/>
                <w:sz w:val="17"/>
                <w:szCs w:val="17"/>
                <w:highlight w:val="none"/>
              </w:rPr>
              <w:t xml:space="preserve">3 </w:t>
            </w:r>
            <w:r>
              <w:rPr>
                <w:rFonts w:ascii="宋体" w:hAnsi="宋体" w:eastAsia="宋体" w:cs="宋体"/>
                <w:color w:val="auto"/>
                <w:spacing w:val="1"/>
                <w:sz w:val="17"/>
                <w:szCs w:val="17"/>
                <w:highlight w:val="none"/>
              </w:rPr>
              <w:t xml:space="preserve">月 </w:t>
            </w:r>
            <w:r>
              <w:rPr>
                <w:rFonts w:ascii="Times New Roman" w:hAnsi="Times New Roman" w:eastAsia="Times New Roman" w:cs="Times New Roman"/>
                <w:color w:val="auto"/>
                <w:spacing w:val="1"/>
                <w:sz w:val="17"/>
                <w:szCs w:val="17"/>
                <w:highlight w:val="none"/>
              </w:rPr>
              <w:t xml:space="preserve">18 </w:t>
            </w:r>
            <w:r>
              <w:rPr>
                <w:rFonts w:ascii="宋体" w:hAnsi="宋体" w:eastAsia="宋体" w:cs="宋体"/>
                <w:color w:val="auto"/>
                <w:spacing w:val="1"/>
                <w:sz w:val="17"/>
                <w:szCs w:val="17"/>
                <w:highlight w:val="none"/>
              </w:rPr>
              <w:t>日</w:t>
            </w:r>
          </w:p>
        </w:tc>
        <w:tc>
          <w:tcPr>
            <w:tcW w:w="859" w:type="dxa"/>
            <w:tcBorders>
              <w:right w:val="single" w:color="000000" w:sz="10" w:space="0"/>
            </w:tcBorders>
            <w:vAlign w:val="top"/>
          </w:tcPr>
          <w:p>
            <w:pPr>
              <w:spacing w:before="29" w:line="225" w:lineRule="auto"/>
              <w:ind w:left="259"/>
              <w:rPr>
                <w:rFonts w:ascii="宋体" w:hAnsi="宋体" w:eastAsia="宋体" w:cs="宋体"/>
                <w:color w:val="auto"/>
                <w:sz w:val="17"/>
                <w:szCs w:val="17"/>
                <w:highlight w:val="none"/>
              </w:rPr>
            </w:pPr>
            <w:r>
              <w:rPr>
                <w:rFonts w:ascii="宋体" w:hAnsi="宋体" w:eastAsia="宋体" w:cs="宋体"/>
                <w:color w:val="auto"/>
                <w:spacing w:val="6"/>
                <w:sz w:val="17"/>
                <w:szCs w:val="17"/>
                <w:highlight w:val="none"/>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683" w:type="dxa"/>
            <w:vMerge w:val="restart"/>
            <w:tcBorders>
              <w:left w:val="single" w:color="000000" w:sz="10" w:space="0"/>
              <w:bottom w:val="nil"/>
            </w:tcBorders>
            <w:vAlign w:val="top"/>
          </w:tcPr>
          <w:p>
            <w:pPr>
              <w:spacing w:before="152" w:line="230" w:lineRule="auto"/>
              <w:ind w:left="302"/>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多</w:t>
            </w:r>
            <w:r>
              <w:rPr>
                <w:rFonts w:ascii="宋体" w:hAnsi="宋体" w:eastAsia="宋体" w:cs="宋体"/>
                <w:color w:val="auto"/>
                <w:spacing w:val="7"/>
                <w:sz w:val="17"/>
                <w:szCs w:val="17"/>
                <w:highlight w:val="none"/>
              </w:rPr>
              <w:t>功能测量仪</w:t>
            </w:r>
          </w:p>
        </w:tc>
        <w:tc>
          <w:tcPr>
            <w:tcW w:w="1147" w:type="dxa"/>
            <w:vMerge w:val="restart"/>
            <w:tcBorders>
              <w:bottom w:val="nil"/>
            </w:tcBorders>
            <w:vAlign w:val="top"/>
          </w:tcPr>
          <w:p>
            <w:pPr>
              <w:spacing w:before="180" w:line="197" w:lineRule="auto"/>
              <w:ind w:left="31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VT</w:t>
            </w:r>
            <w:r>
              <w:rPr>
                <w:rFonts w:ascii="Times New Roman" w:hAnsi="Times New Roman" w:eastAsia="Times New Roman" w:cs="Times New Roman"/>
                <w:color w:val="auto"/>
                <w:spacing w:val="9"/>
                <w:sz w:val="17"/>
                <w:szCs w:val="17"/>
                <w:highlight w:val="none"/>
              </w:rPr>
              <w:t>21</w:t>
            </w:r>
            <w:r>
              <w:rPr>
                <w:rFonts w:ascii="Times New Roman" w:hAnsi="Times New Roman" w:eastAsia="Times New Roman" w:cs="Times New Roman"/>
                <w:color w:val="auto"/>
                <w:spacing w:val="8"/>
                <w:sz w:val="17"/>
                <w:szCs w:val="17"/>
                <w:highlight w:val="none"/>
              </w:rPr>
              <w:t>0</w:t>
            </w:r>
          </w:p>
        </w:tc>
        <w:tc>
          <w:tcPr>
            <w:tcW w:w="1768" w:type="dxa"/>
            <w:vMerge w:val="restart"/>
            <w:tcBorders>
              <w:bottom w:val="nil"/>
            </w:tcBorders>
            <w:vAlign w:val="top"/>
          </w:tcPr>
          <w:p>
            <w:pPr>
              <w:spacing w:before="180" w:line="197" w:lineRule="auto"/>
              <w:ind w:left="38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2</w:t>
            </w:r>
            <w:r>
              <w:rPr>
                <w:rFonts w:ascii="Times New Roman" w:hAnsi="Times New Roman" w:eastAsia="Times New Roman" w:cs="Times New Roman"/>
                <w:color w:val="auto"/>
                <w:sz w:val="17"/>
                <w:szCs w:val="17"/>
                <w:highlight w:val="none"/>
              </w:rPr>
              <w:t>P</w:t>
            </w:r>
            <w:r>
              <w:rPr>
                <w:rFonts w:ascii="Times New Roman" w:hAnsi="Times New Roman" w:eastAsia="Times New Roman" w:cs="Times New Roman"/>
                <w:color w:val="auto"/>
                <w:spacing w:val="5"/>
                <w:sz w:val="17"/>
                <w:szCs w:val="17"/>
                <w:highlight w:val="none"/>
              </w:rPr>
              <w:t>180608226</w:t>
            </w:r>
          </w:p>
        </w:tc>
        <w:tc>
          <w:tcPr>
            <w:tcW w:w="1808" w:type="dxa"/>
            <w:vAlign w:val="top"/>
          </w:tcPr>
          <w:p>
            <w:pPr>
              <w:spacing w:before="29" w:line="225" w:lineRule="auto"/>
              <w:ind w:left="53"/>
              <w:rPr>
                <w:rFonts w:ascii="宋体" w:hAnsi="宋体" w:eastAsia="宋体" w:cs="宋体"/>
                <w:color w:val="auto"/>
                <w:sz w:val="17"/>
                <w:szCs w:val="17"/>
                <w:highlight w:val="none"/>
              </w:rPr>
            </w:pPr>
            <w:r>
              <w:rPr>
                <w:rFonts w:ascii="Times New Roman" w:hAnsi="Times New Roman" w:eastAsia="Times New Roman" w:cs="Times New Roman"/>
                <w:color w:val="auto"/>
                <w:spacing w:val="5"/>
                <w:sz w:val="17"/>
                <w:szCs w:val="17"/>
                <w:highlight w:val="none"/>
              </w:rPr>
              <w:t xml:space="preserve">202004663  </w:t>
            </w:r>
            <w:r>
              <w:rPr>
                <w:rFonts w:ascii="宋体" w:hAnsi="宋体" w:eastAsia="宋体" w:cs="宋体"/>
                <w:color w:val="auto"/>
                <w:spacing w:val="5"/>
                <w:sz w:val="17"/>
                <w:szCs w:val="17"/>
                <w:highlight w:val="none"/>
              </w:rPr>
              <w:t>(温湿度)</w:t>
            </w:r>
          </w:p>
        </w:tc>
        <w:tc>
          <w:tcPr>
            <w:tcW w:w="1859" w:type="dxa"/>
            <w:vAlign w:val="top"/>
          </w:tcPr>
          <w:p>
            <w:pPr>
              <w:spacing w:before="29" w:line="225" w:lineRule="auto"/>
              <w:ind w:left="197"/>
              <w:rPr>
                <w:rFonts w:ascii="宋体" w:hAnsi="宋体" w:eastAsia="宋体" w:cs="宋体"/>
                <w:color w:val="auto"/>
                <w:sz w:val="17"/>
                <w:szCs w:val="17"/>
                <w:highlight w:val="none"/>
              </w:rPr>
            </w:pPr>
            <w:r>
              <w:rPr>
                <w:rFonts w:ascii="Times New Roman" w:hAnsi="Times New Roman" w:eastAsia="Times New Roman" w:cs="Times New Roman"/>
                <w:color w:val="auto"/>
                <w:spacing w:val="2"/>
                <w:sz w:val="17"/>
                <w:szCs w:val="17"/>
                <w:highlight w:val="none"/>
              </w:rPr>
              <w:t>202</w:t>
            </w:r>
            <w:r>
              <w:rPr>
                <w:rFonts w:ascii="Times New Roman" w:hAnsi="Times New Roman" w:eastAsia="Times New Roman" w:cs="Times New Roman"/>
                <w:color w:val="auto"/>
                <w:spacing w:val="1"/>
                <w:sz w:val="17"/>
                <w:szCs w:val="17"/>
                <w:highlight w:val="none"/>
              </w:rPr>
              <w:t xml:space="preserve">1 </w:t>
            </w:r>
            <w:r>
              <w:rPr>
                <w:rFonts w:ascii="宋体" w:hAnsi="宋体" w:eastAsia="宋体" w:cs="宋体"/>
                <w:color w:val="auto"/>
                <w:spacing w:val="1"/>
                <w:sz w:val="17"/>
                <w:szCs w:val="17"/>
                <w:highlight w:val="none"/>
              </w:rPr>
              <w:t xml:space="preserve">年 </w:t>
            </w:r>
            <w:r>
              <w:rPr>
                <w:rFonts w:ascii="Times New Roman" w:hAnsi="Times New Roman" w:eastAsia="Times New Roman" w:cs="Times New Roman"/>
                <w:color w:val="auto"/>
                <w:spacing w:val="1"/>
                <w:sz w:val="17"/>
                <w:szCs w:val="17"/>
                <w:highlight w:val="none"/>
              </w:rPr>
              <w:t xml:space="preserve">09 </w:t>
            </w:r>
            <w:r>
              <w:rPr>
                <w:rFonts w:ascii="宋体" w:hAnsi="宋体" w:eastAsia="宋体" w:cs="宋体"/>
                <w:color w:val="auto"/>
                <w:spacing w:val="1"/>
                <w:sz w:val="17"/>
                <w:szCs w:val="17"/>
                <w:highlight w:val="none"/>
              </w:rPr>
              <w:t xml:space="preserve">月 </w:t>
            </w:r>
            <w:r>
              <w:rPr>
                <w:rFonts w:ascii="Times New Roman" w:hAnsi="Times New Roman" w:eastAsia="Times New Roman" w:cs="Times New Roman"/>
                <w:color w:val="auto"/>
                <w:spacing w:val="1"/>
                <w:sz w:val="17"/>
                <w:szCs w:val="17"/>
                <w:highlight w:val="none"/>
              </w:rPr>
              <w:t xml:space="preserve">22 </w:t>
            </w:r>
            <w:r>
              <w:rPr>
                <w:rFonts w:ascii="宋体" w:hAnsi="宋体" w:eastAsia="宋体" w:cs="宋体"/>
                <w:color w:val="auto"/>
                <w:spacing w:val="1"/>
                <w:sz w:val="17"/>
                <w:szCs w:val="17"/>
                <w:highlight w:val="none"/>
              </w:rPr>
              <w:t>日</w:t>
            </w:r>
          </w:p>
        </w:tc>
        <w:tc>
          <w:tcPr>
            <w:tcW w:w="859" w:type="dxa"/>
            <w:tcBorders>
              <w:right w:val="single" w:color="000000" w:sz="10" w:space="0"/>
            </w:tcBorders>
            <w:vAlign w:val="top"/>
          </w:tcPr>
          <w:p>
            <w:pPr>
              <w:spacing w:before="29" w:line="225" w:lineRule="auto"/>
              <w:ind w:left="259"/>
              <w:rPr>
                <w:rFonts w:ascii="宋体" w:hAnsi="宋体" w:eastAsia="宋体" w:cs="宋体"/>
                <w:color w:val="auto"/>
                <w:sz w:val="17"/>
                <w:szCs w:val="17"/>
                <w:highlight w:val="none"/>
              </w:rPr>
            </w:pPr>
            <w:r>
              <w:rPr>
                <w:rFonts w:ascii="宋体" w:hAnsi="宋体" w:eastAsia="宋体" w:cs="宋体"/>
                <w:color w:val="auto"/>
                <w:spacing w:val="6"/>
                <w:sz w:val="17"/>
                <w:szCs w:val="17"/>
                <w:highlight w:val="none"/>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683" w:type="dxa"/>
            <w:vMerge w:val="continue"/>
            <w:tcBorders>
              <w:top w:val="nil"/>
              <w:left w:val="single" w:color="000000" w:sz="10" w:space="0"/>
            </w:tcBorders>
            <w:vAlign w:val="top"/>
          </w:tcPr>
          <w:p>
            <w:pPr>
              <w:rPr>
                <w:rFonts w:ascii="Arial"/>
                <w:color w:val="auto"/>
                <w:sz w:val="21"/>
                <w:highlight w:val="none"/>
              </w:rPr>
            </w:pPr>
          </w:p>
        </w:tc>
        <w:tc>
          <w:tcPr>
            <w:tcW w:w="1147" w:type="dxa"/>
            <w:vMerge w:val="continue"/>
            <w:tcBorders>
              <w:top w:val="nil"/>
            </w:tcBorders>
            <w:vAlign w:val="top"/>
          </w:tcPr>
          <w:p>
            <w:pPr>
              <w:rPr>
                <w:rFonts w:ascii="Arial"/>
                <w:color w:val="auto"/>
                <w:sz w:val="21"/>
                <w:highlight w:val="none"/>
              </w:rPr>
            </w:pPr>
          </w:p>
        </w:tc>
        <w:tc>
          <w:tcPr>
            <w:tcW w:w="1768" w:type="dxa"/>
            <w:vMerge w:val="continue"/>
            <w:tcBorders>
              <w:top w:val="nil"/>
            </w:tcBorders>
            <w:vAlign w:val="top"/>
          </w:tcPr>
          <w:p>
            <w:pPr>
              <w:rPr>
                <w:rFonts w:ascii="Arial"/>
                <w:color w:val="auto"/>
                <w:sz w:val="21"/>
                <w:highlight w:val="none"/>
              </w:rPr>
            </w:pPr>
          </w:p>
        </w:tc>
        <w:tc>
          <w:tcPr>
            <w:tcW w:w="1808" w:type="dxa"/>
            <w:vAlign w:val="top"/>
          </w:tcPr>
          <w:p>
            <w:pPr>
              <w:spacing w:before="30" w:line="231" w:lineRule="auto"/>
              <w:ind w:left="142"/>
              <w:rPr>
                <w:rFonts w:ascii="宋体" w:hAnsi="宋体" w:eastAsia="宋体" w:cs="宋体"/>
                <w:color w:val="auto"/>
                <w:sz w:val="17"/>
                <w:szCs w:val="17"/>
                <w:highlight w:val="none"/>
              </w:rPr>
            </w:pPr>
            <w:r>
              <w:rPr>
                <w:rFonts w:ascii="Times New Roman" w:hAnsi="Times New Roman" w:eastAsia="Times New Roman" w:cs="Times New Roman"/>
                <w:color w:val="auto"/>
                <w:spacing w:val="5"/>
                <w:sz w:val="17"/>
                <w:szCs w:val="17"/>
                <w:highlight w:val="none"/>
              </w:rPr>
              <w:t xml:space="preserve">202021951  </w:t>
            </w:r>
            <w:r>
              <w:rPr>
                <w:rFonts w:ascii="宋体" w:hAnsi="宋体" w:eastAsia="宋体" w:cs="宋体"/>
                <w:color w:val="auto"/>
                <w:spacing w:val="5"/>
                <w:sz w:val="17"/>
                <w:szCs w:val="17"/>
                <w:highlight w:val="none"/>
              </w:rPr>
              <w:t>(风速</w:t>
            </w:r>
            <w:r>
              <w:rPr>
                <w:rFonts w:ascii="宋体" w:hAnsi="宋体" w:eastAsia="宋体" w:cs="宋体"/>
                <w:color w:val="auto"/>
                <w:spacing w:val="2"/>
                <w:sz w:val="17"/>
                <w:szCs w:val="17"/>
                <w:highlight w:val="none"/>
              </w:rPr>
              <w:t>)</w:t>
            </w:r>
          </w:p>
        </w:tc>
        <w:tc>
          <w:tcPr>
            <w:tcW w:w="1859" w:type="dxa"/>
            <w:vAlign w:val="top"/>
          </w:tcPr>
          <w:p>
            <w:pPr>
              <w:spacing w:before="30" w:line="230" w:lineRule="auto"/>
              <w:ind w:left="197"/>
              <w:rPr>
                <w:rFonts w:ascii="宋体" w:hAnsi="宋体" w:eastAsia="宋体" w:cs="宋体"/>
                <w:color w:val="auto"/>
                <w:sz w:val="17"/>
                <w:szCs w:val="17"/>
                <w:highlight w:val="none"/>
              </w:rPr>
            </w:pPr>
            <w:r>
              <w:rPr>
                <w:rFonts w:ascii="Times New Roman" w:hAnsi="Times New Roman" w:eastAsia="Times New Roman" w:cs="Times New Roman"/>
                <w:color w:val="auto"/>
                <w:spacing w:val="2"/>
                <w:sz w:val="17"/>
                <w:szCs w:val="17"/>
                <w:highlight w:val="none"/>
              </w:rPr>
              <w:t>202</w:t>
            </w:r>
            <w:r>
              <w:rPr>
                <w:rFonts w:ascii="Times New Roman" w:hAnsi="Times New Roman" w:eastAsia="Times New Roman" w:cs="Times New Roman"/>
                <w:color w:val="auto"/>
                <w:spacing w:val="1"/>
                <w:sz w:val="17"/>
                <w:szCs w:val="17"/>
                <w:highlight w:val="none"/>
              </w:rPr>
              <w:t xml:space="preserve">1 </w:t>
            </w:r>
            <w:r>
              <w:rPr>
                <w:rFonts w:ascii="宋体" w:hAnsi="宋体" w:eastAsia="宋体" w:cs="宋体"/>
                <w:color w:val="auto"/>
                <w:spacing w:val="1"/>
                <w:sz w:val="17"/>
                <w:szCs w:val="17"/>
                <w:highlight w:val="none"/>
              </w:rPr>
              <w:t xml:space="preserve">年 </w:t>
            </w:r>
            <w:r>
              <w:rPr>
                <w:rFonts w:ascii="Times New Roman" w:hAnsi="Times New Roman" w:eastAsia="Times New Roman" w:cs="Times New Roman"/>
                <w:color w:val="auto"/>
                <w:spacing w:val="1"/>
                <w:sz w:val="17"/>
                <w:szCs w:val="17"/>
                <w:highlight w:val="none"/>
              </w:rPr>
              <w:t xml:space="preserve">09 </w:t>
            </w:r>
            <w:r>
              <w:rPr>
                <w:rFonts w:ascii="宋体" w:hAnsi="宋体" w:eastAsia="宋体" w:cs="宋体"/>
                <w:color w:val="auto"/>
                <w:spacing w:val="1"/>
                <w:sz w:val="17"/>
                <w:szCs w:val="17"/>
                <w:highlight w:val="none"/>
              </w:rPr>
              <w:t xml:space="preserve">月 </w:t>
            </w:r>
            <w:r>
              <w:rPr>
                <w:rFonts w:ascii="Times New Roman" w:hAnsi="Times New Roman" w:eastAsia="Times New Roman" w:cs="Times New Roman"/>
                <w:color w:val="auto"/>
                <w:spacing w:val="1"/>
                <w:sz w:val="17"/>
                <w:szCs w:val="17"/>
                <w:highlight w:val="none"/>
              </w:rPr>
              <w:t xml:space="preserve">21 </w:t>
            </w:r>
            <w:r>
              <w:rPr>
                <w:rFonts w:ascii="宋体" w:hAnsi="宋体" w:eastAsia="宋体" w:cs="宋体"/>
                <w:color w:val="auto"/>
                <w:spacing w:val="1"/>
                <w:sz w:val="17"/>
                <w:szCs w:val="17"/>
                <w:highlight w:val="none"/>
              </w:rPr>
              <w:t>日</w:t>
            </w:r>
          </w:p>
        </w:tc>
        <w:tc>
          <w:tcPr>
            <w:tcW w:w="859" w:type="dxa"/>
            <w:tcBorders>
              <w:right w:val="single" w:color="000000" w:sz="10" w:space="0"/>
            </w:tcBorders>
            <w:vAlign w:val="top"/>
          </w:tcPr>
          <w:p>
            <w:pPr>
              <w:spacing w:before="30" w:line="230" w:lineRule="auto"/>
              <w:ind w:left="259"/>
              <w:rPr>
                <w:rFonts w:ascii="宋体" w:hAnsi="宋体" w:eastAsia="宋体" w:cs="宋体"/>
                <w:color w:val="auto"/>
                <w:sz w:val="17"/>
                <w:szCs w:val="17"/>
                <w:highlight w:val="none"/>
              </w:rPr>
            </w:pPr>
            <w:r>
              <w:rPr>
                <w:rFonts w:ascii="宋体" w:hAnsi="宋体" w:eastAsia="宋体" w:cs="宋体"/>
                <w:color w:val="auto"/>
                <w:spacing w:val="6"/>
                <w:sz w:val="17"/>
                <w:szCs w:val="17"/>
                <w:highlight w:val="none"/>
              </w:rPr>
              <w:t>合格</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21" w:name="_Toc10503"/>
      <w:r>
        <w:rPr>
          <w:rFonts w:hint="eastAsia" w:ascii="Times New Roman" w:hAnsi="Times New Roman" w:eastAsia="宋体" w:cs="Times New Roman"/>
          <w:snapToGrid/>
          <w:kern w:val="0"/>
          <w:sz w:val="24"/>
          <w:szCs w:val="24"/>
          <w:highlight w:val="none"/>
          <w:lang w:val="en-US" w:eastAsia="zh-CN" w:bidi="ar"/>
        </w:rPr>
        <w:t>(5)类比监测环境</w:t>
      </w:r>
      <w:bookmarkEnd w:id="121"/>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监测期间的气象条件见表 6. 1-3。</w:t>
      </w:r>
    </w:p>
    <w:p>
      <w:pPr>
        <w:spacing w:before="179" w:line="231" w:lineRule="auto"/>
        <w:ind w:left="2977"/>
        <w:rPr>
          <w:rFonts w:ascii="黑体" w:hAnsi="黑体" w:eastAsia="黑体" w:cs="黑体"/>
          <w:color w:val="auto"/>
          <w:sz w:val="20"/>
          <w:szCs w:val="20"/>
          <w:highlight w:val="none"/>
        </w:rPr>
      </w:pPr>
      <w:r>
        <w:rPr>
          <w:rFonts w:ascii="黑体" w:hAnsi="黑体" w:eastAsia="黑体" w:cs="黑体"/>
          <w:color w:val="auto"/>
          <w:spacing w:val="2"/>
          <w:sz w:val="20"/>
          <w:szCs w:val="20"/>
          <w:highlight w:val="none"/>
        </w:rPr>
        <w:t xml:space="preserve">表 </w:t>
      </w:r>
      <w:r>
        <w:rPr>
          <w:rFonts w:ascii="Times New Roman" w:hAnsi="Times New Roman" w:eastAsia="Times New Roman" w:cs="Times New Roman"/>
          <w:color w:val="auto"/>
          <w:spacing w:val="2"/>
          <w:sz w:val="20"/>
          <w:szCs w:val="20"/>
          <w:highlight w:val="none"/>
        </w:rPr>
        <w:t xml:space="preserve">6. 1-3    </w:t>
      </w:r>
      <w:r>
        <w:rPr>
          <w:rFonts w:ascii="黑体" w:hAnsi="黑体" w:eastAsia="黑体" w:cs="黑体"/>
          <w:color w:val="auto"/>
          <w:spacing w:val="2"/>
          <w:sz w:val="20"/>
          <w:szCs w:val="20"/>
          <w:highlight w:val="none"/>
        </w:rPr>
        <w:t>监测期</w:t>
      </w:r>
      <w:r>
        <w:rPr>
          <w:rFonts w:ascii="黑体" w:hAnsi="黑体" w:eastAsia="黑体" w:cs="黑体"/>
          <w:color w:val="auto"/>
          <w:spacing w:val="1"/>
          <w:sz w:val="20"/>
          <w:szCs w:val="20"/>
          <w:highlight w:val="none"/>
        </w:rPr>
        <w:t>间气象条件一览表</w:t>
      </w:r>
    </w:p>
    <w:p>
      <w:pPr>
        <w:spacing w:line="128" w:lineRule="exact"/>
        <w:rPr>
          <w:color w:val="auto"/>
          <w:highlight w:val="none"/>
        </w:rPr>
      </w:pPr>
    </w:p>
    <w:tbl>
      <w:tblPr>
        <w:tblStyle w:val="20"/>
        <w:tblW w:w="91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2"/>
        <w:gridCol w:w="1263"/>
        <w:gridCol w:w="1950"/>
        <w:gridCol w:w="1993"/>
        <w:gridCol w:w="20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852" w:type="dxa"/>
            <w:tcBorders>
              <w:left w:val="single" w:color="000000" w:sz="10" w:space="0"/>
            </w:tcBorders>
            <w:vAlign w:val="top"/>
          </w:tcPr>
          <w:p>
            <w:pPr>
              <w:spacing w:before="51" w:line="227" w:lineRule="auto"/>
              <w:ind w:left="558"/>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监测日期</w:t>
            </w:r>
          </w:p>
        </w:tc>
        <w:tc>
          <w:tcPr>
            <w:tcW w:w="1263" w:type="dxa"/>
            <w:vAlign w:val="top"/>
          </w:tcPr>
          <w:p>
            <w:pPr>
              <w:spacing w:before="51" w:line="227" w:lineRule="auto"/>
              <w:ind w:left="454"/>
              <w:rPr>
                <w:rFonts w:ascii="宋体" w:hAnsi="宋体" w:eastAsia="宋体" w:cs="宋体"/>
                <w:color w:val="auto"/>
                <w:sz w:val="17"/>
                <w:szCs w:val="17"/>
                <w:highlight w:val="none"/>
              </w:rPr>
            </w:pPr>
            <w:r>
              <w:rPr>
                <w:rFonts w:ascii="宋体" w:hAnsi="宋体" w:eastAsia="宋体" w:cs="宋体"/>
                <w:color w:val="auto"/>
                <w:spacing w:val="5"/>
                <w:sz w:val="17"/>
                <w:szCs w:val="17"/>
                <w:highlight w:val="none"/>
              </w:rPr>
              <w:t>天</w:t>
            </w:r>
            <w:r>
              <w:rPr>
                <w:rFonts w:ascii="宋体" w:hAnsi="宋体" w:eastAsia="宋体" w:cs="宋体"/>
                <w:color w:val="auto"/>
                <w:spacing w:val="4"/>
                <w:sz w:val="17"/>
                <w:szCs w:val="17"/>
                <w:highlight w:val="none"/>
              </w:rPr>
              <w:t>气</w:t>
            </w:r>
          </w:p>
        </w:tc>
        <w:tc>
          <w:tcPr>
            <w:tcW w:w="1950" w:type="dxa"/>
            <w:vAlign w:val="top"/>
          </w:tcPr>
          <w:p>
            <w:pPr>
              <w:spacing w:before="51" w:line="227" w:lineRule="auto"/>
              <w:ind w:left="708"/>
              <w:rPr>
                <w:rFonts w:ascii="宋体" w:hAnsi="宋体" w:eastAsia="宋体" w:cs="宋体"/>
                <w:color w:val="auto"/>
                <w:sz w:val="17"/>
                <w:szCs w:val="17"/>
                <w:highlight w:val="none"/>
              </w:rPr>
            </w:pPr>
            <w:r>
              <w:rPr>
                <w:rFonts w:ascii="宋体" w:hAnsi="宋体" w:eastAsia="宋体" w:cs="宋体"/>
                <w:color w:val="auto"/>
                <w:spacing w:val="7"/>
                <w:sz w:val="17"/>
                <w:szCs w:val="17"/>
                <w:highlight w:val="none"/>
              </w:rPr>
              <w:t>温度℃</w:t>
            </w:r>
          </w:p>
        </w:tc>
        <w:tc>
          <w:tcPr>
            <w:tcW w:w="1993" w:type="dxa"/>
            <w:vAlign w:val="top"/>
          </w:tcPr>
          <w:p>
            <w:pPr>
              <w:spacing w:before="19" w:line="242" w:lineRule="exact"/>
              <w:ind w:left="603"/>
              <w:rPr>
                <w:rFonts w:ascii="Times New Roman" w:hAnsi="Times New Roman" w:eastAsia="Times New Roman" w:cs="Times New Roman"/>
                <w:color w:val="auto"/>
                <w:sz w:val="17"/>
                <w:szCs w:val="17"/>
                <w:highlight w:val="none"/>
              </w:rPr>
            </w:pPr>
            <w:r>
              <w:rPr>
                <w:rFonts w:ascii="宋体" w:hAnsi="宋体" w:eastAsia="宋体" w:cs="宋体"/>
                <w:color w:val="auto"/>
                <w:spacing w:val="-1"/>
                <w:position w:val="1"/>
                <w:sz w:val="17"/>
                <w:szCs w:val="17"/>
                <w:highlight w:val="none"/>
              </w:rPr>
              <w:t xml:space="preserve">湿度 </w:t>
            </w:r>
            <w:r>
              <w:rPr>
                <w:rFonts w:ascii="Times New Roman" w:hAnsi="Times New Roman" w:eastAsia="Times New Roman" w:cs="Times New Roman"/>
                <w:color w:val="auto"/>
                <w:spacing w:val="-1"/>
                <w:position w:val="1"/>
                <w:sz w:val="17"/>
                <w:szCs w:val="17"/>
                <w:highlight w:val="none"/>
              </w:rPr>
              <w:t>R</w:t>
            </w:r>
            <w:r>
              <w:rPr>
                <w:rFonts w:ascii="Times New Roman" w:hAnsi="Times New Roman" w:eastAsia="Times New Roman" w:cs="Times New Roman"/>
                <w:color w:val="auto"/>
                <w:position w:val="1"/>
                <w:sz w:val="17"/>
                <w:szCs w:val="17"/>
                <w:highlight w:val="none"/>
              </w:rPr>
              <w:t>H</w:t>
            </w:r>
            <w:r>
              <w:rPr>
                <w:rFonts w:ascii="Times New Roman" w:hAnsi="Times New Roman" w:eastAsia="Times New Roman" w:cs="Times New Roman"/>
                <w:color w:val="auto"/>
                <w:spacing w:val="-1"/>
                <w:position w:val="1"/>
                <w:sz w:val="17"/>
                <w:szCs w:val="17"/>
                <w:highlight w:val="none"/>
              </w:rPr>
              <w:t>%</w:t>
            </w:r>
          </w:p>
        </w:tc>
        <w:tc>
          <w:tcPr>
            <w:tcW w:w="2066" w:type="dxa"/>
            <w:tcBorders>
              <w:right w:val="single" w:color="000000" w:sz="10" w:space="0"/>
            </w:tcBorders>
            <w:vAlign w:val="top"/>
          </w:tcPr>
          <w:p>
            <w:pPr>
              <w:spacing w:before="19" w:line="242" w:lineRule="exact"/>
              <w:ind w:left="708"/>
              <w:rPr>
                <w:rFonts w:ascii="Times New Roman" w:hAnsi="Times New Roman" w:eastAsia="Times New Roman" w:cs="Times New Roman"/>
                <w:color w:val="auto"/>
                <w:sz w:val="17"/>
                <w:szCs w:val="17"/>
                <w:highlight w:val="none"/>
              </w:rPr>
            </w:pPr>
            <w:r>
              <w:rPr>
                <w:rFonts w:ascii="宋体" w:hAnsi="宋体" w:eastAsia="宋体" w:cs="宋体"/>
                <w:color w:val="auto"/>
                <w:spacing w:val="-4"/>
                <w:position w:val="1"/>
                <w:sz w:val="17"/>
                <w:szCs w:val="17"/>
                <w:highlight w:val="none"/>
              </w:rPr>
              <w:t>风</w:t>
            </w:r>
            <w:r>
              <w:rPr>
                <w:rFonts w:ascii="宋体" w:hAnsi="宋体" w:eastAsia="宋体" w:cs="宋体"/>
                <w:color w:val="auto"/>
                <w:spacing w:val="-2"/>
                <w:position w:val="1"/>
                <w:sz w:val="17"/>
                <w:szCs w:val="17"/>
                <w:highlight w:val="none"/>
              </w:rPr>
              <w:t xml:space="preserve">速 </w:t>
            </w:r>
            <w:r>
              <w:rPr>
                <w:rFonts w:ascii="Times New Roman" w:hAnsi="Times New Roman" w:eastAsia="Times New Roman" w:cs="Times New Roman"/>
                <w:color w:val="auto"/>
                <w:spacing w:val="-2"/>
                <w:position w:val="1"/>
                <w:sz w:val="17"/>
                <w:szCs w:val="17"/>
                <w:highlight w:val="none"/>
              </w:rPr>
              <w:t>m/s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1852" w:type="dxa"/>
            <w:tcBorders>
              <w:left w:val="single" w:color="000000" w:sz="10" w:space="0"/>
            </w:tcBorders>
            <w:vAlign w:val="top"/>
          </w:tcPr>
          <w:p>
            <w:pPr>
              <w:spacing w:before="64" w:line="197" w:lineRule="auto"/>
              <w:ind w:left="49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5"/>
                <w:sz w:val="17"/>
                <w:szCs w:val="17"/>
                <w:highlight w:val="none"/>
              </w:rPr>
              <w:t>0</w:t>
            </w:r>
            <w:r>
              <w:rPr>
                <w:rFonts w:ascii="Times New Roman" w:hAnsi="Times New Roman" w:eastAsia="Times New Roman" w:cs="Times New Roman"/>
                <w:color w:val="auto"/>
                <w:spacing w:val="-3"/>
                <w:sz w:val="17"/>
                <w:szCs w:val="17"/>
                <w:highlight w:val="none"/>
              </w:rPr>
              <w:t>20- 10- 19</w:t>
            </w:r>
          </w:p>
        </w:tc>
        <w:tc>
          <w:tcPr>
            <w:tcW w:w="1263" w:type="dxa"/>
            <w:vAlign w:val="top"/>
          </w:tcPr>
          <w:p>
            <w:pPr>
              <w:spacing w:before="33" w:line="231" w:lineRule="auto"/>
              <w:ind w:left="548"/>
              <w:rPr>
                <w:rFonts w:ascii="宋体" w:hAnsi="宋体" w:eastAsia="宋体" w:cs="宋体"/>
                <w:color w:val="auto"/>
                <w:sz w:val="17"/>
                <w:szCs w:val="17"/>
                <w:highlight w:val="none"/>
              </w:rPr>
            </w:pPr>
            <w:r>
              <w:rPr>
                <w:rFonts w:ascii="宋体" w:hAnsi="宋体" w:eastAsia="宋体" w:cs="宋体"/>
                <w:color w:val="auto"/>
                <w:sz w:val="17"/>
                <w:szCs w:val="17"/>
                <w:highlight w:val="none"/>
              </w:rPr>
              <w:t>晴</w:t>
            </w:r>
          </w:p>
        </w:tc>
        <w:tc>
          <w:tcPr>
            <w:tcW w:w="1950" w:type="dxa"/>
            <w:vAlign w:val="top"/>
          </w:tcPr>
          <w:p>
            <w:pPr>
              <w:spacing w:before="64" w:line="197" w:lineRule="auto"/>
              <w:ind w:left="63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1</w:t>
            </w:r>
            <w:r>
              <w:rPr>
                <w:rFonts w:ascii="Times New Roman" w:hAnsi="Times New Roman" w:eastAsia="Times New Roman" w:cs="Times New Roman"/>
                <w:color w:val="auto"/>
                <w:spacing w:val="3"/>
                <w:sz w:val="17"/>
                <w:szCs w:val="17"/>
                <w:highlight w:val="none"/>
              </w:rPr>
              <w:t>7</w:t>
            </w:r>
            <w:r>
              <w:rPr>
                <w:rFonts w:ascii="Times New Roman" w:hAnsi="Times New Roman" w:eastAsia="Times New Roman" w:cs="Times New Roman"/>
                <w:color w:val="auto"/>
                <w:spacing w:val="2"/>
                <w:sz w:val="17"/>
                <w:szCs w:val="17"/>
                <w:highlight w:val="none"/>
              </w:rPr>
              <w:t>.2~21.0</w:t>
            </w:r>
          </w:p>
        </w:tc>
        <w:tc>
          <w:tcPr>
            <w:tcW w:w="1993" w:type="dxa"/>
            <w:vAlign w:val="top"/>
          </w:tcPr>
          <w:p>
            <w:pPr>
              <w:spacing w:before="54" w:line="195" w:lineRule="auto"/>
              <w:ind w:left="577"/>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45.3~6</w:t>
            </w:r>
            <w:r>
              <w:rPr>
                <w:rFonts w:ascii="Times New Roman" w:hAnsi="Times New Roman" w:eastAsia="Times New Roman" w:cs="Times New Roman"/>
                <w:color w:val="auto"/>
                <w:sz w:val="20"/>
                <w:szCs w:val="20"/>
                <w:highlight w:val="none"/>
              </w:rPr>
              <w:t>0. 1</w:t>
            </w:r>
          </w:p>
        </w:tc>
        <w:tc>
          <w:tcPr>
            <w:tcW w:w="2066" w:type="dxa"/>
            <w:tcBorders>
              <w:right w:val="single" w:color="000000" w:sz="10" w:space="0"/>
            </w:tcBorders>
            <w:vAlign w:val="top"/>
          </w:tcPr>
          <w:p>
            <w:pPr>
              <w:spacing w:before="64" w:line="197" w:lineRule="auto"/>
              <w:ind w:left="76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0.2~0.</w:t>
            </w:r>
            <w:r>
              <w:rPr>
                <w:rFonts w:ascii="Times New Roman" w:hAnsi="Times New Roman" w:eastAsia="Times New Roman" w:cs="Times New Roman"/>
                <w:color w:val="auto"/>
                <w:spacing w:val="3"/>
                <w:sz w:val="17"/>
                <w:szCs w:val="17"/>
                <w:highlight w:val="none"/>
              </w:rPr>
              <w:t>9</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22" w:name="_Toc14106"/>
      <w:r>
        <w:rPr>
          <w:rFonts w:hint="eastAsia" w:ascii="Times New Roman" w:hAnsi="Times New Roman" w:eastAsia="宋体" w:cs="Times New Roman"/>
          <w:snapToGrid/>
          <w:kern w:val="0"/>
          <w:sz w:val="24"/>
          <w:szCs w:val="24"/>
          <w:highlight w:val="none"/>
          <w:lang w:val="en-US" w:eastAsia="zh-CN" w:bidi="ar"/>
        </w:rPr>
        <w:t>(6)类比监测工况</w:t>
      </w:r>
      <w:bookmarkEnd w:id="122"/>
    </w:p>
    <w:p>
      <w:pPr>
        <w:widowControl/>
        <w:kinsoku/>
        <w:autoSpaceDE/>
        <w:autoSpaceDN/>
        <w:adjustRightInd/>
        <w:snapToGrid/>
        <w:spacing w:line="360" w:lineRule="auto"/>
        <w:ind w:firstLine="480" w:firstLineChars="200"/>
        <w:jc w:val="both"/>
        <w:textAlignment w:val="auto"/>
        <w:rPr>
          <w:rFonts w:ascii="宋体" w:hAnsi="宋体" w:eastAsia="宋体" w:cs="宋体"/>
          <w:color w:val="auto"/>
          <w:sz w:val="23"/>
          <w:szCs w:val="23"/>
          <w:highlight w:val="none"/>
        </w:rPr>
      </w:pPr>
      <w:r>
        <w:rPr>
          <w:rFonts w:hint="eastAsia" w:ascii="Times New Roman" w:hAnsi="Times New Roman" w:eastAsia="宋体" w:cs="Times New Roman"/>
          <w:snapToGrid/>
          <w:kern w:val="0"/>
          <w:sz w:val="24"/>
          <w:szCs w:val="24"/>
          <w:highlight w:val="none"/>
          <w:lang w:val="en-US" w:eastAsia="zh-CN" w:bidi="ar"/>
        </w:rPr>
        <w:t>鼎功 500kV 变电站监测期间运行工况见表 6. 1-4。</w:t>
      </w:r>
    </w:p>
    <w:p>
      <w:pPr>
        <w:rPr>
          <w:color w:val="auto"/>
          <w:highlight w:val="none"/>
        </w:rPr>
        <w:sectPr>
          <w:headerReference r:id="rId15" w:type="default"/>
          <w:footerReference r:id="rId16" w:type="default"/>
          <w:pgSz w:w="11906" w:h="16839"/>
          <w:pgMar w:top="1212" w:right="1378" w:bottom="1156" w:left="1377" w:header="970" w:footer="996" w:gutter="0"/>
          <w:pgBorders>
            <w:top w:val="none" w:sz="0" w:space="0"/>
            <w:left w:val="none" w:sz="0" w:space="0"/>
            <w:bottom w:val="none" w:sz="0" w:space="0"/>
            <w:right w:val="none" w:sz="0" w:space="0"/>
          </w:pgBorders>
          <w:pgNumType w:fmt="decimal"/>
          <w:cols w:space="720" w:num="1"/>
        </w:sectPr>
      </w:pPr>
    </w:p>
    <w:p>
      <w:pPr>
        <w:spacing w:before="198" w:line="281" w:lineRule="exact"/>
        <w:ind w:left="2191"/>
        <w:rPr>
          <w:rFonts w:ascii="黑体" w:hAnsi="黑体" w:eastAsia="黑体" w:cs="黑体"/>
          <w:color w:val="auto"/>
          <w:sz w:val="20"/>
          <w:szCs w:val="20"/>
          <w:highlight w:val="none"/>
        </w:rPr>
      </w:pPr>
      <w:r>
        <w:rPr>
          <w:rFonts w:ascii="黑体" w:hAnsi="黑体" w:eastAsia="黑体" w:cs="黑体"/>
          <w:color w:val="auto"/>
          <w:spacing w:val="2"/>
          <w:position w:val="1"/>
          <w:sz w:val="20"/>
          <w:szCs w:val="20"/>
          <w:highlight w:val="none"/>
        </w:rPr>
        <w:t xml:space="preserve">表 </w:t>
      </w:r>
      <w:r>
        <w:rPr>
          <w:rFonts w:ascii="Times New Roman" w:hAnsi="Times New Roman" w:eastAsia="Times New Roman" w:cs="Times New Roman"/>
          <w:color w:val="auto"/>
          <w:spacing w:val="2"/>
          <w:position w:val="1"/>
          <w:sz w:val="20"/>
          <w:szCs w:val="20"/>
          <w:highlight w:val="none"/>
        </w:rPr>
        <w:t xml:space="preserve">6. 1-4    </w:t>
      </w:r>
      <w:r>
        <w:rPr>
          <w:rFonts w:ascii="黑体" w:hAnsi="黑体" w:eastAsia="黑体" w:cs="黑体"/>
          <w:color w:val="auto"/>
          <w:spacing w:val="2"/>
          <w:position w:val="1"/>
          <w:sz w:val="20"/>
          <w:szCs w:val="20"/>
          <w:highlight w:val="none"/>
        </w:rPr>
        <w:t xml:space="preserve">鼎功 </w:t>
      </w:r>
      <w:r>
        <w:rPr>
          <w:rFonts w:ascii="Times New Roman" w:hAnsi="Times New Roman" w:eastAsia="Times New Roman" w:cs="Times New Roman"/>
          <w:color w:val="auto"/>
          <w:spacing w:val="2"/>
          <w:position w:val="1"/>
          <w:sz w:val="20"/>
          <w:szCs w:val="20"/>
          <w:highlight w:val="none"/>
        </w:rPr>
        <w:t>500</w:t>
      </w:r>
      <w:r>
        <w:rPr>
          <w:rFonts w:ascii="Times New Roman" w:hAnsi="Times New Roman" w:eastAsia="Times New Roman" w:cs="Times New Roman"/>
          <w:color w:val="auto"/>
          <w:position w:val="1"/>
          <w:sz w:val="20"/>
          <w:szCs w:val="20"/>
          <w:highlight w:val="none"/>
        </w:rPr>
        <w:t>kV</w:t>
      </w:r>
      <w:r>
        <w:rPr>
          <w:rFonts w:ascii="Times New Roman" w:hAnsi="Times New Roman" w:eastAsia="Times New Roman" w:cs="Times New Roman"/>
          <w:color w:val="auto"/>
          <w:spacing w:val="2"/>
          <w:position w:val="1"/>
          <w:sz w:val="20"/>
          <w:szCs w:val="20"/>
          <w:highlight w:val="none"/>
        </w:rPr>
        <w:t xml:space="preserve"> </w:t>
      </w:r>
      <w:r>
        <w:rPr>
          <w:rFonts w:ascii="黑体" w:hAnsi="黑体" w:eastAsia="黑体" w:cs="黑体"/>
          <w:color w:val="auto"/>
          <w:spacing w:val="2"/>
          <w:position w:val="1"/>
          <w:sz w:val="20"/>
          <w:szCs w:val="20"/>
          <w:highlight w:val="none"/>
        </w:rPr>
        <w:t>变电站监测期间运行工况情</w:t>
      </w:r>
      <w:r>
        <w:rPr>
          <w:rFonts w:ascii="黑体" w:hAnsi="黑体" w:eastAsia="黑体" w:cs="黑体"/>
          <w:color w:val="auto"/>
          <w:position w:val="1"/>
          <w:sz w:val="20"/>
          <w:szCs w:val="20"/>
          <w:highlight w:val="none"/>
        </w:rPr>
        <w:t>况</w:t>
      </w:r>
    </w:p>
    <w:p>
      <w:pPr>
        <w:spacing w:line="134" w:lineRule="exact"/>
        <w:rPr>
          <w:color w:val="auto"/>
          <w:highlight w:val="none"/>
        </w:rPr>
      </w:pPr>
    </w:p>
    <w:tbl>
      <w:tblPr>
        <w:tblStyle w:val="20"/>
        <w:tblW w:w="92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0"/>
        <w:gridCol w:w="1736"/>
        <w:gridCol w:w="1843"/>
        <w:gridCol w:w="2190"/>
        <w:gridCol w:w="17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3486" w:type="dxa"/>
            <w:gridSpan w:val="2"/>
            <w:tcBorders>
              <w:left w:val="single" w:color="000000" w:sz="10" w:space="0"/>
            </w:tcBorders>
            <w:vAlign w:val="top"/>
          </w:tcPr>
          <w:p>
            <w:pPr>
              <w:spacing w:before="52" w:line="228" w:lineRule="auto"/>
              <w:ind w:left="1556"/>
              <w:rPr>
                <w:rFonts w:ascii="宋体" w:hAnsi="宋体" w:eastAsia="宋体" w:cs="宋体"/>
                <w:color w:val="auto"/>
                <w:sz w:val="17"/>
                <w:szCs w:val="17"/>
                <w:highlight w:val="none"/>
              </w:rPr>
            </w:pPr>
            <w:r>
              <w:rPr>
                <w:rFonts w:ascii="宋体" w:hAnsi="宋体" w:eastAsia="宋体" w:cs="宋体"/>
                <w:color w:val="auto"/>
                <w:spacing w:val="6"/>
                <w:sz w:val="17"/>
                <w:szCs w:val="17"/>
                <w:highlight w:val="none"/>
              </w:rPr>
              <w:t>类别</w:t>
            </w:r>
          </w:p>
        </w:tc>
        <w:tc>
          <w:tcPr>
            <w:tcW w:w="1843" w:type="dxa"/>
            <w:vAlign w:val="top"/>
          </w:tcPr>
          <w:p>
            <w:pPr>
              <w:spacing w:before="17" w:line="242" w:lineRule="exact"/>
              <w:ind w:left="26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position w:val="2"/>
                <w:sz w:val="17"/>
                <w:szCs w:val="17"/>
                <w:highlight w:val="none"/>
              </w:rPr>
              <w:t>P</w:t>
            </w:r>
            <w:r>
              <w:rPr>
                <w:rFonts w:ascii="Times New Roman" w:hAnsi="Times New Roman" w:eastAsia="Times New Roman" w:cs="Times New Roman"/>
                <w:color w:val="auto"/>
                <w:spacing w:val="10"/>
                <w:position w:val="2"/>
                <w:sz w:val="17"/>
                <w:szCs w:val="17"/>
                <w:highlight w:val="none"/>
              </w:rPr>
              <w:t xml:space="preserve"> </w:t>
            </w:r>
            <w:r>
              <w:rPr>
                <w:rFonts w:ascii="宋体" w:hAnsi="宋体" w:eastAsia="宋体" w:cs="宋体"/>
                <w:color w:val="auto"/>
                <w:spacing w:val="10"/>
                <w:position w:val="2"/>
                <w:sz w:val="17"/>
                <w:szCs w:val="17"/>
                <w:highlight w:val="none"/>
              </w:rPr>
              <w:t>有功功率</w:t>
            </w:r>
            <w:r>
              <w:rPr>
                <w:rFonts w:ascii="Times New Roman" w:hAnsi="Times New Roman" w:eastAsia="Times New Roman" w:cs="Times New Roman"/>
                <w:color w:val="auto"/>
                <w:spacing w:val="10"/>
                <w:position w:val="2"/>
                <w:sz w:val="17"/>
                <w:szCs w:val="17"/>
                <w:highlight w:val="none"/>
              </w:rPr>
              <w:t>(</w:t>
            </w:r>
            <w:r>
              <w:rPr>
                <w:rFonts w:ascii="Times New Roman" w:hAnsi="Times New Roman" w:eastAsia="Times New Roman" w:cs="Times New Roman"/>
                <w:color w:val="auto"/>
                <w:position w:val="2"/>
                <w:sz w:val="17"/>
                <w:szCs w:val="17"/>
                <w:highlight w:val="none"/>
              </w:rPr>
              <w:t>MW</w:t>
            </w:r>
            <w:r>
              <w:rPr>
                <w:rFonts w:ascii="Times New Roman" w:hAnsi="Times New Roman" w:eastAsia="Times New Roman" w:cs="Times New Roman"/>
                <w:color w:val="auto"/>
                <w:spacing w:val="10"/>
                <w:position w:val="2"/>
                <w:sz w:val="17"/>
                <w:szCs w:val="17"/>
                <w:highlight w:val="none"/>
              </w:rPr>
              <w:t>)</w:t>
            </w:r>
          </w:p>
        </w:tc>
        <w:tc>
          <w:tcPr>
            <w:tcW w:w="2190" w:type="dxa"/>
            <w:vAlign w:val="top"/>
          </w:tcPr>
          <w:p>
            <w:pPr>
              <w:spacing w:before="17" w:line="242" w:lineRule="exact"/>
              <w:ind w:left="39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position w:val="2"/>
                <w:sz w:val="17"/>
                <w:szCs w:val="17"/>
                <w:highlight w:val="none"/>
              </w:rPr>
              <w:t>Q</w:t>
            </w:r>
            <w:r>
              <w:rPr>
                <w:rFonts w:ascii="Times New Roman" w:hAnsi="Times New Roman" w:eastAsia="Times New Roman" w:cs="Times New Roman"/>
                <w:color w:val="auto"/>
                <w:spacing w:val="10"/>
                <w:position w:val="2"/>
                <w:sz w:val="17"/>
                <w:szCs w:val="17"/>
                <w:highlight w:val="none"/>
              </w:rPr>
              <w:t xml:space="preserve"> </w:t>
            </w:r>
            <w:r>
              <w:rPr>
                <w:rFonts w:ascii="宋体" w:hAnsi="宋体" w:eastAsia="宋体" w:cs="宋体"/>
                <w:color w:val="auto"/>
                <w:spacing w:val="7"/>
                <w:position w:val="2"/>
                <w:sz w:val="17"/>
                <w:szCs w:val="17"/>
                <w:highlight w:val="none"/>
              </w:rPr>
              <w:t>无功功率</w:t>
            </w:r>
            <w:r>
              <w:rPr>
                <w:rFonts w:ascii="Times New Roman" w:hAnsi="Times New Roman" w:eastAsia="Times New Roman" w:cs="Times New Roman"/>
                <w:color w:val="auto"/>
                <w:spacing w:val="7"/>
                <w:position w:val="2"/>
                <w:sz w:val="17"/>
                <w:szCs w:val="17"/>
                <w:highlight w:val="none"/>
              </w:rPr>
              <w:t>(</w:t>
            </w:r>
            <w:r>
              <w:rPr>
                <w:rFonts w:ascii="Times New Roman" w:hAnsi="Times New Roman" w:eastAsia="Times New Roman" w:cs="Times New Roman"/>
                <w:color w:val="auto"/>
                <w:position w:val="2"/>
                <w:sz w:val="17"/>
                <w:szCs w:val="17"/>
                <w:highlight w:val="none"/>
              </w:rPr>
              <w:t>MVar</w:t>
            </w:r>
            <w:r>
              <w:rPr>
                <w:rFonts w:ascii="Times New Roman" w:hAnsi="Times New Roman" w:eastAsia="Times New Roman" w:cs="Times New Roman"/>
                <w:color w:val="auto"/>
                <w:spacing w:val="7"/>
                <w:position w:val="2"/>
                <w:sz w:val="17"/>
                <w:szCs w:val="17"/>
                <w:highlight w:val="none"/>
              </w:rPr>
              <w:t>)</w:t>
            </w:r>
          </w:p>
        </w:tc>
        <w:tc>
          <w:tcPr>
            <w:tcW w:w="1703" w:type="dxa"/>
            <w:tcBorders>
              <w:right w:val="single" w:color="000000" w:sz="10" w:space="0"/>
            </w:tcBorders>
            <w:vAlign w:val="top"/>
          </w:tcPr>
          <w:p>
            <w:pPr>
              <w:spacing w:before="17" w:line="242" w:lineRule="exact"/>
              <w:ind w:left="49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position w:val="2"/>
                <w:sz w:val="17"/>
                <w:szCs w:val="17"/>
                <w:highlight w:val="none"/>
              </w:rPr>
              <w:t>I</w:t>
            </w:r>
            <w:r>
              <w:rPr>
                <w:rFonts w:ascii="Times New Roman" w:hAnsi="Times New Roman" w:eastAsia="Times New Roman" w:cs="Times New Roman"/>
                <w:color w:val="auto"/>
                <w:spacing w:val="7"/>
                <w:position w:val="2"/>
                <w:sz w:val="17"/>
                <w:szCs w:val="17"/>
                <w:highlight w:val="none"/>
              </w:rPr>
              <w:t xml:space="preserve"> </w:t>
            </w:r>
            <w:r>
              <w:rPr>
                <w:rFonts w:ascii="宋体" w:hAnsi="宋体" w:eastAsia="宋体" w:cs="宋体"/>
                <w:color w:val="auto"/>
                <w:spacing w:val="7"/>
                <w:position w:val="2"/>
                <w:sz w:val="17"/>
                <w:szCs w:val="17"/>
                <w:highlight w:val="none"/>
              </w:rPr>
              <w:t>电流</w:t>
            </w:r>
            <w:r>
              <w:rPr>
                <w:rFonts w:ascii="Times New Roman" w:hAnsi="Times New Roman" w:eastAsia="Times New Roman" w:cs="Times New Roman"/>
                <w:color w:val="auto"/>
                <w:spacing w:val="7"/>
                <w:position w:val="2"/>
                <w:sz w:val="17"/>
                <w:szCs w:val="17"/>
                <w:highlight w:val="none"/>
              </w:rPr>
              <w:t>(</w:t>
            </w:r>
            <w:r>
              <w:rPr>
                <w:rFonts w:ascii="Times New Roman" w:hAnsi="Times New Roman" w:eastAsia="Times New Roman" w:cs="Times New Roman"/>
                <w:color w:val="auto"/>
                <w:position w:val="2"/>
                <w:sz w:val="17"/>
                <w:szCs w:val="17"/>
                <w:highlight w:val="none"/>
              </w:rPr>
              <w:t>A</w:t>
            </w:r>
            <w:r>
              <w:rPr>
                <w:rFonts w:ascii="Times New Roman" w:hAnsi="Times New Roman" w:eastAsia="Times New Roman" w:cs="Times New Roman"/>
                <w:color w:val="auto"/>
                <w:spacing w:val="7"/>
                <w:position w:val="2"/>
                <w:sz w:val="17"/>
                <w:szCs w:val="17"/>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750" w:type="dxa"/>
            <w:vMerge w:val="restart"/>
            <w:tcBorders>
              <w:left w:val="single" w:color="000000" w:sz="10" w:space="0"/>
              <w:bottom w:val="nil"/>
            </w:tcBorders>
            <w:vAlign w:val="top"/>
          </w:tcPr>
          <w:p>
            <w:pPr>
              <w:spacing w:before="237" w:line="242" w:lineRule="exact"/>
              <w:ind w:left="127"/>
              <w:rPr>
                <w:rFonts w:ascii="宋体" w:hAnsi="宋体" w:eastAsia="宋体" w:cs="宋体"/>
                <w:color w:val="auto"/>
                <w:sz w:val="17"/>
                <w:szCs w:val="17"/>
                <w:highlight w:val="none"/>
              </w:rPr>
            </w:pPr>
            <w:r>
              <w:rPr>
                <w:rFonts w:ascii="宋体" w:hAnsi="宋体" w:eastAsia="宋体" w:cs="宋体"/>
                <w:color w:val="auto"/>
                <w:spacing w:val="3"/>
                <w:position w:val="1"/>
                <w:sz w:val="17"/>
                <w:szCs w:val="17"/>
                <w:highlight w:val="none"/>
              </w:rPr>
              <w:t xml:space="preserve">鼎功 </w:t>
            </w:r>
            <w:r>
              <w:rPr>
                <w:rFonts w:ascii="Times New Roman" w:hAnsi="Times New Roman" w:eastAsia="Times New Roman" w:cs="Times New Roman"/>
                <w:color w:val="auto"/>
                <w:spacing w:val="3"/>
                <w:position w:val="1"/>
                <w:sz w:val="17"/>
                <w:szCs w:val="17"/>
                <w:highlight w:val="none"/>
              </w:rPr>
              <w:t>500</w:t>
            </w:r>
            <w:r>
              <w:rPr>
                <w:rFonts w:ascii="Times New Roman" w:hAnsi="Times New Roman" w:eastAsia="Times New Roman" w:cs="Times New Roman"/>
                <w:color w:val="auto"/>
                <w:position w:val="1"/>
                <w:sz w:val="17"/>
                <w:szCs w:val="17"/>
                <w:highlight w:val="none"/>
              </w:rPr>
              <w:t>kV</w:t>
            </w:r>
            <w:r>
              <w:rPr>
                <w:rFonts w:ascii="Times New Roman" w:hAnsi="Times New Roman" w:eastAsia="Times New Roman" w:cs="Times New Roman"/>
                <w:color w:val="auto"/>
                <w:spacing w:val="3"/>
                <w:position w:val="1"/>
                <w:sz w:val="17"/>
                <w:szCs w:val="17"/>
                <w:highlight w:val="none"/>
              </w:rPr>
              <w:t xml:space="preserve"> </w:t>
            </w:r>
            <w:r>
              <w:rPr>
                <w:rFonts w:ascii="宋体" w:hAnsi="宋体" w:eastAsia="宋体" w:cs="宋体"/>
                <w:color w:val="auto"/>
                <w:spacing w:val="3"/>
                <w:position w:val="1"/>
                <w:sz w:val="17"/>
                <w:szCs w:val="17"/>
                <w:highlight w:val="none"/>
              </w:rPr>
              <w:t>变电</w:t>
            </w:r>
            <w:r>
              <w:rPr>
                <w:rFonts w:ascii="宋体" w:hAnsi="宋体" w:eastAsia="宋体" w:cs="宋体"/>
                <w:color w:val="auto"/>
                <w:spacing w:val="2"/>
                <w:position w:val="1"/>
                <w:sz w:val="17"/>
                <w:szCs w:val="17"/>
                <w:highlight w:val="none"/>
              </w:rPr>
              <w:t>站</w:t>
            </w:r>
          </w:p>
        </w:tc>
        <w:tc>
          <w:tcPr>
            <w:tcW w:w="1736" w:type="dxa"/>
            <w:vAlign w:val="top"/>
          </w:tcPr>
          <w:p>
            <w:pPr>
              <w:spacing w:line="237" w:lineRule="exact"/>
              <w:ind w:left="610"/>
              <w:rPr>
                <w:rFonts w:ascii="宋体" w:hAnsi="宋体" w:eastAsia="宋体" w:cs="宋体"/>
                <w:color w:val="auto"/>
                <w:sz w:val="17"/>
                <w:szCs w:val="17"/>
                <w:highlight w:val="none"/>
              </w:rPr>
            </w:pPr>
            <w:r>
              <w:rPr>
                <w:rFonts w:ascii="Times New Roman" w:hAnsi="Times New Roman" w:eastAsia="Times New Roman" w:cs="Times New Roman"/>
                <w:color w:val="auto"/>
                <w:spacing w:val="2"/>
                <w:position w:val="1"/>
                <w:sz w:val="17"/>
                <w:szCs w:val="17"/>
                <w:highlight w:val="none"/>
              </w:rPr>
              <w:t>1#</w:t>
            </w:r>
            <w:r>
              <w:rPr>
                <w:rFonts w:ascii="宋体" w:hAnsi="宋体" w:eastAsia="宋体" w:cs="宋体"/>
                <w:color w:val="auto"/>
                <w:spacing w:val="2"/>
                <w:position w:val="1"/>
                <w:sz w:val="17"/>
                <w:szCs w:val="17"/>
                <w:highlight w:val="none"/>
              </w:rPr>
              <w:t>主变</w:t>
            </w:r>
          </w:p>
        </w:tc>
        <w:tc>
          <w:tcPr>
            <w:tcW w:w="1843" w:type="dxa"/>
            <w:vAlign w:val="top"/>
          </w:tcPr>
          <w:p>
            <w:pPr>
              <w:spacing w:before="58" w:line="197" w:lineRule="auto"/>
              <w:ind w:left="67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250.84</w:t>
            </w:r>
          </w:p>
        </w:tc>
        <w:tc>
          <w:tcPr>
            <w:tcW w:w="2190" w:type="dxa"/>
            <w:vAlign w:val="top"/>
          </w:tcPr>
          <w:p>
            <w:pPr>
              <w:spacing w:before="58" w:line="197" w:lineRule="auto"/>
              <w:ind w:left="90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9</w:t>
            </w:r>
            <w:r>
              <w:rPr>
                <w:rFonts w:ascii="Times New Roman" w:hAnsi="Times New Roman" w:eastAsia="Times New Roman" w:cs="Times New Roman"/>
                <w:color w:val="auto"/>
                <w:spacing w:val="2"/>
                <w:sz w:val="17"/>
                <w:szCs w:val="17"/>
                <w:highlight w:val="none"/>
              </w:rPr>
              <w:t>.99</w:t>
            </w:r>
          </w:p>
        </w:tc>
        <w:tc>
          <w:tcPr>
            <w:tcW w:w="1703" w:type="dxa"/>
            <w:tcBorders>
              <w:right w:val="single" w:color="000000" w:sz="10" w:space="0"/>
            </w:tcBorders>
            <w:vAlign w:val="top"/>
          </w:tcPr>
          <w:p>
            <w:pPr>
              <w:spacing w:before="58" w:line="197" w:lineRule="auto"/>
              <w:ind w:left="60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278.73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750" w:type="dxa"/>
            <w:vMerge w:val="continue"/>
            <w:tcBorders>
              <w:top w:val="nil"/>
              <w:left w:val="single" w:color="000000" w:sz="10" w:space="0"/>
              <w:bottom w:val="nil"/>
            </w:tcBorders>
            <w:vAlign w:val="top"/>
          </w:tcPr>
          <w:p>
            <w:pPr>
              <w:rPr>
                <w:rFonts w:ascii="Arial"/>
                <w:color w:val="auto"/>
                <w:sz w:val="21"/>
                <w:highlight w:val="none"/>
              </w:rPr>
            </w:pPr>
          </w:p>
        </w:tc>
        <w:tc>
          <w:tcPr>
            <w:tcW w:w="1736" w:type="dxa"/>
            <w:vAlign w:val="top"/>
          </w:tcPr>
          <w:p>
            <w:pPr>
              <w:spacing w:line="236" w:lineRule="exact"/>
              <w:ind w:left="597"/>
              <w:rPr>
                <w:rFonts w:ascii="宋体" w:hAnsi="宋体" w:eastAsia="宋体" w:cs="宋体"/>
                <w:color w:val="auto"/>
                <w:sz w:val="17"/>
                <w:szCs w:val="17"/>
                <w:highlight w:val="none"/>
              </w:rPr>
            </w:pPr>
            <w:r>
              <w:rPr>
                <w:rFonts w:ascii="Times New Roman" w:hAnsi="Times New Roman" w:eastAsia="Times New Roman" w:cs="Times New Roman"/>
                <w:color w:val="auto"/>
                <w:spacing w:val="7"/>
                <w:position w:val="1"/>
                <w:sz w:val="17"/>
                <w:szCs w:val="17"/>
                <w:highlight w:val="none"/>
              </w:rPr>
              <w:t>3</w:t>
            </w:r>
            <w:r>
              <w:rPr>
                <w:rFonts w:ascii="Times New Roman" w:hAnsi="Times New Roman" w:eastAsia="Times New Roman" w:cs="Times New Roman"/>
                <w:color w:val="auto"/>
                <w:spacing w:val="5"/>
                <w:position w:val="1"/>
                <w:sz w:val="17"/>
                <w:szCs w:val="17"/>
                <w:highlight w:val="none"/>
              </w:rPr>
              <w:t>#</w:t>
            </w:r>
            <w:r>
              <w:rPr>
                <w:rFonts w:ascii="宋体" w:hAnsi="宋体" w:eastAsia="宋体" w:cs="宋体"/>
                <w:color w:val="auto"/>
                <w:spacing w:val="5"/>
                <w:position w:val="1"/>
                <w:sz w:val="17"/>
                <w:szCs w:val="17"/>
                <w:highlight w:val="none"/>
              </w:rPr>
              <w:t>主变</w:t>
            </w:r>
          </w:p>
        </w:tc>
        <w:tc>
          <w:tcPr>
            <w:tcW w:w="1843" w:type="dxa"/>
            <w:vAlign w:val="top"/>
          </w:tcPr>
          <w:p>
            <w:pPr>
              <w:spacing w:before="58" w:line="197" w:lineRule="auto"/>
              <w:ind w:left="67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234.52</w:t>
            </w:r>
          </w:p>
        </w:tc>
        <w:tc>
          <w:tcPr>
            <w:tcW w:w="2190" w:type="dxa"/>
            <w:vAlign w:val="top"/>
          </w:tcPr>
          <w:p>
            <w:pPr>
              <w:spacing w:before="58" w:line="197" w:lineRule="auto"/>
              <w:ind w:left="90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64.0</w:t>
            </w:r>
            <w:r>
              <w:rPr>
                <w:rFonts w:ascii="Times New Roman" w:hAnsi="Times New Roman" w:eastAsia="Times New Roman" w:cs="Times New Roman"/>
                <w:color w:val="auto"/>
                <w:spacing w:val="2"/>
                <w:sz w:val="17"/>
                <w:szCs w:val="17"/>
                <w:highlight w:val="none"/>
              </w:rPr>
              <w:t>8</w:t>
            </w:r>
          </w:p>
        </w:tc>
        <w:tc>
          <w:tcPr>
            <w:tcW w:w="1703" w:type="dxa"/>
            <w:tcBorders>
              <w:right w:val="single" w:color="000000" w:sz="10" w:space="0"/>
            </w:tcBorders>
            <w:vAlign w:val="top"/>
          </w:tcPr>
          <w:p>
            <w:pPr>
              <w:spacing w:before="58" w:line="197" w:lineRule="auto"/>
              <w:ind w:left="60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260.21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750" w:type="dxa"/>
            <w:vMerge w:val="continue"/>
            <w:tcBorders>
              <w:top w:val="nil"/>
              <w:left w:val="single" w:color="000000" w:sz="10" w:space="0"/>
            </w:tcBorders>
            <w:vAlign w:val="top"/>
          </w:tcPr>
          <w:p>
            <w:pPr>
              <w:rPr>
                <w:rFonts w:ascii="Arial"/>
                <w:color w:val="auto"/>
                <w:sz w:val="21"/>
                <w:highlight w:val="none"/>
              </w:rPr>
            </w:pPr>
          </w:p>
        </w:tc>
        <w:tc>
          <w:tcPr>
            <w:tcW w:w="1736" w:type="dxa"/>
            <w:vAlign w:val="top"/>
          </w:tcPr>
          <w:p>
            <w:pPr>
              <w:spacing w:line="235" w:lineRule="exact"/>
              <w:ind w:left="592"/>
              <w:rPr>
                <w:rFonts w:ascii="宋体" w:hAnsi="宋体" w:eastAsia="宋体" w:cs="宋体"/>
                <w:color w:val="auto"/>
                <w:sz w:val="17"/>
                <w:szCs w:val="17"/>
                <w:highlight w:val="none"/>
              </w:rPr>
            </w:pPr>
            <w:r>
              <w:rPr>
                <w:rFonts w:ascii="Times New Roman" w:hAnsi="Times New Roman" w:eastAsia="Times New Roman" w:cs="Times New Roman"/>
                <w:color w:val="auto"/>
                <w:spacing w:val="9"/>
                <w:position w:val="1"/>
                <w:sz w:val="17"/>
                <w:szCs w:val="17"/>
                <w:highlight w:val="none"/>
              </w:rPr>
              <w:t>4</w:t>
            </w:r>
            <w:r>
              <w:rPr>
                <w:rFonts w:ascii="Times New Roman" w:hAnsi="Times New Roman" w:eastAsia="Times New Roman" w:cs="Times New Roman"/>
                <w:color w:val="auto"/>
                <w:spacing w:val="6"/>
                <w:position w:val="1"/>
                <w:sz w:val="17"/>
                <w:szCs w:val="17"/>
                <w:highlight w:val="none"/>
              </w:rPr>
              <w:t>#</w:t>
            </w:r>
            <w:r>
              <w:rPr>
                <w:rFonts w:ascii="宋体" w:hAnsi="宋体" w:eastAsia="宋体" w:cs="宋体"/>
                <w:color w:val="auto"/>
                <w:spacing w:val="6"/>
                <w:position w:val="1"/>
                <w:sz w:val="17"/>
                <w:szCs w:val="17"/>
                <w:highlight w:val="none"/>
              </w:rPr>
              <w:t>主变</w:t>
            </w:r>
          </w:p>
        </w:tc>
        <w:tc>
          <w:tcPr>
            <w:tcW w:w="1843" w:type="dxa"/>
            <w:vAlign w:val="top"/>
          </w:tcPr>
          <w:p>
            <w:pPr>
              <w:spacing w:before="57" w:line="200" w:lineRule="auto"/>
              <w:ind w:left="67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244.30</w:t>
            </w:r>
          </w:p>
        </w:tc>
        <w:tc>
          <w:tcPr>
            <w:tcW w:w="2190" w:type="dxa"/>
            <w:vAlign w:val="top"/>
          </w:tcPr>
          <w:p>
            <w:pPr>
              <w:spacing w:before="57" w:line="197" w:lineRule="auto"/>
              <w:ind w:left="90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62.8</w:t>
            </w:r>
            <w:r>
              <w:rPr>
                <w:rFonts w:ascii="Times New Roman" w:hAnsi="Times New Roman" w:eastAsia="Times New Roman" w:cs="Times New Roman"/>
                <w:color w:val="auto"/>
                <w:spacing w:val="2"/>
                <w:sz w:val="17"/>
                <w:szCs w:val="17"/>
                <w:highlight w:val="none"/>
              </w:rPr>
              <w:t>1</w:t>
            </w:r>
          </w:p>
        </w:tc>
        <w:tc>
          <w:tcPr>
            <w:tcW w:w="1703" w:type="dxa"/>
            <w:tcBorders>
              <w:right w:val="single" w:color="000000" w:sz="10" w:space="0"/>
            </w:tcBorders>
            <w:vAlign w:val="top"/>
          </w:tcPr>
          <w:p>
            <w:pPr>
              <w:spacing w:before="57" w:line="197" w:lineRule="auto"/>
              <w:ind w:left="60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261.65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3486" w:type="dxa"/>
            <w:gridSpan w:val="2"/>
            <w:tcBorders>
              <w:left w:val="single" w:color="000000" w:sz="10" w:space="0"/>
            </w:tcBorders>
            <w:vAlign w:val="top"/>
          </w:tcPr>
          <w:p>
            <w:pPr>
              <w:spacing w:line="237" w:lineRule="exact"/>
              <w:ind w:left="1090"/>
              <w:rPr>
                <w:rFonts w:ascii="宋体" w:hAnsi="宋体" w:eastAsia="宋体" w:cs="宋体"/>
                <w:color w:val="auto"/>
                <w:sz w:val="17"/>
                <w:szCs w:val="17"/>
                <w:highlight w:val="none"/>
              </w:rPr>
            </w:pPr>
            <w:r>
              <w:rPr>
                <w:rFonts w:ascii="Times New Roman" w:hAnsi="Times New Roman" w:eastAsia="Times New Roman" w:cs="Times New Roman"/>
                <w:color w:val="auto"/>
                <w:spacing w:val="11"/>
                <w:position w:val="1"/>
                <w:sz w:val="17"/>
                <w:szCs w:val="17"/>
                <w:highlight w:val="none"/>
              </w:rPr>
              <w:t>5</w:t>
            </w:r>
            <w:r>
              <w:rPr>
                <w:rFonts w:ascii="Times New Roman" w:hAnsi="Times New Roman" w:eastAsia="Times New Roman" w:cs="Times New Roman"/>
                <w:color w:val="auto"/>
                <w:spacing w:val="6"/>
                <w:position w:val="1"/>
                <w:sz w:val="17"/>
                <w:szCs w:val="17"/>
                <w:highlight w:val="none"/>
              </w:rPr>
              <w:t>00</w:t>
            </w:r>
            <w:r>
              <w:rPr>
                <w:rFonts w:ascii="Times New Roman" w:hAnsi="Times New Roman" w:eastAsia="Times New Roman" w:cs="Times New Roman"/>
                <w:color w:val="auto"/>
                <w:position w:val="1"/>
                <w:sz w:val="17"/>
                <w:szCs w:val="17"/>
                <w:highlight w:val="none"/>
              </w:rPr>
              <w:t>kV</w:t>
            </w:r>
            <w:r>
              <w:rPr>
                <w:rFonts w:ascii="Times New Roman" w:hAnsi="Times New Roman" w:eastAsia="Times New Roman" w:cs="Times New Roman"/>
                <w:color w:val="auto"/>
                <w:spacing w:val="6"/>
                <w:position w:val="1"/>
                <w:sz w:val="17"/>
                <w:szCs w:val="17"/>
                <w:highlight w:val="none"/>
              </w:rPr>
              <w:t xml:space="preserve">  </w:t>
            </w:r>
            <w:r>
              <w:rPr>
                <w:rFonts w:ascii="宋体" w:hAnsi="宋体" w:eastAsia="宋体" w:cs="宋体"/>
                <w:color w:val="auto"/>
                <w:spacing w:val="6"/>
                <w:position w:val="1"/>
                <w:sz w:val="17"/>
                <w:szCs w:val="17"/>
                <w:highlight w:val="none"/>
              </w:rPr>
              <w:t>鼎星Ⅱ线</w:t>
            </w:r>
          </w:p>
        </w:tc>
        <w:tc>
          <w:tcPr>
            <w:tcW w:w="1843" w:type="dxa"/>
            <w:vAlign w:val="top"/>
          </w:tcPr>
          <w:p>
            <w:pPr>
              <w:spacing w:before="59" w:line="197" w:lineRule="auto"/>
              <w:ind w:left="60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- 18</w:t>
            </w:r>
            <w:r>
              <w:rPr>
                <w:rFonts w:ascii="Times New Roman" w:hAnsi="Times New Roman" w:eastAsia="Times New Roman" w:cs="Times New Roman"/>
                <w:color w:val="auto"/>
                <w:spacing w:val="-1"/>
                <w:sz w:val="17"/>
                <w:szCs w:val="17"/>
                <w:highlight w:val="none"/>
              </w:rPr>
              <w:t>8.938</w:t>
            </w:r>
          </w:p>
        </w:tc>
        <w:tc>
          <w:tcPr>
            <w:tcW w:w="2190" w:type="dxa"/>
            <w:vAlign w:val="top"/>
          </w:tcPr>
          <w:p>
            <w:pPr>
              <w:spacing w:before="59" w:line="197" w:lineRule="auto"/>
              <w:ind w:left="78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0"/>
                <w:sz w:val="17"/>
                <w:szCs w:val="17"/>
                <w:highlight w:val="none"/>
              </w:rPr>
              <w:t>-</w:t>
            </w:r>
            <w:r>
              <w:rPr>
                <w:rFonts w:ascii="Times New Roman" w:hAnsi="Times New Roman" w:eastAsia="Times New Roman" w:cs="Times New Roman"/>
                <w:color w:val="auto"/>
                <w:spacing w:val="-8"/>
                <w:sz w:val="17"/>
                <w:szCs w:val="17"/>
                <w:highlight w:val="none"/>
              </w:rPr>
              <w:t xml:space="preserve"> </w:t>
            </w:r>
            <w:r>
              <w:rPr>
                <w:rFonts w:ascii="Times New Roman" w:hAnsi="Times New Roman" w:eastAsia="Times New Roman" w:cs="Times New Roman"/>
                <w:color w:val="auto"/>
                <w:spacing w:val="-5"/>
                <w:sz w:val="17"/>
                <w:szCs w:val="17"/>
                <w:highlight w:val="none"/>
              </w:rPr>
              <w:t>143. 125</w:t>
            </w:r>
          </w:p>
        </w:tc>
        <w:tc>
          <w:tcPr>
            <w:tcW w:w="1703" w:type="dxa"/>
            <w:tcBorders>
              <w:right w:val="single" w:color="000000" w:sz="10" w:space="0"/>
            </w:tcBorders>
            <w:vAlign w:val="top"/>
          </w:tcPr>
          <w:p>
            <w:pPr>
              <w:spacing w:before="58" w:line="197" w:lineRule="auto"/>
              <w:ind w:left="56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57.508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3486" w:type="dxa"/>
            <w:gridSpan w:val="2"/>
            <w:tcBorders>
              <w:left w:val="single" w:color="000000" w:sz="10" w:space="0"/>
            </w:tcBorders>
            <w:vAlign w:val="top"/>
          </w:tcPr>
          <w:p>
            <w:pPr>
              <w:spacing w:line="236" w:lineRule="exact"/>
              <w:ind w:left="1179"/>
              <w:rPr>
                <w:rFonts w:ascii="宋体" w:hAnsi="宋体" w:eastAsia="宋体" w:cs="宋体"/>
                <w:color w:val="auto"/>
                <w:sz w:val="17"/>
                <w:szCs w:val="17"/>
                <w:highlight w:val="none"/>
              </w:rPr>
            </w:pPr>
            <w:r>
              <w:rPr>
                <w:rFonts w:ascii="Times New Roman" w:hAnsi="Times New Roman" w:eastAsia="Times New Roman" w:cs="Times New Roman"/>
                <w:color w:val="auto"/>
                <w:spacing w:val="7"/>
                <w:position w:val="1"/>
                <w:sz w:val="17"/>
                <w:szCs w:val="17"/>
                <w:highlight w:val="none"/>
              </w:rPr>
              <w:t>5</w:t>
            </w:r>
            <w:r>
              <w:rPr>
                <w:rFonts w:ascii="Times New Roman" w:hAnsi="Times New Roman" w:eastAsia="Times New Roman" w:cs="Times New Roman"/>
                <w:color w:val="auto"/>
                <w:spacing w:val="6"/>
                <w:position w:val="1"/>
                <w:sz w:val="17"/>
                <w:szCs w:val="17"/>
                <w:highlight w:val="none"/>
              </w:rPr>
              <w:t>00</w:t>
            </w:r>
            <w:r>
              <w:rPr>
                <w:rFonts w:ascii="Times New Roman" w:hAnsi="Times New Roman" w:eastAsia="Times New Roman" w:cs="Times New Roman"/>
                <w:color w:val="auto"/>
                <w:position w:val="1"/>
                <w:sz w:val="17"/>
                <w:szCs w:val="17"/>
                <w:highlight w:val="none"/>
              </w:rPr>
              <w:t>kV</w:t>
            </w:r>
            <w:r>
              <w:rPr>
                <w:rFonts w:ascii="Times New Roman" w:hAnsi="Times New Roman" w:eastAsia="Times New Roman" w:cs="Times New Roman"/>
                <w:color w:val="auto"/>
                <w:spacing w:val="6"/>
                <w:position w:val="1"/>
                <w:sz w:val="17"/>
                <w:szCs w:val="17"/>
                <w:highlight w:val="none"/>
              </w:rPr>
              <w:t xml:space="preserve">  </w:t>
            </w:r>
            <w:r>
              <w:rPr>
                <w:rFonts w:ascii="宋体" w:hAnsi="宋体" w:eastAsia="宋体" w:cs="宋体"/>
                <w:color w:val="auto"/>
                <w:spacing w:val="6"/>
                <w:position w:val="1"/>
                <w:sz w:val="17"/>
                <w:szCs w:val="17"/>
                <w:highlight w:val="none"/>
              </w:rPr>
              <w:t>罗鼎线</w:t>
            </w:r>
          </w:p>
        </w:tc>
        <w:tc>
          <w:tcPr>
            <w:tcW w:w="1843" w:type="dxa"/>
            <w:vAlign w:val="top"/>
          </w:tcPr>
          <w:p>
            <w:pPr>
              <w:spacing w:before="57" w:line="197" w:lineRule="auto"/>
              <w:ind w:left="64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163</w:t>
            </w:r>
            <w:r>
              <w:rPr>
                <w:rFonts w:ascii="Times New Roman" w:hAnsi="Times New Roman" w:eastAsia="Times New Roman" w:cs="Times New Roman"/>
                <w:color w:val="auto"/>
                <w:spacing w:val="1"/>
                <w:sz w:val="17"/>
                <w:szCs w:val="17"/>
                <w:highlight w:val="none"/>
              </w:rPr>
              <w:t>.469</w:t>
            </w:r>
          </w:p>
        </w:tc>
        <w:tc>
          <w:tcPr>
            <w:tcW w:w="2190" w:type="dxa"/>
            <w:vAlign w:val="top"/>
          </w:tcPr>
          <w:p>
            <w:pPr>
              <w:spacing w:before="57" w:line="197" w:lineRule="auto"/>
              <w:ind w:left="82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w:t>
            </w:r>
            <w:r>
              <w:rPr>
                <w:rFonts w:ascii="Times New Roman" w:hAnsi="Times New Roman" w:eastAsia="Times New Roman" w:cs="Times New Roman"/>
                <w:color w:val="auto"/>
                <w:spacing w:val="-3"/>
                <w:sz w:val="17"/>
                <w:szCs w:val="17"/>
                <w:highlight w:val="none"/>
              </w:rPr>
              <w:t>6</w:t>
            </w:r>
            <w:r>
              <w:rPr>
                <w:rFonts w:ascii="Times New Roman" w:hAnsi="Times New Roman" w:eastAsia="Times New Roman" w:cs="Times New Roman"/>
                <w:color w:val="auto"/>
                <w:spacing w:val="-2"/>
                <w:sz w:val="17"/>
                <w:szCs w:val="17"/>
                <w:highlight w:val="none"/>
              </w:rPr>
              <w:t>2. 134</w:t>
            </w:r>
          </w:p>
        </w:tc>
        <w:tc>
          <w:tcPr>
            <w:tcW w:w="1703" w:type="dxa"/>
            <w:tcBorders>
              <w:right w:val="single" w:color="000000" w:sz="10" w:space="0"/>
            </w:tcBorders>
            <w:vAlign w:val="top"/>
          </w:tcPr>
          <w:p>
            <w:pPr>
              <w:spacing w:before="57" w:line="197" w:lineRule="auto"/>
              <w:ind w:left="56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 xml:space="preserve">213. </w:t>
            </w:r>
            <w:r>
              <w:rPr>
                <w:rFonts w:ascii="Times New Roman" w:hAnsi="Times New Roman" w:eastAsia="Times New Roman" w:cs="Times New Roman"/>
                <w:color w:val="auto"/>
                <w:spacing w:val="-1"/>
                <w:sz w:val="17"/>
                <w:szCs w:val="17"/>
                <w:highlight w:val="none"/>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3486" w:type="dxa"/>
            <w:gridSpan w:val="2"/>
            <w:tcBorders>
              <w:left w:val="single" w:color="000000" w:sz="10" w:space="0"/>
            </w:tcBorders>
            <w:vAlign w:val="top"/>
          </w:tcPr>
          <w:p>
            <w:pPr>
              <w:spacing w:line="237" w:lineRule="exact"/>
              <w:ind w:left="1179"/>
              <w:rPr>
                <w:rFonts w:ascii="宋体" w:hAnsi="宋体" w:eastAsia="宋体" w:cs="宋体"/>
                <w:color w:val="auto"/>
                <w:sz w:val="17"/>
                <w:szCs w:val="17"/>
                <w:highlight w:val="none"/>
              </w:rPr>
            </w:pPr>
            <w:r>
              <w:rPr>
                <w:rFonts w:ascii="Times New Roman" w:hAnsi="Times New Roman" w:eastAsia="Times New Roman" w:cs="Times New Roman"/>
                <w:color w:val="auto"/>
                <w:spacing w:val="7"/>
                <w:position w:val="1"/>
                <w:sz w:val="17"/>
                <w:szCs w:val="17"/>
                <w:highlight w:val="none"/>
              </w:rPr>
              <w:t>5</w:t>
            </w:r>
            <w:r>
              <w:rPr>
                <w:rFonts w:ascii="Times New Roman" w:hAnsi="Times New Roman" w:eastAsia="Times New Roman" w:cs="Times New Roman"/>
                <w:color w:val="auto"/>
                <w:spacing w:val="6"/>
                <w:position w:val="1"/>
                <w:sz w:val="17"/>
                <w:szCs w:val="17"/>
                <w:highlight w:val="none"/>
              </w:rPr>
              <w:t>00</w:t>
            </w:r>
            <w:r>
              <w:rPr>
                <w:rFonts w:ascii="Times New Roman" w:hAnsi="Times New Roman" w:eastAsia="Times New Roman" w:cs="Times New Roman"/>
                <w:color w:val="auto"/>
                <w:position w:val="1"/>
                <w:sz w:val="17"/>
                <w:szCs w:val="17"/>
                <w:highlight w:val="none"/>
              </w:rPr>
              <w:t>kV</w:t>
            </w:r>
            <w:r>
              <w:rPr>
                <w:rFonts w:ascii="Times New Roman" w:hAnsi="Times New Roman" w:eastAsia="Times New Roman" w:cs="Times New Roman"/>
                <w:color w:val="auto"/>
                <w:spacing w:val="6"/>
                <w:position w:val="1"/>
                <w:sz w:val="17"/>
                <w:szCs w:val="17"/>
                <w:highlight w:val="none"/>
              </w:rPr>
              <w:t xml:space="preserve">  </w:t>
            </w:r>
            <w:r>
              <w:rPr>
                <w:rFonts w:ascii="宋体" w:hAnsi="宋体" w:eastAsia="宋体" w:cs="宋体"/>
                <w:color w:val="auto"/>
                <w:spacing w:val="6"/>
                <w:position w:val="1"/>
                <w:sz w:val="17"/>
                <w:szCs w:val="17"/>
                <w:highlight w:val="none"/>
              </w:rPr>
              <w:t>浏鼎线</w:t>
            </w:r>
          </w:p>
        </w:tc>
        <w:tc>
          <w:tcPr>
            <w:tcW w:w="1843" w:type="dxa"/>
            <w:vAlign w:val="top"/>
          </w:tcPr>
          <w:p>
            <w:pPr>
              <w:spacing w:before="59" w:line="197" w:lineRule="auto"/>
              <w:ind w:left="67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6.954</w:t>
            </w:r>
          </w:p>
        </w:tc>
        <w:tc>
          <w:tcPr>
            <w:tcW w:w="2190" w:type="dxa"/>
            <w:vAlign w:val="top"/>
          </w:tcPr>
          <w:p>
            <w:pPr>
              <w:spacing w:before="59" w:line="197" w:lineRule="auto"/>
              <w:ind w:left="82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w:t>
            </w:r>
            <w:r>
              <w:rPr>
                <w:rFonts w:ascii="Times New Roman" w:hAnsi="Times New Roman" w:eastAsia="Times New Roman" w:cs="Times New Roman"/>
                <w:color w:val="auto"/>
                <w:spacing w:val="3"/>
                <w:sz w:val="17"/>
                <w:szCs w:val="17"/>
                <w:highlight w:val="none"/>
              </w:rPr>
              <w:t>32.501</w:t>
            </w:r>
          </w:p>
        </w:tc>
        <w:tc>
          <w:tcPr>
            <w:tcW w:w="1703" w:type="dxa"/>
            <w:tcBorders>
              <w:right w:val="single" w:color="000000" w:sz="10" w:space="0"/>
            </w:tcBorders>
            <w:vAlign w:val="top"/>
          </w:tcPr>
          <w:p>
            <w:pPr>
              <w:spacing w:before="59" w:line="197" w:lineRule="auto"/>
              <w:ind w:left="61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6.358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 w:hRule="atLeast"/>
        </w:trPr>
        <w:tc>
          <w:tcPr>
            <w:tcW w:w="3486" w:type="dxa"/>
            <w:gridSpan w:val="2"/>
            <w:tcBorders>
              <w:left w:val="single" w:color="000000" w:sz="10" w:space="0"/>
            </w:tcBorders>
            <w:vAlign w:val="top"/>
          </w:tcPr>
          <w:p>
            <w:pPr>
              <w:spacing w:line="213" w:lineRule="exact"/>
              <w:ind w:left="1090"/>
              <w:rPr>
                <w:rFonts w:ascii="宋体" w:hAnsi="宋体" w:eastAsia="宋体" w:cs="宋体"/>
                <w:color w:val="auto"/>
                <w:sz w:val="15"/>
                <w:szCs w:val="15"/>
                <w:highlight w:val="none"/>
              </w:rPr>
            </w:pPr>
            <w:r>
              <w:rPr>
                <w:rFonts w:ascii="Times New Roman" w:hAnsi="Times New Roman" w:eastAsia="Times New Roman" w:cs="Times New Roman"/>
                <w:color w:val="auto"/>
                <w:spacing w:val="28"/>
                <w:position w:val="1"/>
                <w:sz w:val="15"/>
                <w:szCs w:val="15"/>
                <w:highlight w:val="none"/>
              </w:rPr>
              <w:t>5</w:t>
            </w:r>
            <w:r>
              <w:rPr>
                <w:rFonts w:ascii="Times New Roman" w:hAnsi="Times New Roman" w:eastAsia="Times New Roman" w:cs="Times New Roman"/>
                <w:color w:val="auto"/>
                <w:spacing w:val="22"/>
                <w:position w:val="1"/>
                <w:sz w:val="15"/>
                <w:szCs w:val="15"/>
                <w:highlight w:val="none"/>
              </w:rPr>
              <w:t>00</w:t>
            </w:r>
            <w:r>
              <w:rPr>
                <w:rFonts w:ascii="Times New Roman" w:hAnsi="Times New Roman" w:eastAsia="Times New Roman" w:cs="Times New Roman"/>
                <w:color w:val="auto"/>
                <w:position w:val="1"/>
                <w:sz w:val="15"/>
                <w:szCs w:val="15"/>
                <w:highlight w:val="none"/>
              </w:rPr>
              <w:t>kV</w:t>
            </w:r>
            <w:r>
              <w:rPr>
                <w:rFonts w:ascii="Times New Roman" w:hAnsi="Times New Roman" w:eastAsia="Times New Roman" w:cs="Times New Roman"/>
                <w:color w:val="auto"/>
                <w:spacing w:val="22"/>
                <w:position w:val="1"/>
                <w:sz w:val="15"/>
                <w:szCs w:val="15"/>
                <w:highlight w:val="none"/>
              </w:rPr>
              <w:t xml:space="preserve">  </w:t>
            </w:r>
            <w:r>
              <w:rPr>
                <w:rFonts w:ascii="宋体" w:hAnsi="宋体" w:eastAsia="宋体" w:cs="宋体"/>
                <w:color w:val="auto"/>
                <w:spacing w:val="22"/>
                <w:position w:val="1"/>
                <w:sz w:val="15"/>
                <w:szCs w:val="15"/>
                <w:highlight w:val="none"/>
              </w:rPr>
              <w:t>沙鼎Ⅱ线</w:t>
            </w:r>
          </w:p>
        </w:tc>
        <w:tc>
          <w:tcPr>
            <w:tcW w:w="1843" w:type="dxa"/>
            <w:vAlign w:val="top"/>
          </w:tcPr>
          <w:p>
            <w:pPr>
              <w:spacing w:before="57" w:line="191" w:lineRule="auto"/>
              <w:ind w:left="60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-7</w:t>
            </w:r>
            <w:r>
              <w:rPr>
                <w:rFonts w:ascii="Times New Roman" w:hAnsi="Times New Roman" w:eastAsia="Times New Roman" w:cs="Times New Roman"/>
                <w:color w:val="auto"/>
                <w:spacing w:val="3"/>
                <w:sz w:val="17"/>
                <w:szCs w:val="17"/>
                <w:highlight w:val="none"/>
              </w:rPr>
              <w:t>34 578</w:t>
            </w:r>
          </w:p>
        </w:tc>
        <w:tc>
          <w:tcPr>
            <w:tcW w:w="2190" w:type="dxa"/>
            <w:vAlign w:val="top"/>
          </w:tcPr>
          <w:p>
            <w:pPr>
              <w:spacing w:before="57" w:line="191" w:lineRule="auto"/>
              <w:ind w:left="8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6 913</w:t>
            </w:r>
          </w:p>
        </w:tc>
        <w:tc>
          <w:tcPr>
            <w:tcW w:w="1703" w:type="dxa"/>
            <w:tcBorders>
              <w:right w:val="single" w:color="000000" w:sz="10" w:space="0"/>
            </w:tcBorders>
            <w:vAlign w:val="top"/>
          </w:tcPr>
          <w:p>
            <w:pPr>
              <w:spacing w:before="57" w:line="191" w:lineRule="auto"/>
              <w:ind w:left="61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7</w:t>
            </w:r>
            <w:r>
              <w:rPr>
                <w:rFonts w:ascii="Times New Roman" w:hAnsi="Times New Roman" w:eastAsia="Times New Roman" w:cs="Times New Roman"/>
                <w:color w:val="auto"/>
                <w:spacing w:val="3"/>
                <w:sz w:val="17"/>
                <w:szCs w:val="17"/>
                <w:highlight w:val="none"/>
              </w:rPr>
              <w:t>7 969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3486" w:type="dxa"/>
            <w:gridSpan w:val="2"/>
            <w:tcBorders>
              <w:left w:val="single" w:color="000000" w:sz="10" w:space="0"/>
            </w:tcBorders>
            <w:vAlign w:val="top"/>
          </w:tcPr>
          <w:p>
            <w:pPr>
              <w:spacing w:before="20" w:line="241" w:lineRule="exact"/>
              <w:ind w:left="1085"/>
              <w:rPr>
                <w:rFonts w:ascii="宋体" w:hAnsi="宋体" w:eastAsia="宋体" w:cs="宋体"/>
                <w:color w:val="auto"/>
                <w:sz w:val="17"/>
                <w:szCs w:val="17"/>
                <w:highlight w:val="none"/>
              </w:rPr>
            </w:pPr>
            <w:r>
              <w:rPr>
                <w:rFonts w:ascii="Times New Roman" w:hAnsi="Times New Roman" w:eastAsia="Times New Roman" w:cs="Times New Roman"/>
                <w:color w:val="auto"/>
                <w:spacing w:val="8"/>
                <w:position w:val="1"/>
                <w:sz w:val="17"/>
                <w:szCs w:val="17"/>
                <w:highlight w:val="none"/>
              </w:rPr>
              <w:t>2</w:t>
            </w:r>
            <w:r>
              <w:rPr>
                <w:rFonts w:ascii="Times New Roman" w:hAnsi="Times New Roman" w:eastAsia="Times New Roman" w:cs="Times New Roman"/>
                <w:color w:val="auto"/>
                <w:spacing w:val="7"/>
                <w:position w:val="1"/>
                <w:sz w:val="17"/>
                <w:szCs w:val="17"/>
                <w:highlight w:val="none"/>
              </w:rPr>
              <w:t>20</w:t>
            </w:r>
            <w:r>
              <w:rPr>
                <w:rFonts w:ascii="Times New Roman" w:hAnsi="Times New Roman" w:eastAsia="Times New Roman" w:cs="Times New Roman"/>
                <w:color w:val="auto"/>
                <w:position w:val="1"/>
                <w:sz w:val="17"/>
                <w:szCs w:val="17"/>
                <w:highlight w:val="none"/>
              </w:rPr>
              <w:t>kV</w:t>
            </w:r>
            <w:r>
              <w:rPr>
                <w:rFonts w:ascii="Times New Roman" w:hAnsi="Times New Roman" w:eastAsia="Times New Roman" w:cs="Times New Roman"/>
                <w:color w:val="auto"/>
                <w:spacing w:val="7"/>
                <w:position w:val="1"/>
                <w:sz w:val="17"/>
                <w:szCs w:val="17"/>
                <w:highlight w:val="none"/>
              </w:rPr>
              <w:t xml:space="preserve">  </w:t>
            </w:r>
            <w:r>
              <w:rPr>
                <w:rFonts w:ascii="宋体" w:hAnsi="宋体" w:eastAsia="宋体" w:cs="宋体"/>
                <w:color w:val="auto"/>
                <w:spacing w:val="7"/>
                <w:position w:val="1"/>
                <w:sz w:val="17"/>
                <w:szCs w:val="17"/>
                <w:highlight w:val="none"/>
              </w:rPr>
              <w:t>鼎黎Ⅱ线</w:t>
            </w:r>
          </w:p>
        </w:tc>
        <w:tc>
          <w:tcPr>
            <w:tcW w:w="1843" w:type="dxa"/>
            <w:vAlign w:val="top"/>
          </w:tcPr>
          <w:p>
            <w:pPr>
              <w:spacing w:before="84" w:line="197" w:lineRule="auto"/>
              <w:ind w:left="64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105</w:t>
            </w:r>
            <w:r>
              <w:rPr>
                <w:rFonts w:ascii="Times New Roman" w:hAnsi="Times New Roman" w:eastAsia="Times New Roman" w:cs="Times New Roman"/>
                <w:color w:val="auto"/>
                <w:spacing w:val="1"/>
                <w:sz w:val="17"/>
                <w:szCs w:val="17"/>
                <w:highlight w:val="none"/>
              </w:rPr>
              <w:t>.494</w:t>
            </w:r>
          </w:p>
        </w:tc>
        <w:tc>
          <w:tcPr>
            <w:tcW w:w="2190" w:type="dxa"/>
            <w:vAlign w:val="top"/>
          </w:tcPr>
          <w:p>
            <w:pPr>
              <w:spacing w:before="84" w:line="197" w:lineRule="auto"/>
              <w:ind w:left="90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8.938</w:t>
            </w:r>
          </w:p>
        </w:tc>
        <w:tc>
          <w:tcPr>
            <w:tcW w:w="1703" w:type="dxa"/>
            <w:tcBorders>
              <w:right w:val="single" w:color="000000" w:sz="10" w:space="0"/>
            </w:tcBorders>
            <w:vAlign w:val="top"/>
          </w:tcPr>
          <w:p>
            <w:pPr>
              <w:spacing w:before="84" w:line="197" w:lineRule="auto"/>
              <w:ind w:left="56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60.789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3486" w:type="dxa"/>
            <w:gridSpan w:val="2"/>
            <w:tcBorders>
              <w:left w:val="single" w:color="000000" w:sz="10" w:space="0"/>
            </w:tcBorders>
            <w:vAlign w:val="top"/>
          </w:tcPr>
          <w:p>
            <w:pPr>
              <w:spacing w:line="238" w:lineRule="exact"/>
              <w:ind w:left="1085"/>
              <w:rPr>
                <w:rFonts w:ascii="宋体" w:hAnsi="宋体" w:eastAsia="宋体" w:cs="宋体"/>
                <w:color w:val="auto"/>
                <w:sz w:val="17"/>
                <w:szCs w:val="17"/>
                <w:highlight w:val="none"/>
              </w:rPr>
            </w:pPr>
            <w:r>
              <w:rPr>
                <w:rFonts w:ascii="Times New Roman" w:hAnsi="Times New Roman" w:eastAsia="Times New Roman" w:cs="Times New Roman"/>
                <w:color w:val="auto"/>
                <w:spacing w:val="-2"/>
                <w:position w:val="1"/>
                <w:sz w:val="17"/>
                <w:szCs w:val="17"/>
                <w:highlight w:val="none"/>
              </w:rPr>
              <w:t>220</w:t>
            </w:r>
            <w:r>
              <w:rPr>
                <w:rFonts w:ascii="Times New Roman" w:hAnsi="Times New Roman" w:eastAsia="Times New Roman" w:cs="Times New Roman"/>
                <w:color w:val="auto"/>
                <w:spacing w:val="-1"/>
                <w:position w:val="1"/>
                <w:sz w:val="17"/>
                <w:szCs w:val="17"/>
                <w:highlight w:val="none"/>
              </w:rPr>
              <w:t>kV</w:t>
            </w:r>
            <w:r>
              <w:rPr>
                <w:rFonts w:ascii="Times New Roman" w:hAnsi="Times New Roman" w:eastAsia="Times New Roman" w:cs="Times New Roman"/>
                <w:color w:val="auto"/>
                <w:spacing w:val="-2"/>
                <w:position w:val="1"/>
                <w:sz w:val="17"/>
                <w:szCs w:val="17"/>
                <w:highlight w:val="none"/>
              </w:rPr>
              <w:t xml:space="preserve">  </w:t>
            </w:r>
            <w:r>
              <w:rPr>
                <w:rFonts w:ascii="宋体" w:hAnsi="宋体" w:eastAsia="宋体" w:cs="宋体"/>
                <w:color w:val="auto"/>
                <w:spacing w:val="-2"/>
                <w:position w:val="1"/>
                <w:sz w:val="17"/>
                <w:szCs w:val="17"/>
                <w:highlight w:val="none"/>
              </w:rPr>
              <w:t>鼎黎 Ⅰ</w:t>
            </w:r>
            <w:r>
              <w:rPr>
                <w:rFonts w:ascii="宋体" w:hAnsi="宋体" w:eastAsia="宋体" w:cs="宋体"/>
                <w:color w:val="auto"/>
                <w:spacing w:val="-1"/>
                <w:position w:val="1"/>
                <w:sz w:val="17"/>
                <w:szCs w:val="17"/>
                <w:highlight w:val="none"/>
              </w:rPr>
              <w:t>线</w:t>
            </w:r>
          </w:p>
        </w:tc>
        <w:tc>
          <w:tcPr>
            <w:tcW w:w="1843" w:type="dxa"/>
            <w:vAlign w:val="top"/>
          </w:tcPr>
          <w:p>
            <w:pPr>
              <w:spacing w:before="60" w:line="197" w:lineRule="auto"/>
              <w:ind w:left="64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106</w:t>
            </w:r>
            <w:r>
              <w:rPr>
                <w:rFonts w:ascii="Times New Roman" w:hAnsi="Times New Roman" w:eastAsia="Times New Roman" w:cs="Times New Roman"/>
                <w:color w:val="auto"/>
                <w:spacing w:val="1"/>
                <w:sz w:val="17"/>
                <w:szCs w:val="17"/>
                <w:highlight w:val="none"/>
              </w:rPr>
              <w:t>.271</w:t>
            </w:r>
          </w:p>
        </w:tc>
        <w:tc>
          <w:tcPr>
            <w:tcW w:w="2190" w:type="dxa"/>
            <w:vAlign w:val="top"/>
          </w:tcPr>
          <w:p>
            <w:pPr>
              <w:spacing w:before="59" w:line="197" w:lineRule="auto"/>
              <w:ind w:left="105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0</w:t>
            </w:r>
          </w:p>
        </w:tc>
        <w:tc>
          <w:tcPr>
            <w:tcW w:w="1703" w:type="dxa"/>
            <w:tcBorders>
              <w:right w:val="single" w:color="000000" w:sz="10" w:space="0"/>
            </w:tcBorders>
            <w:vAlign w:val="top"/>
          </w:tcPr>
          <w:p>
            <w:pPr>
              <w:spacing w:before="59" w:line="197" w:lineRule="auto"/>
              <w:ind w:left="56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77.023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 w:hRule="atLeast"/>
        </w:trPr>
        <w:tc>
          <w:tcPr>
            <w:tcW w:w="3486" w:type="dxa"/>
            <w:gridSpan w:val="2"/>
            <w:tcBorders>
              <w:left w:val="single" w:color="000000" w:sz="10" w:space="0"/>
            </w:tcBorders>
            <w:vAlign w:val="top"/>
          </w:tcPr>
          <w:p>
            <w:pPr>
              <w:spacing w:line="213" w:lineRule="exact"/>
              <w:ind w:left="1085"/>
              <w:rPr>
                <w:rFonts w:ascii="宋体" w:hAnsi="宋体" w:eastAsia="宋体" w:cs="宋体"/>
                <w:color w:val="auto"/>
                <w:sz w:val="15"/>
                <w:szCs w:val="15"/>
                <w:highlight w:val="none"/>
              </w:rPr>
            </w:pPr>
            <w:r>
              <w:rPr>
                <w:rFonts w:ascii="Times New Roman" w:hAnsi="Times New Roman" w:eastAsia="Times New Roman" w:cs="Times New Roman"/>
                <w:color w:val="auto"/>
                <w:spacing w:val="24"/>
                <w:position w:val="1"/>
                <w:sz w:val="15"/>
                <w:szCs w:val="15"/>
                <w:highlight w:val="none"/>
              </w:rPr>
              <w:t>2</w:t>
            </w:r>
            <w:r>
              <w:rPr>
                <w:rFonts w:ascii="Times New Roman" w:hAnsi="Times New Roman" w:eastAsia="Times New Roman" w:cs="Times New Roman"/>
                <w:color w:val="auto"/>
                <w:spacing w:val="23"/>
                <w:position w:val="1"/>
                <w:sz w:val="15"/>
                <w:szCs w:val="15"/>
                <w:highlight w:val="none"/>
              </w:rPr>
              <w:t>20</w:t>
            </w:r>
            <w:r>
              <w:rPr>
                <w:rFonts w:ascii="Times New Roman" w:hAnsi="Times New Roman" w:eastAsia="Times New Roman" w:cs="Times New Roman"/>
                <w:color w:val="auto"/>
                <w:position w:val="1"/>
                <w:sz w:val="15"/>
                <w:szCs w:val="15"/>
                <w:highlight w:val="none"/>
              </w:rPr>
              <w:t>kV</w:t>
            </w:r>
            <w:r>
              <w:rPr>
                <w:rFonts w:ascii="Times New Roman" w:hAnsi="Times New Roman" w:eastAsia="Times New Roman" w:cs="Times New Roman"/>
                <w:color w:val="auto"/>
                <w:spacing w:val="23"/>
                <w:position w:val="1"/>
                <w:sz w:val="15"/>
                <w:szCs w:val="15"/>
                <w:highlight w:val="none"/>
              </w:rPr>
              <w:t xml:space="preserve">  </w:t>
            </w:r>
            <w:r>
              <w:rPr>
                <w:rFonts w:ascii="宋体" w:hAnsi="宋体" w:eastAsia="宋体" w:cs="宋体"/>
                <w:color w:val="auto"/>
                <w:spacing w:val="23"/>
                <w:position w:val="1"/>
                <w:sz w:val="15"/>
                <w:szCs w:val="15"/>
                <w:highlight w:val="none"/>
              </w:rPr>
              <w:t>鼎榔Ⅱ线</w:t>
            </w:r>
          </w:p>
        </w:tc>
        <w:tc>
          <w:tcPr>
            <w:tcW w:w="1843" w:type="dxa"/>
            <w:vAlign w:val="top"/>
          </w:tcPr>
          <w:p>
            <w:pPr>
              <w:spacing w:before="58" w:line="190" w:lineRule="auto"/>
              <w:ind w:left="67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7</w:t>
            </w:r>
            <w:r>
              <w:rPr>
                <w:rFonts w:ascii="Times New Roman" w:hAnsi="Times New Roman" w:eastAsia="Times New Roman" w:cs="Times New Roman"/>
                <w:color w:val="auto"/>
                <w:spacing w:val="3"/>
                <w:sz w:val="17"/>
                <w:szCs w:val="17"/>
                <w:highlight w:val="none"/>
              </w:rPr>
              <w:t>2 885</w:t>
            </w:r>
          </w:p>
        </w:tc>
        <w:tc>
          <w:tcPr>
            <w:tcW w:w="2190" w:type="dxa"/>
            <w:vAlign w:val="top"/>
          </w:tcPr>
          <w:p>
            <w:pPr>
              <w:spacing w:before="58" w:line="190" w:lineRule="auto"/>
              <w:ind w:left="87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w:t>
            </w:r>
            <w:r>
              <w:rPr>
                <w:rFonts w:ascii="Times New Roman" w:hAnsi="Times New Roman" w:eastAsia="Times New Roman" w:cs="Times New Roman"/>
                <w:color w:val="auto"/>
                <w:spacing w:val="3"/>
                <w:sz w:val="17"/>
                <w:szCs w:val="17"/>
                <w:highlight w:val="none"/>
              </w:rPr>
              <w:t>2 960</w:t>
            </w:r>
          </w:p>
        </w:tc>
        <w:tc>
          <w:tcPr>
            <w:tcW w:w="1703" w:type="dxa"/>
            <w:tcBorders>
              <w:right w:val="single" w:color="000000" w:sz="10" w:space="0"/>
            </w:tcBorders>
            <w:vAlign w:val="top"/>
          </w:tcPr>
          <w:p>
            <w:pPr>
              <w:spacing w:before="58" w:line="190" w:lineRule="auto"/>
              <w:ind w:left="58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190 58</w:t>
            </w:r>
            <w:r>
              <w:rPr>
                <w:rFonts w:ascii="Times New Roman" w:hAnsi="Times New Roman" w:eastAsia="Times New Roman" w:cs="Times New Roman"/>
                <w:color w:val="auto"/>
                <w:spacing w:val="1"/>
                <w:sz w:val="17"/>
                <w:szCs w:val="17"/>
                <w:highlight w:val="none"/>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3486" w:type="dxa"/>
            <w:gridSpan w:val="2"/>
            <w:tcBorders>
              <w:left w:val="single" w:color="000000" w:sz="10" w:space="0"/>
            </w:tcBorders>
            <w:vAlign w:val="top"/>
          </w:tcPr>
          <w:p>
            <w:pPr>
              <w:spacing w:before="21" w:line="242" w:lineRule="exact"/>
              <w:ind w:left="1085"/>
              <w:rPr>
                <w:rFonts w:ascii="宋体" w:hAnsi="宋体" w:eastAsia="宋体" w:cs="宋体"/>
                <w:color w:val="auto"/>
                <w:sz w:val="17"/>
                <w:szCs w:val="17"/>
                <w:highlight w:val="none"/>
              </w:rPr>
            </w:pPr>
            <w:r>
              <w:rPr>
                <w:rFonts w:ascii="Times New Roman" w:hAnsi="Times New Roman" w:eastAsia="Times New Roman" w:cs="Times New Roman"/>
                <w:color w:val="auto"/>
                <w:spacing w:val="-2"/>
                <w:position w:val="1"/>
                <w:sz w:val="17"/>
                <w:szCs w:val="17"/>
                <w:highlight w:val="none"/>
              </w:rPr>
              <w:t>220</w:t>
            </w:r>
            <w:r>
              <w:rPr>
                <w:rFonts w:ascii="Times New Roman" w:hAnsi="Times New Roman" w:eastAsia="Times New Roman" w:cs="Times New Roman"/>
                <w:color w:val="auto"/>
                <w:spacing w:val="-1"/>
                <w:position w:val="1"/>
                <w:sz w:val="17"/>
                <w:szCs w:val="17"/>
                <w:highlight w:val="none"/>
              </w:rPr>
              <w:t>kV</w:t>
            </w:r>
            <w:r>
              <w:rPr>
                <w:rFonts w:ascii="Times New Roman" w:hAnsi="Times New Roman" w:eastAsia="Times New Roman" w:cs="Times New Roman"/>
                <w:color w:val="auto"/>
                <w:spacing w:val="-2"/>
                <w:position w:val="1"/>
                <w:sz w:val="17"/>
                <w:szCs w:val="17"/>
                <w:highlight w:val="none"/>
              </w:rPr>
              <w:t xml:space="preserve">  </w:t>
            </w:r>
            <w:r>
              <w:rPr>
                <w:rFonts w:ascii="宋体" w:hAnsi="宋体" w:eastAsia="宋体" w:cs="宋体"/>
                <w:color w:val="auto"/>
                <w:spacing w:val="-2"/>
                <w:position w:val="1"/>
                <w:sz w:val="17"/>
                <w:szCs w:val="17"/>
                <w:highlight w:val="none"/>
              </w:rPr>
              <w:t>鼎榔 Ⅰ</w:t>
            </w:r>
            <w:r>
              <w:rPr>
                <w:rFonts w:ascii="宋体" w:hAnsi="宋体" w:eastAsia="宋体" w:cs="宋体"/>
                <w:color w:val="auto"/>
                <w:spacing w:val="-1"/>
                <w:position w:val="1"/>
                <w:sz w:val="17"/>
                <w:szCs w:val="17"/>
                <w:highlight w:val="none"/>
              </w:rPr>
              <w:t>线</w:t>
            </w:r>
          </w:p>
        </w:tc>
        <w:tc>
          <w:tcPr>
            <w:tcW w:w="1843" w:type="dxa"/>
            <w:vAlign w:val="top"/>
          </w:tcPr>
          <w:p>
            <w:pPr>
              <w:spacing w:before="84" w:line="197" w:lineRule="auto"/>
              <w:ind w:left="67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7</w:t>
            </w:r>
            <w:r>
              <w:rPr>
                <w:rFonts w:ascii="Times New Roman" w:hAnsi="Times New Roman" w:eastAsia="Times New Roman" w:cs="Times New Roman"/>
                <w:color w:val="auto"/>
                <w:spacing w:val="3"/>
                <w:sz w:val="17"/>
                <w:szCs w:val="17"/>
                <w:highlight w:val="none"/>
              </w:rPr>
              <w:t>3.277</w:t>
            </w:r>
          </w:p>
        </w:tc>
        <w:tc>
          <w:tcPr>
            <w:tcW w:w="2190" w:type="dxa"/>
            <w:vAlign w:val="top"/>
          </w:tcPr>
          <w:p>
            <w:pPr>
              <w:spacing w:before="84" w:line="200" w:lineRule="auto"/>
              <w:ind w:left="9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3"/>
                <w:sz w:val="17"/>
                <w:szCs w:val="17"/>
                <w:highlight w:val="none"/>
              </w:rPr>
              <w:t>.977</w:t>
            </w:r>
          </w:p>
        </w:tc>
        <w:tc>
          <w:tcPr>
            <w:tcW w:w="1703" w:type="dxa"/>
            <w:tcBorders>
              <w:right w:val="single" w:color="000000" w:sz="10" w:space="0"/>
            </w:tcBorders>
            <w:vAlign w:val="top"/>
          </w:tcPr>
          <w:p>
            <w:pPr>
              <w:spacing w:before="85" w:line="197" w:lineRule="auto"/>
              <w:ind w:left="58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180.07</w:t>
            </w:r>
            <w:r>
              <w:rPr>
                <w:rFonts w:ascii="Times New Roman" w:hAnsi="Times New Roman" w:eastAsia="Times New Roman" w:cs="Times New Roman"/>
                <w:color w:val="auto"/>
                <w:spacing w:val="1"/>
                <w:sz w:val="17"/>
                <w:szCs w:val="17"/>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3486" w:type="dxa"/>
            <w:gridSpan w:val="2"/>
            <w:tcBorders>
              <w:left w:val="single" w:color="000000" w:sz="10" w:space="0"/>
            </w:tcBorders>
            <w:vAlign w:val="top"/>
          </w:tcPr>
          <w:p>
            <w:pPr>
              <w:spacing w:line="238" w:lineRule="exact"/>
              <w:ind w:left="1085"/>
              <w:rPr>
                <w:rFonts w:ascii="宋体" w:hAnsi="宋体" w:eastAsia="宋体" w:cs="宋体"/>
                <w:color w:val="auto"/>
                <w:sz w:val="17"/>
                <w:szCs w:val="17"/>
                <w:highlight w:val="none"/>
              </w:rPr>
            </w:pPr>
            <w:r>
              <w:rPr>
                <w:rFonts w:ascii="Times New Roman" w:hAnsi="Times New Roman" w:eastAsia="Times New Roman" w:cs="Times New Roman"/>
                <w:color w:val="auto"/>
                <w:spacing w:val="-2"/>
                <w:position w:val="1"/>
                <w:sz w:val="17"/>
                <w:szCs w:val="17"/>
                <w:highlight w:val="none"/>
              </w:rPr>
              <w:t>220</w:t>
            </w:r>
            <w:r>
              <w:rPr>
                <w:rFonts w:ascii="Times New Roman" w:hAnsi="Times New Roman" w:eastAsia="Times New Roman" w:cs="Times New Roman"/>
                <w:color w:val="auto"/>
                <w:spacing w:val="-1"/>
                <w:position w:val="1"/>
                <w:sz w:val="17"/>
                <w:szCs w:val="17"/>
                <w:highlight w:val="none"/>
              </w:rPr>
              <w:t>kV</w:t>
            </w:r>
            <w:r>
              <w:rPr>
                <w:rFonts w:ascii="Times New Roman" w:hAnsi="Times New Roman" w:eastAsia="Times New Roman" w:cs="Times New Roman"/>
                <w:color w:val="auto"/>
                <w:spacing w:val="-2"/>
                <w:position w:val="1"/>
                <w:sz w:val="17"/>
                <w:szCs w:val="17"/>
                <w:highlight w:val="none"/>
              </w:rPr>
              <w:t xml:space="preserve">  </w:t>
            </w:r>
            <w:r>
              <w:rPr>
                <w:rFonts w:ascii="宋体" w:hAnsi="宋体" w:eastAsia="宋体" w:cs="宋体"/>
                <w:color w:val="auto"/>
                <w:spacing w:val="-2"/>
                <w:position w:val="1"/>
                <w:sz w:val="17"/>
                <w:szCs w:val="17"/>
                <w:highlight w:val="none"/>
              </w:rPr>
              <w:t>鼎开 Ⅰ</w:t>
            </w:r>
            <w:r>
              <w:rPr>
                <w:rFonts w:ascii="宋体" w:hAnsi="宋体" w:eastAsia="宋体" w:cs="宋体"/>
                <w:color w:val="auto"/>
                <w:spacing w:val="-1"/>
                <w:position w:val="1"/>
                <w:sz w:val="17"/>
                <w:szCs w:val="17"/>
                <w:highlight w:val="none"/>
              </w:rPr>
              <w:t>线</w:t>
            </w:r>
          </w:p>
        </w:tc>
        <w:tc>
          <w:tcPr>
            <w:tcW w:w="1843" w:type="dxa"/>
            <w:vAlign w:val="top"/>
          </w:tcPr>
          <w:p>
            <w:pPr>
              <w:spacing w:before="59" w:line="197" w:lineRule="auto"/>
              <w:ind w:left="67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9.341</w:t>
            </w:r>
          </w:p>
        </w:tc>
        <w:tc>
          <w:tcPr>
            <w:tcW w:w="2190" w:type="dxa"/>
            <w:vAlign w:val="top"/>
          </w:tcPr>
          <w:p>
            <w:pPr>
              <w:spacing w:before="59" w:line="197" w:lineRule="auto"/>
              <w:ind w:left="105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0</w:t>
            </w:r>
          </w:p>
        </w:tc>
        <w:tc>
          <w:tcPr>
            <w:tcW w:w="1703" w:type="dxa"/>
            <w:tcBorders>
              <w:right w:val="single" w:color="000000" w:sz="10" w:space="0"/>
            </w:tcBorders>
            <w:vAlign w:val="top"/>
          </w:tcPr>
          <w:p>
            <w:pPr>
              <w:spacing w:before="59" w:line="197" w:lineRule="auto"/>
              <w:ind w:left="58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109.41</w:t>
            </w:r>
            <w:r>
              <w:rPr>
                <w:rFonts w:ascii="Times New Roman" w:hAnsi="Times New Roman" w:eastAsia="Times New Roman" w:cs="Times New Roman"/>
                <w:color w:val="auto"/>
                <w:spacing w:val="1"/>
                <w:sz w:val="17"/>
                <w:szCs w:val="17"/>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3486" w:type="dxa"/>
            <w:gridSpan w:val="2"/>
            <w:tcBorders>
              <w:left w:val="single" w:color="000000" w:sz="10" w:space="0"/>
            </w:tcBorders>
            <w:vAlign w:val="top"/>
          </w:tcPr>
          <w:p>
            <w:pPr>
              <w:spacing w:line="238" w:lineRule="exact"/>
              <w:ind w:left="1085"/>
              <w:rPr>
                <w:rFonts w:ascii="宋体" w:hAnsi="宋体" w:eastAsia="宋体" w:cs="宋体"/>
                <w:color w:val="auto"/>
                <w:sz w:val="17"/>
                <w:szCs w:val="17"/>
                <w:highlight w:val="none"/>
              </w:rPr>
            </w:pPr>
            <w:r>
              <w:rPr>
                <w:rFonts w:ascii="Times New Roman" w:hAnsi="Times New Roman" w:eastAsia="Times New Roman" w:cs="Times New Roman"/>
                <w:color w:val="auto"/>
                <w:spacing w:val="8"/>
                <w:position w:val="1"/>
                <w:sz w:val="17"/>
                <w:szCs w:val="17"/>
                <w:highlight w:val="none"/>
              </w:rPr>
              <w:t>2</w:t>
            </w:r>
            <w:r>
              <w:rPr>
                <w:rFonts w:ascii="Times New Roman" w:hAnsi="Times New Roman" w:eastAsia="Times New Roman" w:cs="Times New Roman"/>
                <w:color w:val="auto"/>
                <w:spacing w:val="7"/>
                <w:position w:val="1"/>
                <w:sz w:val="17"/>
                <w:szCs w:val="17"/>
                <w:highlight w:val="none"/>
              </w:rPr>
              <w:t>20</w:t>
            </w:r>
            <w:r>
              <w:rPr>
                <w:rFonts w:ascii="Times New Roman" w:hAnsi="Times New Roman" w:eastAsia="Times New Roman" w:cs="Times New Roman"/>
                <w:color w:val="auto"/>
                <w:position w:val="1"/>
                <w:sz w:val="17"/>
                <w:szCs w:val="17"/>
                <w:highlight w:val="none"/>
              </w:rPr>
              <w:t>kV</w:t>
            </w:r>
            <w:r>
              <w:rPr>
                <w:rFonts w:ascii="Times New Roman" w:hAnsi="Times New Roman" w:eastAsia="Times New Roman" w:cs="Times New Roman"/>
                <w:color w:val="auto"/>
                <w:spacing w:val="7"/>
                <w:position w:val="1"/>
                <w:sz w:val="17"/>
                <w:szCs w:val="17"/>
                <w:highlight w:val="none"/>
              </w:rPr>
              <w:t xml:space="preserve">  </w:t>
            </w:r>
            <w:r>
              <w:rPr>
                <w:rFonts w:ascii="宋体" w:hAnsi="宋体" w:eastAsia="宋体" w:cs="宋体"/>
                <w:color w:val="auto"/>
                <w:spacing w:val="7"/>
                <w:position w:val="1"/>
                <w:sz w:val="17"/>
                <w:szCs w:val="17"/>
                <w:highlight w:val="none"/>
              </w:rPr>
              <w:t>鼎开Ⅱ线</w:t>
            </w:r>
          </w:p>
        </w:tc>
        <w:tc>
          <w:tcPr>
            <w:tcW w:w="1843" w:type="dxa"/>
            <w:vAlign w:val="top"/>
          </w:tcPr>
          <w:p>
            <w:pPr>
              <w:spacing w:before="61" w:line="197" w:lineRule="auto"/>
              <w:ind w:left="67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9.793</w:t>
            </w:r>
          </w:p>
        </w:tc>
        <w:tc>
          <w:tcPr>
            <w:tcW w:w="2190" w:type="dxa"/>
            <w:vAlign w:val="top"/>
          </w:tcPr>
          <w:p>
            <w:pPr>
              <w:spacing w:before="61" w:line="197" w:lineRule="auto"/>
              <w:ind w:left="105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0</w:t>
            </w:r>
          </w:p>
        </w:tc>
        <w:tc>
          <w:tcPr>
            <w:tcW w:w="1703" w:type="dxa"/>
            <w:tcBorders>
              <w:right w:val="single" w:color="000000" w:sz="10" w:space="0"/>
            </w:tcBorders>
            <w:vAlign w:val="top"/>
          </w:tcPr>
          <w:p>
            <w:pPr>
              <w:spacing w:before="61" w:line="197" w:lineRule="auto"/>
              <w:ind w:left="58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113.93</w:t>
            </w:r>
            <w:r>
              <w:rPr>
                <w:rFonts w:ascii="Times New Roman" w:hAnsi="Times New Roman" w:eastAsia="Times New Roman" w:cs="Times New Roman"/>
                <w:color w:val="auto"/>
                <w:sz w:val="17"/>
                <w:szCs w:val="17"/>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3486" w:type="dxa"/>
            <w:gridSpan w:val="2"/>
            <w:tcBorders>
              <w:left w:val="single" w:color="000000" w:sz="10" w:space="0"/>
            </w:tcBorders>
            <w:vAlign w:val="top"/>
          </w:tcPr>
          <w:p>
            <w:pPr>
              <w:spacing w:line="238" w:lineRule="exact"/>
              <w:ind w:left="1085"/>
              <w:rPr>
                <w:rFonts w:ascii="宋体" w:hAnsi="宋体" w:eastAsia="宋体" w:cs="宋体"/>
                <w:color w:val="auto"/>
                <w:sz w:val="17"/>
                <w:szCs w:val="17"/>
                <w:highlight w:val="none"/>
              </w:rPr>
            </w:pPr>
            <w:r>
              <w:rPr>
                <w:rFonts w:ascii="Times New Roman" w:hAnsi="Times New Roman" w:eastAsia="Times New Roman" w:cs="Times New Roman"/>
                <w:color w:val="auto"/>
                <w:spacing w:val="8"/>
                <w:position w:val="1"/>
                <w:sz w:val="17"/>
                <w:szCs w:val="17"/>
                <w:highlight w:val="none"/>
              </w:rPr>
              <w:t>2</w:t>
            </w:r>
            <w:r>
              <w:rPr>
                <w:rFonts w:ascii="Times New Roman" w:hAnsi="Times New Roman" w:eastAsia="Times New Roman" w:cs="Times New Roman"/>
                <w:color w:val="auto"/>
                <w:spacing w:val="7"/>
                <w:position w:val="1"/>
                <w:sz w:val="17"/>
                <w:szCs w:val="17"/>
                <w:highlight w:val="none"/>
              </w:rPr>
              <w:t>20</w:t>
            </w:r>
            <w:r>
              <w:rPr>
                <w:rFonts w:ascii="Times New Roman" w:hAnsi="Times New Roman" w:eastAsia="Times New Roman" w:cs="Times New Roman"/>
                <w:color w:val="auto"/>
                <w:position w:val="1"/>
                <w:sz w:val="17"/>
                <w:szCs w:val="17"/>
                <w:highlight w:val="none"/>
              </w:rPr>
              <w:t>kV</w:t>
            </w:r>
            <w:r>
              <w:rPr>
                <w:rFonts w:ascii="Times New Roman" w:hAnsi="Times New Roman" w:eastAsia="Times New Roman" w:cs="Times New Roman"/>
                <w:color w:val="auto"/>
                <w:spacing w:val="7"/>
                <w:position w:val="1"/>
                <w:sz w:val="17"/>
                <w:szCs w:val="17"/>
                <w:highlight w:val="none"/>
              </w:rPr>
              <w:t xml:space="preserve">  </w:t>
            </w:r>
            <w:r>
              <w:rPr>
                <w:rFonts w:ascii="宋体" w:hAnsi="宋体" w:eastAsia="宋体" w:cs="宋体"/>
                <w:color w:val="auto"/>
                <w:spacing w:val="7"/>
                <w:position w:val="1"/>
                <w:sz w:val="17"/>
                <w:szCs w:val="17"/>
                <w:highlight w:val="none"/>
              </w:rPr>
              <w:t>鼎丛Ⅲ线</w:t>
            </w:r>
          </w:p>
        </w:tc>
        <w:tc>
          <w:tcPr>
            <w:tcW w:w="1843" w:type="dxa"/>
            <w:vAlign w:val="top"/>
          </w:tcPr>
          <w:p>
            <w:pPr>
              <w:spacing w:before="60" w:line="197" w:lineRule="auto"/>
              <w:ind w:left="67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9</w:t>
            </w:r>
            <w:r>
              <w:rPr>
                <w:rFonts w:ascii="Times New Roman" w:hAnsi="Times New Roman" w:eastAsia="Times New Roman" w:cs="Times New Roman"/>
                <w:color w:val="auto"/>
                <w:spacing w:val="3"/>
                <w:sz w:val="17"/>
                <w:szCs w:val="17"/>
                <w:highlight w:val="none"/>
              </w:rPr>
              <w:t>3.281</w:t>
            </w:r>
          </w:p>
        </w:tc>
        <w:tc>
          <w:tcPr>
            <w:tcW w:w="2190" w:type="dxa"/>
            <w:vAlign w:val="top"/>
          </w:tcPr>
          <w:p>
            <w:pPr>
              <w:spacing w:before="60" w:line="197" w:lineRule="auto"/>
              <w:ind w:left="87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3.920</w:t>
            </w:r>
          </w:p>
        </w:tc>
        <w:tc>
          <w:tcPr>
            <w:tcW w:w="1703" w:type="dxa"/>
            <w:tcBorders>
              <w:right w:val="single" w:color="000000" w:sz="10" w:space="0"/>
            </w:tcBorders>
            <w:vAlign w:val="top"/>
          </w:tcPr>
          <w:p>
            <w:pPr>
              <w:spacing w:before="60" w:line="200" w:lineRule="auto"/>
              <w:ind w:left="56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24.246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3486" w:type="dxa"/>
            <w:gridSpan w:val="2"/>
            <w:tcBorders>
              <w:left w:val="single" w:color="000000" w:sz="10" w:space="0"/>
            </w:tcBorders>
            <w:vAlign w:val="top"/>
          </w:tcPr>
          <w:p>
            <w:pPr>
              <w:spacing w:line="239" w:lineRule="exact"/>
              <w:ind w:left="1085"/>
              <w:rPr>
                <w:rFonts w:ascii="宋体" w:hAnsi="宋体" w:eastAsia="宋体" w:cs="宋体"/>
                <w:color w:val="auto"/>
                <w:sz w:val="17"/>
                <w:szCs w:val="17"/>
                <w:highlight w:val="none"/>
              </w:rPr>
            </w:pPr>
            <w:r>
              <w:rPr>
                <w:rFonts w:ascii="Times New Roman" w:hAnsi="Times New Roman" w:eastAsia="Times New Roman" w:cs="Times New Roman"/>
                <w:color w:val="auto"/>
                <w:spacing w:val="8"/>
                <w:position w:val="1"/>
                <w:sz w:val="17"/>
                <w:szCs w:val="17"/>
                <w:highlight w:val="none"/>
              </w:rPr>
              <w:t>2</w:t>
            </w:r>
            <w:r>
              <w:rPr>
                <w:rFonts w:ascii="Times New Roman" w:hAnsi="Times New Roman" w:eastAsia="Times New Roman" w:cs="Times New Roman"/>
                <w:color w:val="auto"/>
                <w:spacing w:val="7"/>
                <w:position w:val="1"/>
                <w:sz w:val="17"/>
                <w:szCs w:val="17"/>
                <w:highlight w:val="none"/>
              </w:rPr>
              <w:t>20</w:t>
            </w:r>
            <w:r>
              <w:rPr>
                <w:rFonts w:ascii="Times New Roman" w:hAnsi="Times New Roman" w:eastAsia="Times New Roman" w:cs="Times New Roman"/>
                <w:color w:val="auto"/>
                <w:position w:val="1"/>
                <w:sz w:val="17"/>
                <w:szCs w:val="17"/>
                <w:highlight w:val="none"/>
              </w:rPr>
              <w:t>kV</w:t>
            </w:r>
            <w:r>
              <w:rPr>
                <w:rFonts w:ascii="Times New Roman" w:hAnsi="Times New Roman" w:eastAsia="Times New Roman" w:cs="Times New Roman"/>
                <w:color w:val="auto"/>
                <w:spacing w:val="7"/>
                <w:position w:val="1"/>
                <w:sz w:val="17"/>
                <w:szCs w:val="17"/>
                <w:highlight w:val="none"/>
              </w:rPr>
              <w:t xml:space="preserve">  </w:t>
            </w:r>
            <w:r>
              <w:rPr>
                <w:rFonts w:ascii="宋体" w:hAnsi="宋体" w:eastAsia="宋体" w:cs="宋体"/>
                <w:color w:val="auto"/>
                <w:spacing w:val="7"/>
                <w:position w:val="1"/>
                <w:sz w:val="17"/>
                <w:szCs w:val="17"/>
                <w:highlight w:val="none"/>
              </w:rPr>
              <w:t>鼎丛Ⅱ线</w:t>
            </w:r>
          </w:p>
        </w:tc>
        <w:tc>
          <w:tcPr>
            <w:tcW w:w="1843" w:type="dxa"/>
            <w:vAlign w:val="top"/>
          </w:tcPr>
          <w:p>
            <w:pPr>
              <w:spacing w:before="62" w:line="197" w:lineRule="auto"/>
              <w:ind w:left="67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9</w:t>
            </w:r>
            <w:r>
              <w:rPr>
                <w:rFonts w:ascii="Times New Roman" w:hAnsi="Times New Roman" w:eastAsia="Times New Roman" w:cs="Times New Roman"/>
                <w:color w:val="auto"/>
                <w:spacing w:val="3"/>
                <w:sz w:val="17"/>
                <w:szCs w:val="17"/>
                <w:highlight w:val="none"/>
              </w:rPr>
              <w:t>7.900</w:t>
            </w:r>
          </w:p>
        </w:tc>
        <w:tc>
          <w:tcPr>
            <w:tcW w:w="2190" w:type="dxa"/>
            <w:vAlign w:val="top"/>
          </w:tcPr>
          <w:p>
            <w:pPr>
              <w:spacing w:before="62" w:line="197" w:lineRule="auto"/>
              <w:ind w:left="87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9.001</w:t>
            </w:r>
          </w:p>
        </w:tc>
        <w:tc>
          <w:tcPr>
            <w:tcW w:w="1703" w:type="dxa"/>
            <w:tcBorders>
              <w:right w:val="single" w:color="000000" w:sz="10" w:space="0"/>
            </w:tcBorders>
            <w:vAlign w:val="top"/>
          </w:tcPr>
          <w:p>
            <w:pPr>
              <w:spacing w:before="62" w:line="197" w:lineRule="auto"/>
              <w:ind w:left="56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3</w:t>
            </w:r>
            <w:r>
              <w:rPr>
                <w:rFonts w:ascii="Times New Roman" w:hAnsi="Times New Roman" w:eastAsia="Times New Roman" w:cs="Times New Roman"/>
                <w:color w:val="auto"/>
                <w:spacing w:val="3"/>
                <w:sz w:val="17"/>
                <w:szCs w:val="17"/>
                <w:highlight w:val="none"/>
              </w:rPr>
              <w:t>0.211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3486" w:type="dxa"/>
            <w:gridSpan w:val="2"/>
            <w:tcBorders>
              <w:left w:val="single" w:color="000000" w:sz="10" w:space="0"/>
            </w:tcBorders>
            <w:vAlign w:val="top"/>
          </w:tcPr>
          <w:p>
            <w:pPr>
              <w:spacing w:line="239" w:lineRule="exact"/>
              <w:ind w:left="1085"/>
              <w:rPr>
                <w:rFonts w:ascii="宋体" w:hAnsi="宋体" w:eastAsia="宋体" w:cs="宋体"/>
                <w:color w:val="auto"/>
                <w:sz w:val="17"/>
                <w:szCs w:val="17"/>
                <w:highlight w:val="none"/>
              </w:rPr>
            </w:pPr>
            <w:r>
              <w:rPr>
                <w:rFonts w:ascii="Times New Roman" w:hAnsi="Times New Roman" w:eastAsia="Times New Roman" w:cs="Times New Roman"/>
                <w:color w:val="auto"/>
                <w:spacing w:val="-2"/>
                <w:position w:val="1"/>
                <w:sz w:val="17"/>
                <w:szCs w:val="17"/>
                <w:highlight w:val="none"/>
              </w:rPr>
              <w:t>220</w:t>
            </w:r>
            <w:r>
              <w:rPr>
                <w:rFonts w:ascii="Times New Roman" w:hAnsi="Times New Roman" w:eastAsia="Times New Roman" w:cs="Times New Roman"/>
                <w:color w:val="auto"/>
                <w:spacing w:val="-1"/>
                <w:position w:val="1"/>
                <w:sz w:val="17"/>
                <w:szCs w:val="17"/>
                <w:highlight w:val="none"/>
              </w:rPr>
              <w:t>kV</w:t>
            </w:r>
            <w:r>
              <w:rPr>
                <w:rFonts w:ascii="Times New Roman" w:hAnsi="Times New Roman" w:eastAsia="Times New Roman" w:cs="Times New Roman"/>
                <w:color w:val="auto"/>
                <w:spacing w:val="-2"/>
                <w:position w:val="1"/>
                <w:sz w:val="17"/>
                <w:szCs w:val="17"/>
                <w:highlight w:val="none"/>
              </w:rPr>
              <w:t xml:space="preserve">  </w:t>
            </w:r>
            <w:r>
              <w:rPr>
                <w:rFonts w:ascii="宋体" w:hAnsi="宋体" w:eastAsia="宋体" w:cs="宋体"/>
                <w:color w:val="auto"/>
                <w:spacing w:val="-2"/>
                <w:position w:val="1"/>
                <w:sz w:val="17"/>
                <w:szCs w:val="17"/>
                <w:highlight w:val="none"/>
              </w:rPr>
              <w:t>鼎丛 Ⅰ</w:t>
            </w:r>
            <w:r>
              <w:rPr>
                <w:rFonts w:ascii="宋体" w:hAnsi="宋体" w:eastAsia="宋体" w:cs="宋体"/>
                <w:color w:val="auto"/>
                <w:spacing w:val="-1"/>
                <w:position w:val="1"/>
                <w:sz w:val="17"/>
                <w:szCs w:val="17"/>
                <w:highlight w:val="none"/>
              </w:rPr>
              <w:t>线</w:t>
            </w:r>
          </w:p>
        </w:tc>
        <w:tc>
          <w:tcPr>
            <w:tcW w:w="1843" w:type="dxa"/>
            <w:vAlign w:val="top"/>
          </w:tcPr>
          <w:p>
            <w:pPr>
              <w:spacing w:before="60" w:line="197" w:lineRule="auto"/>
              <w:ind w:left="67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7</w:t>
            </w:r>
            <w:r>
              <w:rPr>
                <w:rFonts w:ascii="Times New Roman" w:hAnsi="Times New Roman" w:eastAsia="Times New Roman" w:cs="Times New Roman"/>
                <w:color w:val="auto"/>
                <w:spacing w:val="3"/>
                <w:sz w:val="17"/>
                <w:szCs w:val="17"/>
                <w:highlight w:val="none"/>
              </w:rPr>
              <w:t>2.629</w:t>
            </w:r>
          </w:p>
        </w:tc>
        <w:tc>
          <w:tcPr>
            <w:tcW w:w="2190" w:type="dxa"/>
            <w:vAlign w:val="top"/>
          </w:tcPr>
          <w:p>
            <w:pPr>
              <w:spacing w:before="61" w:line="197" w:lineRule="auto"/>
              <w:ind w:left="90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0.041</w:t>
            </w:r>
          </w:p>
        </w:tc>
        <w:tc>
          <w:tcPr>
            <w:tcW w:w="1703" w:type="dxa"/>
            <w:tcBorders>
              <w:right w:val="single" w:color="000000" w:sz="10" w:space="0"/>
            </w:tcBorders>
            <w:vAlign w:val="top"/>
          </w:tcPr>
          <w:p>
            <w:pPr>
              <w:spacing w:before="60" w:line="197" w:lineRule="auto"/>
              <w:ind w:left="58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187.49</w:t>
            </w:r>
            <w:r>
              <w:rPr>
                <w:rFonts w:ascii="Times New Roman" w:hAnsi="Times New Roman" w:eastAsia="Times New Roman" w:cs="Times New Roman"/>
                <w:color w:val="auto"/>
                <w:spacing w:val="1"/>
                <w:sz w:val="17"/>
                <w:szCs w:val="17"/>
                <w:highlight w:val="none"/>
              </w:rPr>
              <w:t>7</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23" w:name="_Toc26954"/>
      <w:r>
        <w:rPr>
          <w:rFonts w:hint="eastAsia" w:ascii="Times New Roman" w:hAnsi="Times New Roman" w:eastAsia="宋体" w:cs="Times New Roman"/>
          <w:snapToGrid/>
          <w:kern w:val="0"/>
          <w:sz w:val="24"/>
          <w:szCs w:val="24"/>
          <w:highlight w:val="none"/>
          <w:lang w:val="en-US" w:eastAsia="zh-CN" w:bidi="ar"/>
        </w:rPr>
        <w:t>(7)监测期环境条件</w:t>
      </w:r>
      <w:bookmarkEnd w:id="123"/>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监测在无雨、无雾、无雪的天气下进行。监测时环境湿度在 80%以下。 (8)监测方法</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《交流输变电工程电磁环境监测方法(试行)》(HJ681-2013)。</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24" w:name="_Toc3887"/>
      <w:r>
        <w:rPr>
          <w:rFonts w:hint="eastAsia" w:ascii="Times New Roman" w:hAnsi="Times New Roman" w:eastAsia="宋体" w:cs="Times New Roman"/>
          <w:snapToGrid/>
          <w:kern w:val="0"/>
          <w:sz w:val="24"/>
          <w:szCs w:val="24"/>
          <w:highlight w:val="none"/>
          <w:lang w:val="en-US" w:eastAsia="zh-CN" w:bidi="ar"/>
        </w:rPr>
        <w:t>(9)类比监测结果分析</w:t>
      </w:r>
      <w:bookmarkEnd w:id="124"/>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鼎功 500kV 变电站监测结果参见表 6. 1-5。</w:t>
      </w:r>
    </w:p>
    <w:p>
      <w:pPr>
        <w:spacing w:before="146" w:line="281" w:lineRule="exact"/>
        <w:ind w:left="1351"/>
        <w:rPr>
          <w:rFonts w:ascii="黑体" w:hAnsi="黑体" w:eastAsia="黑体" w:cs="黑体"/>
          <w:color w:val="auto"/>
          <w:sz w:val="20"/>
          <w:szCs w:val="20"/>
          <w:highlight w:val="none"/>
        </w:rPr>
      </w:pPr>
      <w:r>
        <w:rPr>
          <w:rFonts w:ascii="黑体" w:hAnsi="黑体" w:eastAsia="黑体" w:cs="黑体"/>
          <w:color w:val="auto"/>
          <w:spacing w:val="6"/>
          <w:position w:val="1"/>
          <w:sz w:val="20"/>
          <w:szCs w:val="20"/>
          <w:highlight w:val="none"/>
        </w:rPr>
        <w:t xml:space="preserve">表 </w:t>
      </w:r>
      <w:r>
        <w:rPr>
          <w:rFonts w:ascii="Times New Roman" w:hAnsi="Times New Roman" w:eastAsia="Times New Roman" w:cs="Times New Roman"/>
          <w:color w:val="auto"/>
          <w:spacing w:val="6"/>
          <w:position w:val="1"/>
          <w:sz w:val="20"/>
          <w:szCs w:val="20"/>
          <w:highlight w:val="none"/>
        </w:rPr>
        <w:t>6. 1-</w:t>
      </w:r>
      <w:r>
        <w:rPr>
          <w:rFonts w:ascii="Times New Roman" w:hAnsi="Times New Roman" w:eastAsia="Times New Roman" w:cs="Times New Roman"/>
          <w:color w:val="auto"/>
          <w:spacing w:val="4"/>
          <w:position w:val="1"/>
          <w:sz w:val="20"/>
          <w:szCs w:val="20"/>
          <w:highlight w:val="none"/>
        </w:rPr>
        <w:t>5</w:t>
      </w:r>
      <w:r>
        <w:rPr>
          <w:rFonts w:ascii="Times New Roman" w:hAnsi="Times New Roman" w:eastAsia="Times New Roman" w:cs="Times New Roman"/>
          <w:color w:val="auto"/>
          <w:spacing w:val="3"/>
          <w:position w:val="1"/>
          <w:sz w:val="20"/>
          <w:szCs w:val="20"/>
          <w:highlight w:val="none"/>
        </w:rPr>
        <w:t xml:space="preserve">    </w:t>
      </w:r>
      <w:r>
        <w:rPr>
          <w:rFonts w:ascii="黑体" w:hAnsi="黑体" w:eastAsia="黑体" w:cs="黑体"/>
          <w:color w:val="auto"/>
          <w:spacing w:val="3"/>
          <w:position w:val="1"/>
          <w:sz w:val="20"/>
          <w:szCs w:val="20"/>
          <w:highlight w:val="none"/>
        </w:rPr>
        <w:t xml:space="preserve">鼎功 </w:t>
      </w:r>
      <w:r>
        <w:rPr>
          <w:rFonts w:ascii="Times New Roman" w:hAnsi="Times New Roman" w:eastAsia="Times New Roman" w:cs="Times New Roman"/>
          <w:color w:val="auto"/>
          <w:spacing w:val="3"/>
          <w:position w:val="1"/>
          <w:sz w:val="20"/>
          <w:szCs w:val="20"/>
          <w:highlight w:val="none"/>
        </w:rPr>
        <w:t>500</w:t>
      </w:r>
      <w:r>
        <w:rPr>
          <w:rFonts w:ascii="Times New Roman" w:hAnsi="Times New Roman" w:eastAsia="Times New Roman" w:cs="Times New Roman"/>
          <w:color w:val="auto"/>
          <w:position w:val="1"/>
          <w:sz w:val="20"/>
          <w:szCs w:val="20"/>
          <w:highlight w:val="none"/>
        </w:rPr>
        <w:t>kV</w:t>
      </w:r>
      <w:r>
        <w:rPr>
          <w:rFonts w:ascii="Times New Roman" w:hAnsi="Times New Roman" w:eastAsia="Times New Roman" w:cs="Times New Roman"/>
          <w:color w:val="auto"/>
          <w:spacing w:val="3"/>
          <w:position w:val="1"/>
          <w:sz w:val="20"/>
          <w:szCs w:val="20"/>
          <w:highlight w:val="none"/>
        </w:rPr>
        <w:t xml:space="preserve"> </w:t>
      </w:r>
      <w:r>
        <w:rPr>
          <w:rFonts w:ascii="黑体" w:hAnsi="黑体" w:eastAsia="黑体" w:cs="黑体"/>
          <w:color w:val="auto"/>
          <w:spacing w:val="3"/>
          <w:position w:val="1"/>
          <w:sz w:val="20"/>
          <w:szCs w:val="20"/>
          <w:highlight w:val="none"/>
        </w:rPr>
        <w:t>变电站工频电场强度、工频磁感应强度监测结果</w:t>
      </w:r>
    </w:p>
    <w:p>
      <w:pPr>
        <w:spacing w:line="134" w:lineRule="exact"/>
        <w:rPr>
          <w:color w:val="auto"/>
          <w:highlight w:val="none"/>
        </w:rPr>
      </w:pPr>
    </w:p>
    <w:tbl>
      <w:tblPr>
        <w:tblStyle w:val="20"/>
        <w:tblW w:w="90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5"/>
        <w:gridCol w:w="3531"/>
        <w:gridCol w:w="2315"/>
        <w:gridCol w:w="2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1005" w:type="dxa"/>
            <w:tcBorders>
              <w:left w:val="single" w:color="000000" w:sz="10" w:space="0"/>
            </w:tcBorders>
            <w:vAlign w:val="top"/>
          </w:tcPr>
          <w:p>
            <w:pPr>
              <w:spacing w:before="51" w:line="229" w:lineRule="auto"/>
              <w:ind w:left="310"/>
              <w:rPr>
                <w:rFonts w:ascii="宋体" w:hAnsi="宋体" w:eastAsia="宋体" w:cs="宋体"/>
                <w:color w:val="auto"/>
                <w:sz w:val="17"/>
                <w:szCs w:val="17"/>
                <w:highlight w:val="none"/>
              </w:rPr>
            </w:pPr>
            <w:r>
              <w:rPr>
                <w:rFonts w:ascii="宋体" w:hAnsi="宋体" w:eastAsia="宋体" w:cs="宋体"/>
                <w:color w:val="auto"/>
                <w:spacing w:val="7"/>
                <w:sz w:val="17"/>
                <w:szCs w:val="17"/>
                <w:highlight w:val="none"/>
              </w:rPr>
              <w:t>序</w:t>
            </w:r>
            <w:r>
              <w:rPr>
                <w:rFonts w:ascii="宋体" w:hAnsi="宋体" w:eastAsia="宋体" w:cs="宋体"/>
                <w:color w:val="auto"/>
                <w:spacing w:val="6"/>
                <w:sz w:val="17"/>
                <w:szCs w:val="17"/>
                <w:highlight w:val="none"/>
              </w:rPr>
              <w:t>号</w:t>
            </w:r>
          </w:p>
        </w:tc>
        <w:tc>
          <w:tcPr>
            <w:tcW w:w="3531" w:type="dxa"/>
            <w:vAlign w:val="top"/>
          </w:tcPr>
          <w:p>
            <w:pPr>
              <w:spacing w:before="51" w:line="229" w:lineRule="auto"/>
              <w:ind w:left="1413"/>
              <w:rPr>
                <w:rFonts w:ascii="宋体" w:hAnsi="宋体" w:eastAsia="宋体" w:cs="宋体"/>
                <w:color w:val="auto"/>
                <w:sz w:val="17"/>
                <w:szCs w:val="17"/>
                <w:highlight w:val="none"/>
              </w:rPr>
            </w:pPr>
            <w:r>
              <w:rPr>
                <w:rFonts w:ascii="宋体" w:hAnsi="宋体" w:eastAsia="宋体" w:cs="宋体"/>
                <w:color w:val="auto"/>
                <w:spacing w:val="6"/>
                <w:sz w:val="17"/>
                <w:szCs w:val="17"/>
                <w:highlight w:val="none"/>
              </w:rPr>
              <w:t>点位描</w:t>
            </w:r>
            <w:r>
              <w:rPr>
                <w:rFonts w:ascii="宋体" w:hAnsi="宋体" w:eastAsia="宋体" w:cs="宋体"/>
                <w:color w:val="auto"/>
                <w:spacing w:val="5"/>
                <w:sz w:val="17"/>
                <w:szCs w:val="17"/>
                <w:highlight w:val="none"/>
              </w:rPr>
              <w:t>述</w:t>
            </w:r>
          </w:p>
        </w:tc>
        <w:tc>
          <w:tcPr>
            <w:tcW w:w="2315" w:type="dxa"/>
            <w:vAlign w:val="top"/>
          </w:tcPr>
          <w:p>
            <w:pPr>
              <w:spacing w:before="18" w:line="242" w:lineRule="exact"/>
              <w:ind w:left="407"/>
              <w:rPr>
                <w:rFonts w:ascii="Times New Roman" w:hAnsi="Times New Roman" w:eastAsia="Times New Roman" w:cs="Times New Roman"/>
                <w:color w:val="auto"/>
                <w:sz w:val="17"/>
                <w:szCs w:val="17"/>
                <w:highlight w:val="none"/>
              </w:rPr>
            </w:pPr>
            <w:r>
              <w:rPr>
                <w:rFonts w:ascii="宋体" w:hAnsi="宋体" w:eastAsia="宋体" w:cs="宋体"/>
                <w:color w:val="auto"/>
                <w:spacing w:val="10"/>
                <w:position w:val="2"/>
                <w:sz w:val="17"/>
                <w:szCs w:val="17"/>
                <w:highlight w:val="none"/>
              </w:rPr>
              <w:t>工</w:t>
            </w:r>
            <w:r>
              <w:rPr>
                <w:rFonts w:ascii="宋体" w:hAnsi="宋体" w:eastAsia="宋体" w:cs="宋体"/>
                <w:color w:val="auto"/>
                <w:spacing w:val="8"/>
                <w:position w:val="2"/>
                <w:sz w:val="17"/>
                <w:szCs w:val="17"/>
                <w:highlight w:val="none"/>
              </w:rPr>
              <w:t>频电场强度</w:t>
            </w:r>
            <w:r>
              <w:rPr>
                <w:rFonts w:ascii="Times New Roman" w:hAnsi="Times New Roman" w:eastAsia="Times New Roman" w:cs="Times New Roman"/>
                <w:color w:val="auto"/>
                <w:spacing w:val="8"/>
                <w:position w:val="2"/>
                <w:sz w:val="17"/>
                <w:szCs w:val="17"/>
                <w:highlight w:val="none"/>
              </w:rPr>
              <w:t>(</w:t>
            </w:r>
            <w:r>
              <w:rPr>
                <w:rFonts w:ascii="Times New Roman" w:hAnsi="Times New Roman" w:eastAsia="Times New Roman" w:cs="Times New Roman"/>
                <w:color w:val="auto"/>
                <w:position w:val="2"/>
                <w:sz w:val="17"/>
                <w:szCs w:val="17"/>
                <w:highlight w:val="none"/>
              </w:rPr>
              <w:t>V</w:t>
            </w:r>
            <w:r>
              <w:rPr>
                <w:rFonts w:ascii="Times New Roman" w:hAnsi="Times New Roman" w:eastAsia="Times New Roman" w:cs="Times New Roman"/>
                <w:color w:val="auto"/>
                <w:spacing w:val="8"/>
                <w:position w:val="2"/>
                <w:sz w:val="17"/>
                <w:szCs w:val="17"/>
                <w:highlight w:val="none"/>
              </w:rPr>
              <w:t>/</w:t>
            </w:r>
            <w:r>
              <w:rPr>
                <w:rFonts w:ascii="Times New Roman" w:hAnsi="Times New Roman" w:eastAsia="Times New Roman" w:cs="Times New Roman"/>
                <w:color w:val="auto"/>
                <w:position w:val="2"/>
                <w:sz w:val="17"/>
                <w:szCs w:val="17"/>
                <w:highlight w:val="none"/>
              </w:rPr>
              <w:t>m</w:t>
            </w:r>
            <w:r>
              <w:rPr>
                <w:rFonts w:ascii="Times New Roman" w:hAnsi="Times New Roman" w:eastAsia="Times New Roman" w:cs="Times New Roman"/>
                <w:color w:val="auto"/>
                <w:spacing w:val="8"/>
                <w:position w:val="2"/>
                <w:sz w:val="17"/>
                <w:szCs w:val="17"/>
                <w:highlight w:val="none"/>
              </w:rPr>
              <w:t>)</w:t>
            </w:r>
          </w:p>
        </w:tc>
        <w:tc>
          <w:tcPr>
            <w:tcW w:w="2224" w:type="dxa"/>
            <w:tcBorders>
              <w:right w:val="single" w:color="000000" w:sz="10" w:space="0"/>
            </w:tcBorders>
            <w:vAlign w:val="top"/>
          </w:tcPr>
          <w:p>
            <w:pPr>
              <w:spacing w:before="18" w:line="242" w:lineRule="exact"/>
              <w:ind w:left="331"/>
              <w:rPr>
                <w:rFonts w:ascii="Times New Roman" w:hAnsi="Times New Roman" w:eastAsia="Times New Roman" w:cs="Times New Roman"/>
                <w:color w:val="auto"/>
                <w:sz w:val="17"/>
                <w:szCs w:val="17"/>
                <w:highlight w:val="none"/>
              </w:rPr>
            </w:pPr>
            <w:r>
              <w:rPr>
                <w:rFonts w:ascii="宋体" w:hAnsi="宋体" w:eastAsia="宋体" w:cs="宋体"/>
                <w:color w:val="auto"/>
                <w:spacing w:val="12"/>
                <w:position w:val="2"/>
                <w:sz w:val="17"/>
                <w:szCs w:val="17"/>
                <w:highlight w:val="none"/>
              </w:rPr>
              <w:t>工</w:t>
            </w:r>
            <w:r>
              <w:rPr>
                <w:rFonts w:ascii="宋体" w:hAnsi="宋体" w:eastAsia="宋体" w:cs="宋体"/>
                <w:color w:val="auto"/>
                <w:spacing w:val="7"/>
                <w:position w:val="2"/>
                <w:sz w:val="17"/>
                <w:szCs w:val="17"/>
                <w:highlight w:val="none"/>
              </w:rPr>
              <w:t>频磁感应强度</w:t>
            </w:r>
            <w:r>
              <w:rPr>
                <w:rFonts w:ascii="Times New Roman" w:hAnsi="Times New Roman" w:eastAsia="Times New Roman" w:cs="Times New Roman"/>
                <w:color w:val="auto"/>
                <w:spacing w:val="7"/>
                <w:position w:val="2"/>
                <w:sz w:val="17"/>
                <w:szCs w:val="17"/>
                <w:highlight w:val="none"/>
              </w:rPr>
              <w:t>(</w:t>
            </w:r>
            <w:r>
              <w:rPr>
                <w:rFonts w:ascii="宋体" w:hAnsi="宋体" w:eastAsia="宋体" w:cs="宋体"/>
                <w:color w:val="auto"/>
                <w:spacing w:val="7"/>
                <w:position w:val="2"/>
                <w:sz w:val="17"/>
                <w:szCs w:val="17"/>
                <w:highlight w:val="none"/>
              </w:rPr>
              <w:t>µ</w:t>
            </w:r>
            <w:r>
              <w:rPr>
                <w:rFonts w:ascii="Times New Roman" w:hAnsi="Times New Roman" w:eastAsia="Times New Roman" w:cs="Times New Roman"/>
                <w:color w:val="auto"/>
                <w:position w:val="2"/>
                <w:sz w:val="17"/>
                <w:szCs w:val="17"/>
                <w:highlight w:val="none"/>
              </w:rPr>
              <w:t>T</w:t>
            </w:r>
            <w:r>
              <w:rPr>
                <w:rFonts w:ascii="Times New Roman" w:hAnsi="Times New Roman" w:eastAsia="Times New Roman" w:cs="Times New Roman"/>
                <w:color w:val="auto"/>
                <w:spacing w:val="7"/>
                <w:position w:val="2"/>
                <w:sz w:val="17"/>
                <w:szCs w:val="17"/>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9075" w:type="dxa"/>
            <w:gridSpan w:val="4"/>
            <w:tcBorders>
              <w:left w:val="single" w:color="000000" w:sz="10" w:space="0"/>
              <w:right w:val="single" w:color="000000" w:sz="10" w:space="0"/>
            </w:tcBorders>
            <w:vAlign w:val="top"/>
          </w:tcPr>
          <w:p>
            <w:pPr>
              <w:spacing w:before="28" w:line="229" w:lineRule="auto"/>
              <w:ind w:left="4353"/>
              <w:rPr>
                <w:rFonts w:ascii="宋体" w:hAnsi="宋体" w:eastAsia="宋体" w:cs="宋体"/>
                <w:color w:val="auto"/>
                <w:sz w:val="17"/>
                <w:szCs w:val="17"/>
                <w:highlight w:val="none"/>
              </w:rPr>
            </w:pPr>
            <w:r>
              <w:rPr>
                <w:rFonts w:ascii="宋体" w:hAnsi="宋体" w:eastAsia="宋体" w:cs="宋体"/>
                <w:color w:val="auto"/>
                <w:spacing w:val="6"/>
                <w:sz w:val="17"/>
                <w:szCs w:val="17"/>
                <w:highlight w:val="none"/>
              </w:rPr>
              <w:t>站界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57" w:line="197" w:lineRule="auto"/>
              <w:ind w:left="46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1</w:t>
            </w:r>
          </w:p>
        </w:tc>
        <w:tc>
          <w:tcPr>
            <w:tcW w:w="3531" w:type="dxa"/>
            <w:vAlign w:val="top"/>
          </w:tcPr>
          <w:p>
            <w:pPr>
              <w:spacing w:before="27" w:line="229" w:lineRule="auto"/>
              <w:ind w:left="1339"/>
              <w:rPr>
                <w:rFonts w:ascii="Times New Roman" w:hAnsi="Times New Roman" w:eastAsia="Times New Roman" w:cs="Times New Roman"/>
                <w:color w:val="auto"/>
                <w:sz w:val="17"/>
                <w:szCs w:val="17"/>
                <w:highlight w:val="none"/>
              </w:rPr>
            </w:pPr>
            <w:r>
              <w:rPr>
                <w:rFonts w:ascii="宋体" w:hAnsi="宋体" w:eastAsia="宋体" w:cs="宋体"/>
                <w:color w:val="auto"/>
                <w:spacing w:val="2"/>
                <w:sz w:val="17"/>
                <w:szCs w:val="17"/>
                <w:highlight w:val="none"/>
              </w:rPr>
              <w:t xml:space="preserve">厂界东侧 </w:t>
            </w:r>
            <w:r>
              <w:rPr>
                <w:rFonts w:ascii="Times New Roman" w:hAnsi="Times New Roman" w:eastAsia="Times New Roman" w:cs="Times New Roman"/>
                <w:color w:val="auto"/>
                <w:spacing w:val="2"/>
                <w:sz w:val="17"/>
                <w:szCs w:val="17"/>
                <w:highlight w:val="none"/>
              </w:rPr>
              <w:t>1</w:t>
            </w:r>
          </w:p>
        </w:tc>
        <w:tc>
          <w:tcPr>
            <w:tcW w:w="2315" w:type="dxa"/>
            <w:vAlign w:val="top"/>
          </w:tcPr>
          <w:p>
            <w:pPr>
              <w:spacing w:before="57" w:line="197" w:lineRule="auto"/>
              <w:ind w:left="95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89.9</w:t>
            </w:r>
          </w:p>
        </w:tc>
        <w:tc>
          <w:tcPr>
            <w:tcW w:w="2224" w:type="dxa"/>
            <w:tcBorders>
              <w:right w:val="single" w:color="000000" w:sz="10" w:space="0"/>
            </w:tcBorders>
            <w:vAlign w:val="top"/>
          </w:tcPr>
          <w:p>
            <w:pPr>
              <w:spacing w:before="58"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0.284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8" w:hRule="atLeast"/>
        </w:trPr>
        <w:tc>
          <w:tcPr>
            <w:tcW w:w="1005" w:type="dxa"/>
            <w:tcBorders>
              <w:left w:val="single" w:color="000000" w:sz="10" w:space="0"/>
            </w:tcBorders>
            <w:vAlign w:val="top"/>
          </w:tcPr>
          <w:p>
            <w:pPr>
              <w:spacing w:before="45" w:line="197" w:lineRule="auto"/>
              <w:ind w:left="44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2</w:t>
            </w:r>
          </w:p>
        </w:tc>
        <w:tc>
          <w:tcPr>
            <w:tcW w:w="3531" w:type="dxa"/>
            <w:vAlign w:val="top"/>
          </w:tcPr>
          <w:p>
            <w:pPr>
              <w:spacing w:before="28" w:line="227" w:lineRule="auto"/>
              <w:ind w:left="1339"/>
              <w:rPr>
                <w:rFonts w:ascii="Times New Roman" w:hAnsi="Times New Roman" w:eastAsia="Times New Roman" w:cs="Times New Roman"/>
                <w:color w:val="auto"/>
                <w:sz w:val="17"/>
                <w:szCs w:val="17"/>
                <w:highlight w:val="none"/>
              </w:rPr>
            </w:pPr>
            <w:r>
              <w:rPr>
                <w:rFonts w:ascii="宋体" w:hAnsi="宋体" w:eastAsia="宋体" w:cs="宋体"/>
                <w:color w:val="auto"/>
                <w:spacing w:val="-1"/>
                <w:sz w:val="17"/>
                <w:szCs w:val="17"/>
                <w:highlight w:val="none"/>
              </w:rPr>
              <w:t>厂界东侧</w:t>
            </w:r>
            <w:r>
              <w:rPr>
                <w:rFonts w:ascii="宋体" w:hAnsi="宋体" w:eastAsia="宋体" w:cs="宋体"/>
                <w:color w:val="auto"/>
                <w:sz w:val="17"/>
                <w:szCs w:val="17"/>
                <w:highlight w:val="none"/>
              </w:rPr>
              <w:t xml:space="preserve"> </w:t>
            </w:r>
            <w:r>
              <w:rPr>
                <w:rFonts w:ascii="Times New Roman" w:hAnsi="Times New Roman" w:eastAsia="Times New Roman" w:cs="Times New Roman"/>
                <w:color w:val="auto"/>
                <w:sz w:val="17"/>
                <w:szCs w:val="17"/>
                <w:highlight w:val="none"/>
              </w:rPr>
              <w:t>2</w:t>
            </w:r>
          </w:p>
        </w:tc>
        <w:tc>
          <w:tcPr>
            <w:tcW w:w="2315" w:type="dxa"/>
            <w:vAlign w:val="top"/>
          </w:tcPr>
          <w:p>
            <w:pPr>
              <w:spacing w:before="45" w:line="197" w:lineRule="auto"/>
              <w:ind w:left="100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71.</w:t>
            </w:r>
            <w:r>
              <w:rPr>
                <w:rFonts w:ascii="Times New Roman" w:hAnsi="Times New Roman" w:eastAsia="Times New Roman" w:cs="Times New Roman"/>
                <w:color w:val="auto"/>
                <w:spacing w:val="2"/>
                <w:sz w:val="17"/>
                <w:szCs w:val="17"/>
                <w:highlight w:val="none"/>
              </w:rPr>
              <w:t>2</w:t>
            </w:r>
          </w:p>
        </w:tc>
        <w:tc>
          <w:tcPr>
            <w:tcW w:w="2224" w:type="dxa"/>
            <w:tcBorders>
              <w:right w:val="single" w:color="000000" w:sz="10" w:space="0"/>
            </w:tcBorders>
            <w:vAlign w:val="top"/>
          </w:tcPr>
          <w:p>
            <w:pPr>
              <w:spacing w:before="45"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0.688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8" w:hRule="atLeast"/>
        </w:trPr>
        <w:tc>
          <w:tcPr>
            <w:tcW w:w="1005" w:type="dxa"/>
            <w:tcBorders>
              <w:left w:val="single" w:color="000000" w:sz="10" w:space="0"/>
            </w:tcBorders>
            <w:vAlign w:val="top"/>
          </w:tcPr>
          <w:p>
            <w:pPr>
              <w:spacing w:before="44" w:line="197" w:lineRule="auto"/>
              <w:ind w:left="44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3</w:t>
            </w:r>
          </w:p>
        </w:tc>
        <w:tc>
          <w:tcPr>
            <w:tcW w:w="3531" w:type="dxa"/>
            <w:vAlign w:val="top"/>
          </w:tcPr>
          <w:p>
            <w:pPr>
              <w:spacing w:before="28" w:line="228" w:lineRule="auto"/>
              <w:ind w:left="1339"/>
              <w:rPr>
                <w:rFonts w:ascii="Times New Roman" w:hAnsi="Times New Roman" w:eastAsia="Times New Roman" w:cs="Times New Roman"/>
                <w:color w:val="auto"/>
                <w:sz w:val="17"/>
                <w:szCs w:val="17"/>
                <w:highlight w:val="none"/>
              </w:rPr>
            </w:pPr>
            <w:r>
              <w:rPr>
                <w:rFonts w:ascii="宋体" w:hAnsi="宋体" w:eastAsia="宋体" w:cs="宋体"/>
                <w:color w:val="auto"/>
                <w:spacing w:val="2"/>
                <w:sz w:val="17"/>
                <w:szCs w:val="17"/>
                <w:highlight w:val="none"/>
              </w:rPr>
              <w:t xml:space="preserve">厂界南侧 </w:t>
            </w:r>
            <w:r>
              <w:rPr>
                <w:rFonts w:ascii="Times New Roman" w:hAnsi="Times New Roman" w:eastAsia="Times New Roman" w:cs="Times New Roman"/>
                <w:color w:val="auto"/>
                <w:spacing w:val="2"/>
                <w:sz w:val="17"/>
                <w:szCs w:val="17"/>
                <w:highlight w:val="none"/>
              </w:rPr>
              <w:t>1</w:t>
            </w:r>
          </w:p>
        </w:tc>
        <w:tc>
          <w:tcPr>
            <w:tcW w:w="2315" w:type="dxa"/>
            <w:vAlign w:val="top"/>
          </w:tcPr>
          <w:p>
            <w:pPr>
              <w:spacing w:before="44" w:line="197" w:lineRule="auto"/>
              <w:ind w:left="95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98.2</w:t>
            </w:r>
          </w:p>
        </w:tc>
        <w:tc>
          <w:tcPr>
            <w:tcW w:w="2224" w:type="dxa"/>
            <w:tcBorders>
              <w:right w:val="single" w:color="000000" w:sz="10" w:space="0"/>
            </w:tcBorders>
            <w:vAlign w:val="top"/>
          </w:tcPr>
          <w:p>
            <w:pPr>
              <w:spacing w:before="45"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0.503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44" w:line="197" w:lineRule="auto"/>
              <w:ind w:left="44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4</w:t>
            </w:r>
          </w:p>
        </w:tc>
        <w:tc>
          <w:tcPr>
            <w:tcW w:w="3531" w:type="dxa"/>
            <w:vAlign w:val="top"/>
          </w:tcPr>
          <w:p>
            <w:pPr>
              <w:spacing w:before="27" w:line="229" w:lineRule="auto"/>
              <w:ind w:left="1339"/>
              <w:rPr>
                <w:rFonts w:ascii="Times New Roman" w:hAnsi="Times New Roman" w:eastAsia="Times New Roman" w:cs="Times New Roman"/>
                <w:color w:val="auto"/>
                <w:sz w:val="17"/>
                <w:szCs w:val="17"/>
                <w:highlight w:val="none"/>
              </w:rPr>
            </w:pPr>
            <w:r>
              <w:rPr>
                <w:rFonts w:ascii="宋体" w:hAnsi="宋体" w:eastAsia="宋体" w:cs="宋体"/>
                <w:color w:val="auto"/>
                <w:spacing w:val="-1"/>
                <w:sz w:val="17"/>
                <w:szCs w:val="17"/>
                <w:highlight w:val="none"/>
              </w:rPr>
              <w:t>厂界南侧</w:t>
            </w:r>
            <w:r>
              <w:rPr>
                <w:rFonts w:ascii="宋体" w:hAnsi="宋体" w:eastAsia="宋体" w:cs="宋体"/>
                <w:color w:val="auto"/>
                <w:sz w:val="17"/>
                <w:szCs w:val="17"/>
                <w:highlight w:val="none"/>
              </w:rPr>
              <w:t xml:space="preserve"> </w:t>
            </w:r>
            <w:r>
              <w:rPr>
                <w:rFonts w:ascii="Times New Roman" w:hAnsi="Times New Roman" w:eastAsia="Times New Roman" w:cs="Times New Roman"/>
                <w:color w:val="auto"/>
                <w:sz w:val="17"/>
                <w:szCs w:val="17"/>
                <w:highlight w:val="none"/>
              </w:rPr>
              <w:t>2</w:t>
            </w:r>
          </w:p>
        </w:tc>
        <w:tc>
          <w:tcPr>
            <w:tcW w:w="2315" w:type="dxa"/>
            <w:vAlign w:val="top"/>
          </w:tcPr>
          <w:p>
            <w:pPr>
              <w:spacing w:before="44" w:line="197" w:lineRule="auto"/>
              <w:ind w:left="95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495. 1</w:t>
            </w:r>
          </w:p>
        </w:tc>
        <w:tc>
          <w:tcPr>
            <w:tcW w:w="2224" w:type="dxa"/>
            <w:tcBorders>
              <w:right w:val="single" w:color="000000" w:sz="10" w:space="0"/>
            </w:tcBorders>
            <w:vAlign w:val="top"/>
          </w:tcPr>
          <w:p>
            <w:pPr>
              <w:spacing w:before="44" w:line="200" w:lineRule="auto"/>
              <w:ind w:left="91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3"/>
                <w:sz w:val="17"/>
                <w:szCs w:val="17"/>
                <w:highlight w:val="none"/>
              </w:rPr>
              <w:t>.778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005" w:type="dxa"/>
            <w:tcBorders>
              <w:left w:val="single" w:color="000000" w:sz="10" w:space="0"/>
            </w:tcBorders>
            <w:vAlign w:val="top"/>
          </w:tcPr>
          <w:p>
            <w:pPr>
              <w:spacing w:before="48" w:line="194" w:lineRule="auto"/>
              <w:ind w:left="44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5</w:t>
            </w:r>
          </w:p>
        </w:tc>
        <w:tc>
          <w:tcPr>
            <w:tcW w:w="3531" w:type="dxa"/>
            <w:vAlign w:val="top"/>
          </w:tcPr>
          <w:p>
            <w:pPr>
              <w:spacing w:before="29" w:line="228" w:lineRule="auto"/>
              <w:ind w:left="1339"/>
              <w:rPr>
                <w:rFonts w:ascii="Times New Roman" w:hAnsi="Times New Roman" w:eastAsia="Times New Roman" w:cs="Times New Roman"/>
                <w:color w:val="auto"/>
                <w:sz w:val="17"/>
                <w:szCs w:val="17"/>
                <w:highlight w:val="none"/>
              </w:rPr>
            </w:pPr>
            <w:r>
              <w:rPr>
                <w:rFonts w:ascii="宋体" w:hAnsi="宋体" w:eastAsia="宋体" w:cs="宋体"/>
                <w:color w:val="auto"/>
                <w:spacing w:val="2"/>
                <w:sz w:val="17"/>
                <w:szCs w:val="17"/>
                <w:highlight w:val="none"/>
              </w:rPr>
              <w:t xml:space="preserve">厂界西侧 </w:t>
            </w:r>
            <w:r>
              <w:rPr>
                <w:rFonts w:ascii="Times New Roman" w:hAnsi="Times New Roman" w:eastAsia="Times New Roman" w:cs="Times New Roman"/>
                <w:color w:val="auto"/>
                <w:spacing w:val="2"/>
                <w:sz w:val="17"/>
                <w:szCs w:val="17"/>
                <w:highlight w:val="none"/>
              </w:rPr>
              <w:t>1</w:t>
            </w:r>
          </w:p>
        </w:tc>
        <w:tc>
          <w:tcPr>
            <w:tcW w:w="2315" w:type="dxa"/>
            <w:vAlign w:val="top"/>
          </w:tcPr>
          <w:p>
            <w:pPr>
              <w:spacing w:before="46" w:line="197" w:lineRule="auto"/>
              <w:ind w:left="97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120</w:t>
            </w:r>
            <w:r>
              <w:rPr>
                <w:rFonts w:ascii="Times New Roman" w:hAnsi="Times New Roman" w:eastAsia="Times New Roman" w:cs="Times New Roman"/>
                <w:color w:val="auto"/>
                <w:sz w:val="17"/>
                <w:szCs w:val="17"/>
                <w:highlight w:val="none"/>
              </w:rPr>
              <w:t>.2</w:t>
            </w:r>
          </w:p>
        </w:tc>
        <w:tc>
          <w:tcPr>
            <w:tcW w:w="2224" w:type="dxa"/>
            <w:tcBorders>
              <w:right w:val="single" w:color="000000" w:sz="10" w:space="0"/>
            </w:tcBorders>
            <w:vAlign w:val="top"/>
          </w:tcPr>
          <w:p>
            <w:pPr>
              <w:spacing w:before="45" w:line="200" w:lineRule="auto"/>
              <w:ind w:left="91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4</w:t>
            </w:r>
            <w:r>
              <w:rPr>
                <w:rFonts w:ascii="Times New Roman" w:hAnsi="Times New Roman" w:eastAsia="Times New Roman" w:cs="Times New Roman"/>
                <w:color w:val="auto"/>
                <w:spacing w:val="3"/>
                <w:sz w:val="17"/>
                <w:szCs w:val="17"/>
                <w:highlight w:val="none"/>
              </w:rPr>
              <w:t>.801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005" w:type="dxa"/>
            <w:tcBorders>
              <w:left w:val="single" w:color="000000" w:sz="10" w:space="0"/>
            </w:tcBorders>
            <w:vAlign w:val="top"/>
          </w:tcPr>
          <w:p>
            <w:pPr>
              <w:spacing w:before="44" w:line="197" w:lineRule="auto"/>
              <w:ind w:left="44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6</w:t>
            </w:r>
          </w:p>
        </w:tc>
        <w:tc>
          <w:tcPr>
            <w:tcW w:w="3531" w:type="dxa"/>
            <w:vAlign w:val="top"/>
          </w:tcPr>
          <w:p>
            <w:pPr>
              <w:spacing w:before="27" w:line="227" w:lineRule="auto"/>
              <w:ind w:left="1339"/>
              <w:rPr>
                <w:rFonts w:ascii="Times New Roman" w:hAnsi="Times New Roman" w:eastAsia="Times New Roman" w:cs="Times New Roman"/>
                <w:color w:val="auto"/>
                <w:sz w:val="17"/>
                <w:szCs w:val="17"/>
                <w:highlight w:val="none"/>
              </w:rPr>
            </w:pPr>
            <w:r>
              <w:rPr>
                <w:rFonts w:ascii="宋体" w:hAnsi="宋体" w:eastAsia="宋体" w:cs="宋体"/>
                <w:color w:val="auto"/>
                <w:spacing w:val="-1"/>
                <w:sz w:val="17"/>
                <w:szCs w:val="17"/>
                <w:highlight w:val="none"/>
              </w:rPr>
              <w:t>厂界西侧</w:t>
            </w:r>
            <w:r>
              <w:rPr>
                <w:rFonts w:ascii="宋体" w:hAnsi="宋体" w:eastAsia="宋体" w:cs="宋体"/>
                <w:color w:val="auto"/>
                <w:sz w:val="17"/>
                <w:szCs w:val="17"/>
                <w:highlight w:val="none"/>
              </w:rPr>
              <w:t xml:space="preserve"> </w:t>
            </w:r>
            <w:r>
              <w:rPr>
                <w:rFonts w:ascii="Times New Roman" w:hAnsi="Times New Roman" w:eastAsia="Times New Roman" w:cs="Times New Roman"/>
                <w:color w:val="auto"/>
                <w:sz w:val="17"/>
                <w:szCs w:val="17"/>
                <w:highlight w:val="none"/>
              </w:rPr>
              <w:t>2</w:t>
            </w:r>
          </w:p>
        </w:tc>
        <w:tc>
          <w:tcPr>
            <w:tcW w:w="2315" w:type="dxa"/>
            <w:vAlign w:val="top"/>
          </w:tcPr>
          <w:p>
            <w:pPr>
              <w:spacing w:before="44" w:line="197" w:lineRule="auto"/>
              <w:ind w:left="97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168. 1</w:t>
            </w:r>
          </w:p>
        </w:tc>
        <w:tc>
          <w:tcPr>
            <w:tcW w:w="2224" w:type="dxa"/>
            <w:tcBorders>
              <w:right w:val="single" w:color="000000" w:sz="10" w:space="0"/>
            </w:tcBorders>
            <w:vAlign w:val="top"/>
          </w:tcPr>
          <w:p>
            <w:pPr>
              <w:spacing w:before="44" w:line="197" w:lineRule="auto"/>
              <w:ind w:left="88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0.221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005" w:type="dxa"/>
            <w:tcBorders>
              <w:left w:val="single" w:color="000000" w:sz="10" w:space="0"/>
            </w:tcBorders>
            <w:vAlign w:val="top"/>
          </w:tcPr>
          <w:p>
            <w:pPr>
              <w:spacing w:before="49" w:line="194" w:lineRule="auto"/>
              <w:ind w:left="4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7</w:t>
            </w:r>
          </w:p>
        </w:tc>
        <w:tc>
          <w:tcPr>
            <w:tcW w:w="3531" w:type="dxa"/>
            <w:vAlign w:val="top"/>
          </w:tcPr>
          <w:p>
            <w:pPr>
              <w:spacing w:before="30" w:line="226" w:lineRule="auto"/>
              <w:ind w:left="1339"/>
              <w:rPr>
                <w:rFonts w:ascii="Times New Roman" w:hAnsi="Times New Roman" w:eastAsia="Times New Roman" w:cs="Times New Roman"/>
                <w:color w:val="auto"/>
                <w:sz w:val="17"/>
                <w:szCs w:val="17"/>
                <w:highlight w:val="none"/>
              </w:rPr>
            </w:pPr>
            <w:r>
              <w:rPr>
                <w:rFonts w:ascii="宋体" w:hAnsi="宋体" w:eastAsia="宋体" w:cs="宋体"/>
                <w:color w:val="auto"/>
                <w:spacing w:val="-1"/>
                <w:sz w:val="17"/>
                <w:szCs w:val="17"/>
                <w:highlight w:val="none"/>
              </w:rPr>
              <w:t>厂界</w:t>
            </w:r>
            <w:r>
              <w:rPr>
                <w:rFonts w:ascii="宋体" w:hAnsi="宋体" w:eastAsia="宋体" w:cs="宋体"/>
                <w:color w:val="auto"/>
                <w:sz w:val="17"/>
                <w:szCs w:val="17"/>
                <w:highlight w:val="none"/>
              </w:rPr>
              <w:t xml:space="preserve">西侧 </w:t>
            </w:r>
            <w:r>
              <w:rPr>
                <w:rFonts w:ascii="Times New Roman" w:hAnsi="Times New Roman" w:eastAsia="Times New Roman" w:cs="Times New Roman"/>
                <w:color w:val="auto"/>
                <w:sz w:val="17"/>
                <w:szCs w:val="17"/>
                <w:highlight w:val="none"/>
              </w:rPr>
              <w:t>3</w:t>
            </w:r>
          </w:p>
        </w:tc>
        <w:tc>
          <w:tcPr>
            <w:tcW w:w="2315" w:type="dxa"/>
            <w:vAlign w:val="top"/>
          </w:tcPr>
          <w:p>
            <w:pPr>
              <w:spacing w:before="47" w:line="197" w:lineRule="auto"/>
              <w:ind w:left="95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85.2</w:t>
            </w:r>
          </w:p>
        </w:tc>
        <w:tc>
          <w:tcPr>
            <w:tcW w:w="2224" w:type="dxa"/>
            <w:tcBorders>
              <w:right w:val="single" w:color="000000" w:sz="10" w:space="0"/>
            </w:tcBorders>
            <w:vAlign w:val="top"/>
          </w:tcPr>
          <w:p>
            <w:pPr>
              <w:spacing w:before="47"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0.878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45" w:line="197" w:lineRule="auto"/>
              <w:ind w:left="45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8</w:t>
            </w:r>
          </w:p>
        </w:tc>
        <w:tc>
          <w:tcPr>
            <w:tcW w:w="3531" w:type="dxa"/>
            <w:vAlign w:val="top"/>
          </w:tcPr>
          <w:p>
            <w:pPr>
              <w:spacing w:line="237" w:lineRule="exact"/>
              <w:ind w:left="508"/>
              <w:rPr>
                <w:rFonts w:ascii="宋体" w:hAnsi="宋体" w:eastAsia="宋体" w:cs="宋体"/>
                <w:color w:val="auto"/>
                <w:sz w:val="17"/>
                <w:szCs w:val="17"/>
                <w:highlight w:val="none"/>
              </w:rPr>
            </w:pPr>
            <w:r>
              <w:rPr>
                <w:rFonts w:ascii="宋体" w:hAnsi="宋体" w:eastAsia="宋体" w:cs="宋体"/>
                <w:color w:val="auto"/>
                <w:spacing w:val="2"/>
                <w:position w:val="1"/>
                <w:sz w:val="17"/>
                <w:szCs w:val="17"/>
                <w:highlight w:val="none"/>
              </w:rPr>
              <w:t xml:space="preserve">厂界北侧 </w:t>
            </w:r>
            <w:r>
              <w:rPr>
                <w:rFonts w:ascii="Times New Roman" w:hAnsi="Times New Roman" w:eastAsia="Times New Roman" w:cs="Times New Roman"/>
                <w:color w:val="auto"/>
                <w:spacing w:val="2"/>
                <w:position w:val="1"/>
                <w:sz w:val="17"/>
                <w:szCs w:val="17"/>
                <w:highlight w:val="none"/>
              </w:rPr>
              <w:t xml:space="preserve">1  </w:t>
            </w:r>
            <w:r>
              <w:rPr>
                <w:rFonts w:ascii="宋体" w:hAnsi="宋体" w:eastAsia="宋体" w:cs="宋体"/>
                <w:color w:val="auto"/>
                <w:spacing w:val="2"/>
                <w:position w:val="1"/>
                <w:sz w:val="17"/>
                <w:szCs w:val="17"/>
                <w:highlight w:val="none"/>
              </w:rPr>
              <w:t xml:space="preserve">(临近 </w:t>
            </w:r>
            <w:r>
              <w:rPr>
                <w:rFonts w:ascii="Times New Roman" w:hAnsi="Times New Roman" w:eastAsia="Times New Roman" w:cs="Times New Roman"/>
                <w:color w:val="auto"/>
                <w:spacing w:val="2"/>
                <w:position w:val="1"/>
                <w:sz w:val="17"/>
                <w:szCs w:val="17"/>
                <w:highlight w:val="none"/>
              </w:rPr>
              <w:t>500</w:t>
            </w:r>
            <w:r>
              <w:rPr>
                <w:rFonts w:ascii="Times New Roman" w:hAnsi="Times New Roman" w:eastAsia="Times New Roman" w:cs="Times New Roman"/>
                <w:color w:val="auto"/>
                <w:position w:val="1"/>
                <w:sz w:val="17"/>
                <w:szCs w:val="17"/>
                <w:highlight w:val="none"/>
              </w:rPr>
              <w:t>kV</w:t>
            </w:r>
            <w:r>
              <w:rPr>
                <w:rFonts w:ascii="Times New Roman" w:hAnsi="Times New Roman" w:eastAsia="Times New Roman" w:cs="Times New Roman"/>
                <w:color w:val="auto"/>
                <w:spacing w:val="2"/>
                <w:position w:val="1"/>
                <w:sz w:val="17"/>
                <w:szCs w:val="17"/>
                <w:highlight w:val="none"/>
              </w:rPr>
              <w:t xml:space="preserve"> </w:t>
            </w:r>
            <w:r>
              <w:rPr>
                <w:rFonts w:ascii="宋体" w:hAnsi="宋体" w:eastAsia="宋体" w:cs="宋体"/>
                <w:color w:val="auto"/>
                <w:spacing w:val="2"/>
                <w:position w:val="1"/>
                <w:sz w:val="17"/>
                <w:szCs w:val="17"/>
                <w:highlight w:val="none"/>
              </w:rPr>
              <w:t>出</w:t>
            </w:r>
            <w:r>
              <w:rPr>
                <w:rFonts w:ascii="宋体" w:hAnsi="宋体" w:eastAsia="宋体" w:cs="宋体"/>
                <w:color w:val="auto"/>
                <w:spacing w:val="1"/>
                <w:position w:val="1"/>
                <w:sz w:val="17"/>
                <w:szCs w:val="17"/>
                <w:highlight w:val="none"/>
              </w:rPr>
              <w:t>线</w:t>
            </w:r>
            <w:r>
              <w:rPr>
                <w:rFonts w:ascii="宋体" w:hAnsi="宋体" w:eastAsia="宋体" w:cs="宋体"/>
                <w:color w:val="auto"/>
                <w:position w:val="1"/>
                <w:sz w:val="17"/>
                <w:szCs w:val="17"/>
                <w:highlight w:val="none"/>
              </w:rPr>
              <w:t>)</w:t>
            </w:r>
          </w:p>
        </w:tc>
        <w:tc>
          <w:tcPr>
            <w:tcW w:w="2315" w:type="dxa"/>
            <w:vAlign w:val="top"/>
          </w:tcPr>
          <w:p>
            <w:pPr>
              <w:spacing w:before="45" w:line="197" w:lineRule="auto"/>
              <w:ind w:left="91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2</w:t>
            </w:r>
            <w:r>
              <w:rPr>
                <w:rFonts w:ascii="Times New Roman" w:hAnsi="Times New Roman" w:eastAsia="Times New Roman" w:cs="Times New Roman"/>
                <w:color w:val="auto"/>
                <w:spacing w:val="4"/>
                <w:sz w:val="17"/>
                <w:szCs w:val="17"/>
                <w:highlight w:val="none"/>
              </w:rPr>
              <w:t>645.6</w:t>
            </w:r>
          </w:p>
        </w:tc>
        <w:tc>
          <w:tcPr>
            <w:tcW w:w="2224" w:type="dxa"/>
            <w:tcBorders>
              <w:right w:val="single" w:color="000000" w:sz="10" w:space="0"/>
            </w:tcBorders>
            <w:vAlign w:val="top"/>
          </w:tcPr>
          <w:p>
            <w:pPr>
              <w:spacing w:before="45"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0.905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9075" w:type="dxa"/>
            <w:gridSpan w:val="4"/>
            <w:tcBorders>
              <w:left w:val="single" w:color="000000" w:sz="10" w:space="0"/>
              <w:right w:val="single" w:color="000000" w:sz="10" w:space="0"/>
            </w:tcBorders>
            <w:vAlign w:val="top"/>
          </w:tcPr>
          <w:p>
            <w:pPr>
              <w:spacing w:before="30" w:line="225" w:lineRule="auto"/>
              <w:ind w:left="4359"/>
              <w:rPr>
                <w:rFonts w:ascii="宋体" w:hAnsi="宋体" w:eastAsia="宋体" w:cs="宋体"/>
                <w:color w:val="auto"/>
                <w:sz w:val="17"/>
                <w:szCs w:val="17"/>
                <w:highlight w:val="none"/>
              </w:rPr>
            </w:pPr>
            <w:r>
              <w:rPr>
                <w:rFonts w:ascii="宋体" w:hAnsi="宋体" w:eastAsia="宋体" w:cs="宋体"/>
                <w:color w:val="auto"/>
                <w:spacing w:val="3"/>
                <w:sz w:val="17"/>
                <w:szCs w:val="17"/>
                <w:highlight w:val="none"/>
              </w:rPr>
              <w:t>断</w:t>
            </w:r>
            <w:r>
              <w:rPr>
                <w:rFonts w:ascii="宋体" w:hAnsi="宋体" w:eastAsia="宋体" w:cs="宋体"/>
                <w:color w:val="auto"/>
                <w:spacing w:val="2"/>
                <w:sz w:val="17"/>
                <w:szCs w:val="17"/>
                <w:highlight w:val="none"/>
              </w:rPr>
              <w:t>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46" w:line="197" w:lineRule="auto"/>
              <w:ind w:left="44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9</w:t>
            </w:r>
          </w:p>
        </w:tc>
        <w:tc>
          <w:tcPr>
            <w:tcW w:w="3531" w:type="dxa"/>
            <w:vAlign w:val="top"/>
          </w:tcPr>
          <w:p>
            <w:pPr>
              <w:spacing w:before="29" w:line="226" w:lineRule="auto"/>
              <w:ind w:left="998"/>
              <w:rPr>
                <w:rFonts w:ascii="Times New Roman" w:hAnsi="Times New Roman" w:eastAsia="Times New Roman" w:cs="Times New Roman"/>
                <w:color w:val="auto"/>
                <w:sz w:val="17"/>
                <w:szCs w:val="17"/>
                <w:highlight w:val="none"/>
              </w:rPr>
            </w:pPr>
            <w:r>
              <w:rPr>
                <w:rFonts w:ascii="宋体" w:hAnsi="宋体" w:eastAsia="宋体" w:cs="宋体"/>
                <w:color w:val="auto"/>
                <w:spacing w:val="4"/>
                <w:sz w:val="17"/>
                <w:szCs w:val="17"/>
                <w:highlight w:val="none"/>
              </w:rPr>
              <w:t xml:space="preserve">厂界东侧围墙外 </w:t>
            </w:r>
            <w:r>
              <w:rPr>
                <w:rFonts w:ascii="Times New Roman" w:hAnsi="Times New Roman" w:eastAsia="Times New Roman" w:cs="Times New Roman"/>
                <w:color w:val="auto"/>
                <w:spacing w:val="3"/>
                <w:sz w:val="17"/>
                <w:szCs w:val="17"/>
                <w:highlight w:val="none"/>
              </w:rPr>
              <w:t>5</w:t>
            </w:r>
            <w:r>
              <w:rPr>
                <w:rFonts w:ascii="Times New Roman" w:hAnsi="Times New Roman" w:eastAsia="Times New Roman" w:cs="Times New Roman"/>
                <w:color w:val="auto"/>
                <w:sz w:val="17"/>
                <w:szCs w:val="17"/>
                <w:highlight w:val="none"/>
              </w:rPr>
              <w:t>m</w:t>
            </w:r>
          </w:p>
        </w:tc>
        <w:tc>
          <w:tcPr>
            <w:tcW w:w="2315" w:type="dxa"/>
            <w:vAlign w:val="top"/>
          </w:tcPr>
          <w:p>
            <w:pPr>
              <w:spacing w:before="46" w:line="197" w:lineRule="auto"/>
              <w:ind w:left="100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9</w:t>
            </w:r>
            <w:r>
              <w:rPr>
                <w:rFonts w:ascii="Times New Roman" w:hAnsi="Times New Roman" w:eastAsia="Times New Roman" w:cs="Times New Roman"/>
                <w:color w:val="auto"/>
                <w:spacing w:val="3"/>
                <w:sz w:val="17"/>
                <w:szCs w:val="17"/>
                <w:highlight w:val="none"/>
              </w:rPr>
              <w:t>0.9</w:t>
            </w:r>
          </w:p>
        </w:tc>
        <w:tc>
          <w:tcPr>
            <w:tcW w:w="2224" w:type="dxa"/>
            <w:tcBorders>
              <w:right w:val="single" w:color="000000" w:sz="10" w:space="0"/>
            </w:tcBorders>
            <w:vAlign w:val="top"/>
          </w:tcPr>
          <w:p>
            <w:pPr>
              <w:spacing w:before="47"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0</w:t>
            </w:r>
            <w:r>
              <w:rPr>
                <w:rFonts w:ascii="Times New Roman" w:hAnsi="Times New Roman" w:eastAsia="Times New Roman" w:cs="Times New Roman"/>
                <w:color w:val="auto"/>
                <w:spacing w:val="-4"/>
                <w:sz w:val="17"/>
                <w:szCs w:val="17"/>
                <w:highlight w:val="none"/>
              </w:rPr>
              <w:t>. 165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46" w:line="197" w:lineRule="auto"/>
              <w:ind w:left="4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10</w:t>
            </w:r>
          </w:p>
        </w:tc>
        <w:tc>
          <w:tcPr>
            <w:tcW w:w="3531" w:type="dxa"/>
            <w:vAlign w:val="top"/>
          </w:tcPr>
          <w:p>
            <w:pPr>
              <w:spacing w:before="29" w:line="226" w:lineRule="auto"/>
              <w:ind w:left="955"/>
              <w:rPr>
                <w:rFonts w:ascii="Times New Roman" w:hAnsi="Times New Roman" w:eastAsia="Times New Roman" w:cs="Times New Roman"/>
                <w:color w:val="auto"/>
                <w:sz w:val="17"/>
                <w:szCs w:val="17"/>
                <w:highlight w:val="none"/>
              </w:rPr>
            </w:pPr>
            <w:r>
              <w:rPr>
                <w:rFonts w:ascii="宋体" w:hAnsi="宋体" w:eastAsia="宋体" w:cs="宋体"/>
                <w:color w:val="auto"/>
                <w:spacing w:val="6"/>
                <w:sz w:val="17"/>
                <w:szCs w:val="17"/>
                <w:highlight w:val="none"/>
              </w:rPr>
              <w:t>厂界</w:t>
            </w:r>
            <w:r>
              <w:rPr>
                <w:rFonts w:ascii="宋体" w:hAnsi="宋体" w:eastAsia="宋体" w:cs="宋体"/>
                <w:color w:val="auto"/>
                <w:spacing w:val="3"/>
                <w:sz w:val="17"/>
                <w:szCs w:val="17"/>
                <w:highlight w:val="none"/>
              </w:rPr>
              <w:t xml:space="preserve">东侧围墙外 </w:t>
            </w:r>
            <w:r>
              <w:rPr>
                <w:rFonts w:ascii="Times New Roman" w:hAnsi="Times New Roman" w:eastAsia="Times New Roman" w:cs="Times New Roman"/>
                <w:color w:val="auto"/>
                <w:spacing w:val="3"/>
                <w:sz w:val="17"/>
                <w:szCs w:val="17"/>
                <w:highlight w:val="none"/>
              </w:rPr>
              <w:t>10</w:t>
            </w:r>
            <w:r>
              <w:rPr>
                <w:rFonts w:ascii="Times New Roman" w:hAnsi="Times New Roman" w:eastAsia="Times New Roman" w:cs="Times New Roman"/>
                <w:color w:val="auto"/>
                <w:sz w:val="17"/>
                <w:szCs w:val="17"/>
                <w:highlight w:val="none"/>
              </w:rPr>
              <w:t>m</w:t>
            </w:r>
          </w:p>
        </w:tc>
        <w:tc>
          <w:tcPr>
            <w:tcW w:w="2315" w:type="dxa"/>
            <w:vAlign w:val="top"/>
          </w:tcPr>
          <w:p>
            <w:pPr>
              <w:spacing w:before="46" w:line="197" w:lineRule="auto"/>
              <w:ind w:left="100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9</w:t>
            </w:r>
            <w:r>
              <w:rPr>
                <w:rFonts w:ascii="Times New Roman" w:hAnsi="Times New Roman" w:eastAsia="Times New Roman" w:cs="Times New Roman"/>
                <w:color w:val="auto"/>
                <w:spacing w:val="3"/>
                <w:sz w:val="17"/>
                <w:szCs w:val="17"/>
                <w:highlight w:val="none"/>
              </w:rPr>
              <w:t>1.3</w:t>
            </w:r>
          </w:p>
        </w:tc>
        <w:tc>
          <w:tcPr>
            <w:tcW w:w="2224" w:type="dxa"/>
            <w:tcBorders>
              <w:right w:val="single" w:color="000000" w:sz="10" w:space="0"/>
            </w:tcBorders>
            <w:vAlign w:val="top"/>
          </w:tcPr>
          <w:p>
            <w:pPr>
              <w:spacing w:before="46"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0</w:t>
            </w:r>
            <w:r>
              <w:rPr>
                <w:rFonts w:ascii="Times New Roman" w:hAnsi="Times New Roman" w:eastAsia="Times New Roman" w:cs="Times New Roman"/>
                <w:color w:val="auto"/>
                <w:spacing w:val="-4"/>
                <w:sz w:val="17"/>
                <w:szCs w:val="17"/>
                <w:highlight w:val="none"/>
              </w:rPr>
              <w:t>. 130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8" w:hRule="atLeast"/>
        </w:trPr>
        <w:tc>
          <w:tcPr>
            <w:tcW w:w="1005" w:type="dxa"/>
            <w:tcBorders>
              <w:left w:val="single" w:color="000000" w:sz="10" w:space="0"/>
            </w:tcBorders>
            <w:vAlign w:val="top"/>
          </w:tcPr>
          <w:p>
            <w:pPr>
              <w:spacing w:before="47" w:line="197" w:lineRule="auto"/>
              <w:ind w:left="42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1</w:t>
            </w:r>
            <w:r>
              <w:rPr>
                <w:rFonts w:ascii="Times New Roman" w:hAnsi="Times New Roman" w:eastAsia="Times New Roman" w:cs="Times New Roman"/>
                <w:color w:val="auto"/>
                <w:spacing w:val="-7"/>
                <w:sz w:val="17"/>
                <w:szCs w:val="17"/>
                <w:highlight w:val="none"/>
              </w:rPr>
              <w:t>1</w:t>
            </w:r>
          </w:p>
        </w:tc>
        <w:tc>
          <w:tcPr>
            <w:tcW w:w="3531" w:type="dxa"/>
            <w:vAlign w:val="top"/>
          </w:tcPr>
          <w:p>
            <w:pPr>
              <w:spacing w:before="31" w:line="224" w:lineRule="auto"/>
              <w:ind w:left="955"/>
              <w:rPr>
                <w:rFonts w:ascii="Times New Roman" w:hAnsi="Times New Roman" w:eastAsia="Times New Roman" w:cs="Times New Roman"/>
                <w:color w:val="auto"/>
                <w:sz w:val="17"/>
                <w:szCs w:val="17"/>
                <w:highlight w:val="none"/>
              </w:rPr>
            </w:pPr>
            <w:r>
              <w:rPr>
                <w:rFonts w:ascii="宋体" w:hAnsi="宋体" w:eastAsia="宋体" w:cs="宋体"/>
                <w:color w:val="auto"/>
                <w:spacing w:val="6"/>
                <w:sz w:val="17"/>
                <w:szCs w:val="17"/>
                <w:highlight w:val="none"/>
              </w:rPr>
              <w:t>厂界</w:t>
            </w:r>
            <w:r>
              <w:rPr>
                <w:rFonts w:ascii="宋体" w:hAnsi="宋体" w:eastAsia="宋体" w:cs="宋体"/>
                <w:color w:val="auto"/>
                <w:spacing w:val="3"/>
                <w:sz w:val="17"/>
                <w:szCs w:val="17"/>
                <w:highlight w:val="none"/>
              </w:rPr>
              <w:t xml:space="preserve">东侧围墙外 </w:t>
            </w:r>
            <w:r>
              <w:rPr>
                <w:rFonts w:ascii="Times New Roman" w:hAnsi="Times New Roman" w:eastAsia="Times New Roman" w:cs="Times New Roman"/>
                <w:color w:val="auto"/>
                <w:spacing w:val="3"/>
                <w:sz w:val="17"/>
                <w:szCs w:val="17"/>
                <w:highlight w:val="none"/>
              </w:rPr>
              <w:t>15</w:t>
            </w:r>
            <w:r>
              <w:rPr>
                <w:rFonts w:ascii="Times New Roman" w:hAnsi="Times New Roman" w:eastAsia="Times New Roman" w:cs="Times New Roman"/>
                <w:color w:val="auto"/>
                <w:sz w:val="17"/>
                <w:szCs w:val="17"/>
                <w:highlight w:val="none"/>
              </w:rPr>
              <w:t>m</w:t>
            </w:r>
          </w:p>
        </w:tc>
        <w:tc>
          <w:tcPr>
            <w:tcW w:w="2315" w:type="dxa"/>
            <w:vAlign w:val="top"/>
          </w:tcPr>
          <w:p>
            <w:pPr>
              <w:spacing w:before="48" w:line="197" w:lineRule="auto"/>
              <w:ind w:left="101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88.7</w:t>
            </w:r>
          </w:p>
        </w:tc>
        <w:tc>
          <w:tcPr>
            <w:tcW w:w="2224" w:type="dxa"/>
            <w:tcBorders>
              <w:right w:val="single" w:color="000000" w:sz="10" w:space="0"/>
            </w:tcBorders>
            <w:vAlign w:val="top"/>
          </w:tcPr>
          <w:p>
            <w:pPr>
              <w:spacing w:before="48"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0</w:t>
            </w:r>
            <w:r>
              <w:rPr>
                <w:rFonts w:ascii="Times New Roman" w:hAnsi="Times New Roman" w:eastAsia="Times New Roman" w:cs="Times New Roman"/>
                <w:color w:val="auto"/>
                <w:spacing w:val="-4"/>
                <w:sz w:val="17"/>
                <w:szCs w:val="17"/>
                <w:highlight w:val="none"/>
              </w:rPr>
              <w:t>. 131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47" w:line="197" w:lineRule="auto"/>
              <w:ind w:left="4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12</w:t>
            </w:r>
          </w:p>
        </w:tc>
        <w:tc>
          <w:tcPr>
            <w:tcW w:w="3531" w:type="dxa"/>
            <w:vAlign w:val="top"/>
          </w:tcPr>
          <w:p>
            <w:pPr>
              <w:spacing w:before="30" w:line="225" w:lineRule="auto"/>
              <w:ind w:left="955"/>
              <w:rPr>
                <w:rFonts w:ascii="Times New Roman" w:hAnsi="Times New Roman" w:eastAsia="Times New Roman" w:cs="Times New Roman"/>
                <w:color w:val="auto"/>
                <w:sz w:val="17"/>
                <w:szCs w:val="17"/>
                <w:highlight w:val="none"/>
              </w:rPr>
            </w:pPr>
            <w:r>
              <w:rPr>
                <w:rFonts w:ascii="宋体" w:hAnsi="宋体" w:eastAsia="宋体" w:cs="宋体"/>
                <w:color w:val="auto"/>
                <w:spacing w:val="6"/>
                <w:sz w:val="17"/>
                <w:szCs w:val="17"/>
                <w:highlight w:val="none"/>
              </w:rPr>
              <w:t>厂界</w:t>
            </w:r>
            <w:r>
              <w:rPr>
                <w:rFonts w:ascii="宋体" w:hAnsi="宋体" w:eastAsia="宋体" w:cs="宋体"/>
                <w:color w:val="auto"/>
                <w:spacing w:val="3"/>
                <w:sz w:val="17"/>
                <w:szCs w:val="17"/>
                <w:highlight w:val="none"/>
              </w:rPr>
              <w:t xml:space="preserve">东侧围墙外 </w:t>
            </w:r>
            <w:r>
              <w:rPr>
                <w:rFonts w:ascii="Times New Roman" w:hAnsi="Times New Roman" w:eastAsia="Times New Roman" w:cs="Times New Roman"/>
                <w:color w:val="auto"/>
                <w:spacing w:val="3"/>
                <w:sz w:val="17"/>
                <w:szCs w:val="17"/>
                <w:highlight w:val="none"/>
              </w:rPr>
              <w:t>20</w:t>
            </w:r>
            <w:r>
              <w:rPr>
                <w:rFonts w:ascii="Times New Roman" w:hAnsi="Times New Roman" w:eastAsia="Times New Roman" w:cs="Times New Roman"/>
                <w:color w:val="auto"/>
                <w:sz w:val="17"/>
                <w:szCs w:val="17"/>
                <w:highlight w:val="none"/>
              </w:rPr>
              <w:t>m</w:t>
            </w:r>
          </w:p>
        </w:tc>
        <w:tc>
          <w:tcPr>
            <w:tcW w:w="2315" w:type="dxa"/>
            <w:vAlign w:val="top"/>
          </w:tcPr>
          <w:p>
            <w:pPr>
              <w:spacing w:before="47" w:line="197" w:lineRule="auto"/>
              <w:ind w:left="101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86.</w:t>
            </w:r>
            <w:r>
              <w:rPr>
                <w:rFonts w:ascii="Times New Roman" w:hAnsi="Times New Roman" w:eastAsia="Times New Roman" w:cs="Times New Roman"/>
                <w:color w:val="auto"/>
                <w:spacing w:val="1"/>
                <w:sz w:val="17"/>
                <w:szCs w:val="17"/>
                <w:highlight w:val="none"/>
              </w:rPr>
              <w:t>2</w:t>
            </w:r>
          </w:p>
        </w:tc>
        <w:tc>
          <w:tcPr>
            <w:tcW w:w="2224" w:type="dxa"/>
            <w:tcBorders>
              <w:right w:val="single" w:color="000000" w:sz="10" w:space="0"/>
            </w:tcBorders>
            <w:vAlign w:val="top"/>
          </w:tcPr>
          <w:p>
            <w:pPr>
              <w:spacing w:before="47"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0</w:t>
            </w:r>
            <w:r>
              <w:rPr>
                <w:rFonts w:ascii="Times New Roman" w:hAnsi="Times New Roman" w:eastAsia="Times New Roman" w:cs="Times New Roman"/>
                <w:color w:val="auto"/>
                <w:spacing w:val="-4"/>
                <w:sz w:val="17"/>
                <w:szCs w:val="17"/>
                <w:highlight w:val="none"/>
              </w:rPr>
              <w:t>. 142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005" w:type="dxa"/>
            <w:tcBorders>
              <w:left w:val="single" w:color="000000" w:sz="10" w:space="0"/>
            </w:tcBorders>
            <w:vAlign w:val="top"/>
          </w:tcPr>
          <w:p>
            <w:pPr>
              <w:spacing w:before="49" w:line="197" w:lineRule="auto"/>
              <w:ind w:left="4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13</w:t>
            </w:r>
          </w:p>
        </w:tc>
        <w:tc>
          <w:tcPr>
            <w:tcW w:w="3531" w:type="dxa"/>
            <w:vAlign w:val="top"/>
          </w:tcPr>
          <w:p>
            <w:pPr>
              <w:spacing w:before="32" w:line="224" w:lineRule="auto"/>
              <w:ind w:left="955"/>
              <w:rPr>
                <w:rFonts w:ascii="Times New Roman" w:hAnsi="Times New Roman" w:eastAsia="Times New Roman" w:cs="Times New Roman"/>
                <w:color w:val="auto"/>
                <w:sz w:val="17"/>
                <w:szCs w:val="17"/>
                <w:highlight w:val="none"/>
              </w:rPr>
            </w:pPr>
            <w:r>
              <w:rPr>
                <w:rFonts w:ascii="宋体" w:hAnsi="宋体" w:eastAsia="宋体" w:cs="宋体"/>
                <w:color w:val="auto"/>
                <w:spacing w:val="6"/>
                <w:sz w:val="17"/>
                <w:szCs w:val="17"/>
                <w:highlight w:val="none"/>
              </w:rPr>
              <w:t>厂界</w:t>
            </w:r>
            <w:r>
              <w:rPr>
                <w:rFonts w:ascii="宋体" w:hAnsi="宋体" w:eastAsia="宋体" w:cs="宋体"/>
                <w:color w:val="auto"/>
                <w:spacing w:val="3"/>
                <w:sz w:val="17"/>
                <w:szCs w:val="17"/>
                <w:highlight w:val="none"/>
              </w:rPr>
              <w:t xml:space="preserve">东侧围墙外 </w:t>
            </w:r>
            <w:r>
              <w:rPr>
                <w:rFonts w:ascii="Times New Roman" w:hAnsi="Times New Roman" w:eastAsia="Times New Roman" w:cs="Times New Roman"/>
                <w:color w:val="auto"/>
                <w:spacing w:val="3"/>
                <w:sz w:val="17"/>
                <w:szCs w:val="17"/>
                <w:highlight w:val="none"/>
              </w:rPr>
              <w:t>25</w:t>
            </w:r>
            <w:r>
              <w:rPr>
                <w:rFonts w:ascii="Times New Roman" w:hAnsi="Times New Roman" w:eastAsia="Times New Roman" w:cs="Times New Roman"/>
                <w:color w:val="auto"/>
                <w:sz w:val="17"/>
                <w:szCs w:val="17"/>
                <w:highlight w:val="none"/>
              </w:rPr>
              <w:t>m</w:t>
            </w:r>
          </w:p>
        </w:tc>
        <w:tc>
          <w:tcPr>
            <w:tcW w:w="2315" w:type="dxa"/>
            <w:vAlign w:val="top"/>
          </w:tcPr>
          <w:p>
            <w:pPr>
              <w:spacing w:before="49" w:line="197" w:lineRule="auto"/>
              <w:ind w:left="101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8</w:t>
            </w:r>
            <w:r>
              <w:rPr>
                <w:rFonts w:ascii="Times New Roman" w:hAnsi="Times New Roman" w:eastAsia="Times New Roman" w:cs="Times New Roman"/>
                <w:color w:val="auto"/>
                <w:spacing w:val="2"/>
                <w:sz w:val="17"/>
                <w:szCs w:val="17"/>
                <w:highlight w:val="none"/>
              </w:rPr>
              <w:t>4.9</w:t>
            </w:r>
          </w:p>
        </w:tc>
        <w:tc>
          <w:tcPr>
            <w:tcW w:w="2224" w:type="dxa"/>
            <w:tcBorders>
              <w:right w:val="single" w:color="000000" w:sz="10" w:space="0"/>
            </w:tcBorders>
            <w:vAlign w:val="top"/>
          </w:tcPr>
          <w:p>
            <w:pPr>
              <w:spacing w:before="49"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0</w:t>
            </w:r>
            <w:r>
              <w:rPr>
                <w:rFonts w:ascii="Times New Roman" w:hAnsi="Times New Roman" w:eastAsia="Times New Roman" w:cs="Times New Roman"/>
                <w:color w:val="auto"/>
                <w:spacing w:val="-4"/>
                <w:sz w:val="17"/>
                <w:szCs w:val="17"/>
                <w:highlight w:val="none"/>
              </w:rPr>
              <w:t>. 143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47" w:line="197" w:lineRule="auto"/>
              <w:ind w:left="4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14</w:t>
            </w:r>
          </w:p>
        </w:tc>
        <w:tc>
          <w:tcPr>
            <w:tcW w:w="3531" w:type="dxa"/>
            <w:vAlign w:val="top"/>
          </w:tcPr>
          <w:p>
            <w:pPr>
              <w:spacing w:before="30" w:line="225" w:lineRule="auto"/>
              <w:ind w:left="955"/>
              <w:rPr>
                <w:rFonts w:ascii="Times New Roman" w:hAnsi="Times New Roman" w:eastAsia="Times New Roman" w:cs="Times New Roman"/>
                <w:color w:val="auto"/>
                <w:sz w:val="17"/>
                <w:szCs w:val="17"/>
                <w:highlight w:val="none"/>
              </w:rPr>
            </w:pPr>
            <w:r>
              <w:rPr>
                <w:rFonts w:ascii="宋体" w:hAnsi="宋体" w:eastAsia="宋体" w:cs="宋体"/>
                <w:color w:val="auto"/>
                <w:spacing w:val="6"/>
                <w:sz w:val="17"/>
                <w:szCs w:val="17"/>
                <w:highlight w:val="none"/>
              </w:rPr>
              <w:t>厂界</w:t>
            </w:r>
            <w:r>
              <w:rPr>
                <w:rFonts w:ascii="宋体" w:hAnsi="宋体" w:eastAsia="宋体" w:cs="宋体"/>
                <w:color w:val="auto"/>
                <w:spacing w:val="3"/>
                <w:sz w:val="17"/>
                <w:szCs w:val="17"/>
                <w:highlight w:val="none"/>
              </w:rPr>
              <w:t xml:space="preserve">东侧围墙外 </w:t>
            </w:r>
            <w:r>
              <w:rPr>
                <w:rFonts w:ascii="Times New Roman" w:hAnsi="Times New Roman" w:eastAsia="Times New Roman" w:cs="Times New Roman"/>
                <w:color w:val="auto"/>
                <w:spacing w:val="3"/>
                <w:sz w:val="17"/>
                <w:szCs w:val="17"/>
                <w:highlight w:val="none"/>
              </w:rPr>
              <w:t>30</w:t>
            </w:r>
            <w:r>
              <w:rPr>
                <w:rFonts w:ascii="Times New Roman" w:hAnsi="Times New Roman" w:eastAsia="Times New Roman" w:cs="Times New Roman"/>
                <w:color w:val="auto"/>
                <w:sz w:val="17"/>
                <w:szCs w:val="17"/>
                <w:highlight w:val="none"/>
              </w:rPr>
              <w:t>m</w:t>
            </w:r>
          </w:p>
        </w:tc>
        <w:tc>
          <w:tcPr>
            <w:tcW w:w="2315" w:type="dxa"/>
            <w:vAlign w:val="top"/>
          </w:tcPr>
          <w:p>
            <w:pPr>
              <w:spacing w:before="47" w:line="197" w:lineRule="auto"/>
              <w:ind w:left="101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83.</w:t>
            </w:r>
            <w:r>
              <w:rPr>
                <w:rFonts w:ascii="Times New Roman" w:hAnsi="Times New Roman" w:eastAsia="Times New Roman" w:cs="Times New Roman"/>
                <w:color w:val="auto"/>
                <w:spacing w:val="1"/>
                <w:sz w:val="17"/>
                <w:szCs w:val="17"/>
                <w:highlight w:val="none"/>
              </w:rPr>
              <w:t>2</w:t>
            </w:r>
          </w:p>
        </w:tc>
        <w:tc>
          <w:tcPr>
            <w:tcW w:w="2224" w:type="dxa"/>
            <w:tcBorders>
              <w:right w:val="single" w:color="000000" w:sz="10" w:space="0"/>
            </w:tcBorders>
            <w:vAlign w:val="top"/>
          </w:tcPr>
          <w:p>
            <w:pPr>
              <w:spacing w:before="47"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0</w:t>
            </w:r>
            <w:r>
              <w:rPr>
                <w:rFonts w:ascii="Times New Roman" w:hAnsi="Times New Roman" w:eastAsia="Times New Roman" w:cs="Times New Roman"/>
                <w:color w:val="auto"/>
                <w:spacing w:val="-4"/>
                <w:sz w:val="17"/>
                <w:szCs w:val="17"/>
                <w:highlight w:val="none"/>
              </w:rPr>
              <w:t>. 148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005" w:type="dxa"/>
            <w:tcBorders>
              <w:left w:val="single" w:color="000000" w:sz="10" w:space="0"/>
            </w:tcBorders>
            <w:vAlign w:val="top"/>
          </w:tcPr>
          <w:p>
            <w:pPr>
              <w:spacing w:before="49" w:line="197" w:lineRule="auto"/>
              <w:ind w:left="4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15</w:t>
            </w:r>
          </w:p>
        </w:tc>
        <w:tc>
          <w:tcPr>
            <w:tcW w:w="3531" w:type="dxa"/>
            <w:vAlign w:val="top"/>
          </w:tcPr>
          <w:p>
            <w:pPr>
              <w:spacing w:before="32" w:line="224" w:lineRule="auto"/>
              <w:ind w:left="955"/>
              <w:rPr>
                <w:rFonts w:ascii="Times New Roman" w:hAnsi="Times New Roman" w:eastAsia="Times New Roman" w:cs="Times New Roman"/>
                <w:color w:val="auto"/>
                <w:sz w:val="17"/>
                <w:szCs w:val="17"/>
                <w:highlight w:val="none"/>
              </w:rPr>
            </w:pPr>
            <w:r>
              <w:rPr>
                <w:rFonts w:ascii="宋体" w:hAnsi="宋体" w:eastAsia="宋体" w:cs="宋体"/>
                <w:color w:val="auto"/>
                <w:spacing w:val="6"/>
                <w:sz w:val="17"/>
                <w:szCs w:val="17"/>
                <w:highlight w:val="none"/>
              </w:rPr>
              <w:t>厂界</w:t>
            </w:r>
            <w:r>
              <w:rPr>
                <w:rFonts w:ascii="宋体" w:hAnsi="宋体" w:eastAsia="宋体" w:cs="宋体"/>
                <w:color w:val="auto"/>
                <w:spacing w:val="3"/>
                <w:sz w:val="17"/>
                <w:szCs w:val="17"/>
                <w:highlight w:val="none"/>
              </w:rPr>
              <w:t xml:space="preserve">东侧围墙外 </w:t>
            </w:r>
            <w:r>
              <w:rPr>
                <w:rFonts w:ascii="Times New Roman" w:hAnsi="Times New Roman" w:eastAsia="Times New Roman" w:cs="Times New Roman"/>
                <w:color w:val="auto"/>
                <w:spacing w:val="3"/>
                <w:sz w:val="17"/>
                <w:szCs w:val="17"/>
                <w:highlight w:val="none"/>
              </w:rPr>
              <w:t>35</w:t>
            </w:r>
            <w:r>
              <w:rPr>
                <w:rFonts w:ascii="Times New Roman" w:hAnsi="Times New Roman" w:eastAsia="Times New Roman" w:cs="Times New Roman"/>
                <w:color w:val="auto"/>
                <w:sz w:val="17"/>
                <w:szCs w:val="17"/>
                <w:highlight w:val="none"/>
              </w:rPr>
              <w:t>m</w:t>
            </w:r>
          </w:p>
        </w:tc>
        <w:tc>
          <w:tcPr>
            <w:tcW w:w="2315" w:type="dxa"/>
            <w:vAlign w:val="top"/>
          </w:tcPr>
          <w:p>
            <w:pPr>
              <w:spacing w:before="49" w:line="197" w:lineRule="auto"/>
              <w:ind w:left="101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82. 1</w:t>
            </w:r>
          </w:p>
        </w:tc>
        <w:tc>
          <w:tcPr>
            <w:tcW w:w="2224" w:type="dxa"/>
            <w:tcBorders>
              <w:right w:val="single" w:color="000000" w:sz="10" w:space="0"/>
            </w:tcBorders>
            <w:vAlign w:val="top"/>
          </w:tcPr>
          <w:p>
            <w:pPr>
              <w:spacing w:before="49"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0</w:t>
            </w:r>
            <w:r>
              <w:rPr>
                <w:rFonts w:ascii="Times New Roman" w:hAnsi="Times New Roman" w:eastAsia="Times New Roman" w:cs="Times New Roman"/>
                <w:color w:val="auto"/>
                <w:spacing w:val="-4"/>
                <w:sz w:val="17"/>
                <w:szCs w:val="17"/>
                <w:highlight w:val="none"/>
              </w:rPr>
              <w:t>. 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47" w:line="197" w:lineRule="auto"/>
              <w:ind w:left="4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16</w:t>
            </w:r>
          </w:p>
        </w:tc>
        <w:tc>
          <w:tcPr>
            <w:tcW w:w="3531" w:type="dxa"/>
            <w:vAlign w:val="top"/>
          </w:tcPr>
          <w:p>
            <w:pPr>
              <w:spacing w:before="30" w:line="225" w:lineRule="auto"/>
              <w:ind w:left="955"/>
              <w:rPr>
                <w:rFonts w:ascii="Times New Roman" w:hAnsi="Times New Roman" w:eastAsia="Times New Roman" w:cs="Times New Roman"/>
                <w:color w:val="auto"/>
                <w:sz w:val="17"/>
                <w:szCs w:val="17"/>
                <w:highlight w:val="none"/>
              </w:rPr>
            </w:pPr>
            <w:r>
              <w:rPr>
                <w:rFonts w:ascii="宋体" w:hAnsi="宋体" w:eastAsia="宋体" w:cs="宋体"/>
                <w:color w:val="auto"/>
                <w:spacing w:val="6"/>
                <w:sz w:val="17"/>
                <w:szCs w:val="17"/>
                <w:highlight w:val="none"/>
              </w:rPr>
              <w:t>厂界</w:t>
            </w:r>
            <w:r>
              <w:rPr>
                <w:rFonts w:ascii="宋体" w:hAnsi="宋体" w:eastAsia="宋体" w:cs="宋体"/>
                <w:color w:val="auto"/>
                <w:spacing w:val="3"/>
                <w:sz w:val="17"/>
                <w:szCs w:val="17"/>
                <w:highlight w:val="none"/>
              </w:rPr>
              <w:t xml:space="preserve">东侧围墙外 </w:t>
            </w:r>
            <w:r>
              <w:rPr>
                <w:rFonts w:ascii="Times New Roman" w:hAnsi="Times New Roman" w:eastAsia="Times New Roman" w:cs="Times New Roman"/>
                <w:color w:val="auto"/>
                <w:spacing w:val="3"/>
                <w:sz w:val="17"/>
                <w:szCs w:val="17"/>
                <w:highlight w:val="none"/>
              </w:rPr>
              <w:t>40</w:t>
            </w:r>
            <w:r>
              <w:rPr>
                <w:rFonts w:ascii="Times New Roman" w:hAnsi="Times New Roman" w:eastAsia="Times New Roman" w:cs="Times New Roman"/>
                <w:color w:val="auto"/>
                <w:sz w:val="17"/>
                <w:szCs w:val="17"/>
                <w:highlight w:val="none"/>
              </w:rPr>
              <w:t>m</w:t>
            </w:r>
          </w:p>
        </w:tc>
        <w:tc>
          <w:tcPr>
            <w:tcW w:w="2315" w:type="dxa"/>
            <w:vAlign w:val="top"/>
          </w:tcPr>
          <w:p>
            <w:pPr>
              <w:spacing w:before="48" w:line="197" w:lineRule="auto"/>
              <w:ind w:left="101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8</w:t>
            </w:r>
            <w:r>
              <w:rPr>
                <w:rFonts w:ascii="Times New Roman" w:hAnsi="Times New Roman" w:eastAsia="Times New Roman" w:cs="Times New Roman"/>
                <w:color w:val="auto"/>
                <w:spacing w:val="2"/>
                <w:sz w:val="17"/>
                <w:szCs w:val="17"/>
                <w:highlight w:val="none"/>
              </w:rPr>
              <w:t>1.6</w:t>
            </w:r>
          </w:p>
        </w:tc>
        <w:tc>
          <w:tcPr>
            <w:tcW w:w="2224" w:type="dxa"/>
            <w:tcBorders>
              <w:right w:val="single" w:color="000000" w:sz="10" w:space="0"/>
            </w:tcBorders>
            <w:vAlign w:val="top"/>
          </w:tcPr>
          <w:p>
            <w:pPr>
              <w:spacing w:before="47"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0</w:t>
            </w:r>
            <w:r>
              <w:rPr>
                <w:rFonts w:ascii="Times New Roman" w:hAnsi="Times New Roman" w:eastAsia="Times New Roman" w:cs="Times New Roman"/>
                <w:color w:val="auto"/>
                <w:spacing w:val="-4"/>
                <w:sz w:val="17"/>
                <w:szCs w:val="17"/>
                <w:highlight w:val="none"/>
              </w:rPr>
              <w:t>. 187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49" w:line="197" w:lineRule="auto"/>
              <w:ind w:left="4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17</w:t>
            </w:r>
          </w:p>
        </w:tc>
        <w:tc>
          <w:tcPr>
            <w:tcW w:w="3531" w:type="dxa"/>
            <w:vAlign w:val="top"/>
          </w:tcPr>
          <w:p>
            <w:pPr>
              <w:spacing w:before="32" w:line="223" w:lineRule="auto"/>
              <w:ind w:left="955"/>
              <w:rPr>
                <w:rFonts w:ascii="Times New Roman" w:hAnsi="Times New Roman" w:eastAsia="Times New Roman" w:cs="Times New Roman"/>
                <w:color w:val="auto"/>
                <w:sz w:val="17"/>
                <w:szCs w:val="17"/>
                <w:highlight w:val="none"/>
              </w:rPr>
            </w:pPr>
            <w:r>
              <w:rPr>
                <w:rFonts w:ascii="宋体" w:hAnsi="宋体" w:eastAsia="宋体" w:cs="宋体"/>
                <w:color w:val="auto"/>
                <w:spacing w:val="6"/>
                <w:sz w:val="17"/>
                <w:szCs w:val="17"/>
                <w:highlight w:val="none"/>
              </w:rPr>
              <w:t>厂界</w:t>
            </w:r>
            <w:r>
              <w:rPr>
                <w:rFonts w:ascii="宋体" w:hAnsi="宋体" w:eastAsia="宋体" w:cs="宋体"/>
                <w:color w:val="auto"/>
                <w:spacing w:val="3"/>
                <w:sz w:val="17"/>
                <w:szCs w:val="17"/>
                <w:highlight w:val="none"/>
              </w:rPr>
              <w:t xml:space="preserve">东侧围墙外 </w:t>
            </w:r>
            <w:r>
              <w:rPr>
                <w:rFonts w:ascii="Times New Roman" w:hAnsi="Times New Roman" w:eastAsia="Times New Roman" w:cs="Times New Roman"/>
                <w:color w:val="auto"/>
                <w:spacing w:val="3"/>
                <w:sz w:val="17"/>
                <w:szCs w:val="17"/>
                <w:highlight w:val="none"/>
              </w:rPr>
              <w:t>45</w:t>
            </w:r>
            <w:r>
              <w:rPr>
                <w:rFonts w:ascii="Times New Roman" w:hAnsi="Times New Roman" w:eastAsia="Times New Roman" w:cs="Times New Roman"/>
                <w:color w:val="auto"/>
                <w:sz w:val="17"/>
                <w:szCs w:val="17"/>
                <w:highlight w:val="none"/>
              </w:rPr>
              <w:t>m</w:t>
            </w:r>
          </w:p>
        </w:tc>
        <w:tc>
          <w:tcPr>
            <w:tcW w:w="2315" w:type="dxa"/>
            <w:vAlign w:val="top"/>
          </w:tcPr>
          <w:p>
            <w:pPr>
              <w:spacing w:before="49" w:line="197" w:lineRule="auto"/>
              <w:ind w:left="101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81.0</w:t>
            </w:r>
          </w:p>
        </w:tc>
        <w:tc>
          <w:tcPr>
            <w:tcW w:w="2224" w:type="dxa"/>
            <w:tcBorders>
              <w:right w:val="single" w:color="000000" w:sz="10" w:space="0"/>
            </w:tcBorders>
            <w:vAlign w:val="top"/>
          </w:tcPr>
          <w:p>
            <w:pPr>
              <w:spacing w:before="49"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005" w:type="dxa"/>
            <w:tcBorders>
              <w:left w:val="single" w:color="000000" w:sz="10" w:space="0"/>
            </w:tcBorders>
            <w:vAlign w:val="top"/>
          </w:tcPr>
          <w:p>
            <w:pPr>
              <w:spacing w:before="48" w:line="197" w:lineRule="auto"/>
              <w:ind w:left="4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18</w:t>
            </w:r>
          </w:p>
        </w:tc>
        <w:tc>
          <w:tcPr>
            <w:tcW w:w="3531" w:type="dxa"/>
            <w:vAlign w:val="top"/>
          </w:tcPr>
          <w:p>
            <w:pPr>
              <w:spacing w:line="238" w:lineRule="exact"/>
              <w:ind w:left="105"/>
              <w:rPr>
                <w:rFonts w:ascii="宋体" w:hAnsi="宋体" w:eastAsia="宋体" w:cs="宋体"/>
                <w:color w:val="auto"/>
                <w:sz w:val="17"/>
                <w:szCs w:val="17"/>
                <w:highlight w:val="none"/>
              </w:rPr>
            </w:pPr>
            <w:r>
              <w:rPr>
                <w:rFonts w:ascii="宋体" w:hAnsi="宋体" w:eastAsia="宋体" w:cs="宋体"/>
                <w:color w:val="auto"/>
                <w:spacing w:val="6"/>
                <w:position w:val="1"/>
                <w:sz w:val="17"/>
                <w:szCs w:val="17"/>
                <w:highlight w:val="none"/>
              </w:rPr>
              <w:t>厂界东</w:t>
            </w:r>
            <w:r>
              <w:rPr>
                <w:rFonts w:ascii="宋体" w:hAnsi="宋体" w:eastAsia="宋体" w:cs="宋体"/>
                <w:color w:val="auto"/>
                <w:spacing w:val="3"/>
                <w:position w:val="1"/>
                <w:sz w:val="17"/>
                <w:szCs w:val="17"/>
                <w:highlight w:val="none"/>
              </w:rPr>
              <w:t xml:space="preserve">侧围墙外 </w:t>
            </w:r>
            <w:r>
              <w:rPr>
                <w:rFonts w:ascii="Times New Roman" w:hAnsi="Times New Roman" w:eastAsia="Times New Roman" w:cs="Times New Roman"/>
                <w:color w:val="auto"/>
                <w:spacing w:val="3"/>
                <w:position w:val="1"/>
                <w:sz w:val="17"/>
                <w:szCs w:val="17"/>
                <w:highlight w:val="none"/>
              </w:rPr>
              <w:t>50</w:t>
            </w:r>
            <w:r>
              <w:rPr>
                <w:rFonts w:ascii="Times New Roman" w:hAnsi="Times New Roman" w:eastAsia="Times New Roman" w:cs="Times New Roman"/>
                <w:color w:val="auto"/>
                <w:position w:val="1"/>
                <w:sz w:val="17"/>
                <w:szCs w:val="17"/>
                <w:highlight w:val="none"/>
              </w:rPr>
              <w:t>m</w:t>
            </w:r>
            <w:r>
              <w:rPr>
                <w:rFonts w:ascii="Times New Roman" w:hAnsi="Times New Roman" w:eastAsia="Times New Roman" w:cs="Times New Roman"/>
                <w:color w:val="auto"/>
                <w:spacing w:val="3"/>
                <w:position w:val="1"/>
                <w:sz w:val="17"/>
                <w:szCs w:val="17"/>
                <w:highlight w:val="none"/>
              </w:rPr>
              <w:t xml:space="preserve"> </w:t>
            </w:r>
            <w:r>
              <w:rPr>
                <w:rFonts w:ascii="宋体" w:hAnsi="宋体" w:eastAsia="宋体" w:cs="宋体"/>
                <w:color w:val="auto"/>
                <w:spacing w:val="3"/>
                <w:position w:val="1"/>
                <w:sz w:val="17"/>
                <w:szCs w:val="17"/>
                <w:highlight w:val="none"/>
              </w:rPr>
              <w:t xml:space="preserve">(靠近 </w:t>
            </w:r>
            <w:r>
              <w:rPr>
                <w:rFonts w:ascii="Times New Roman" w:hAnsi="Times New Roman" w:eastAsia="Times New Roman" w:cs="Times New Roman"/>
                <w:color w:val="auto"/>
                <w:spacing w:val="3"/>
                <w:position w:val="1"/>
                <w:sz w:val="17"/>
                <w:szCs w:val="17"/>
                <w:highlight w:val="none"/>
              </w:rPr>
              <w:t>220</w:t>
            </w:r>
            <w:r>
              <w:rPr>
                <w:rFonts w:ascii="Times New Roman" w:hAnsi="Times New Roman" w:eastAsia="Times New Roman" w:cs="Times New Roman"/>
                <w:color w:val="auto"/>
                <w:position w:val="1"/>
                <w:sz w:val="17"/>
                <w:szCs w:val="17"/>
                <w:highlight w:val="none"/>
              </w:rPr>
              <w:t>kV</w:t>
            </w:r>
            <w:r>
              <w:rPr>
                <w:rFonts w:ascii="Times New Roman" w:hAnsi="Times New Roman" w:eastAsia="Times New Roman" w:cs="Times New Roman"/>
                <w:color w:val="auto"/>
                <w:spacing w:val="3"/>
                <w:position w:val="1"/>
                <w:sz w:val="17"/>
                <w:szCs w:val="17"/>
                <w:highlight w:val="none"/>
              </w:rPr>
              <w:t xml:space="preserve"> </w:t>
            </w:r>
            <w:r>
              <w:rPr>
                <w:rFonts w:ascii="宋体" w:hAnsi="宋体" w:eastAsia="宋体" w:cs="宋体"/>
                <w:color w:val="auto"/>
                <w:spacing w:val="3"/>
                <w:position w:val="1"/>
                <w:sz w:val="17"/>
                <w:szCs w:val="17"/>
                <w:highlight w:val="none"/>
              </w:rPr>
              <w:t>鼎丛线)</w:t>
            </w:r>
          </w:p>
        </w:tc>
        <w:tc>
          <w:tcPr>
            <w:tcW w:w="2315" w:type="dxa"/>
            <w:vAlign w:val="top"/>
          </w:tcPr>
          <w:p>
            <w:pPr>
              <w:spacing w:before="49" w:line="197" w:lineRule="auto"/>
              <w:ind w:left="101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8</w:t>
            </w:r>
            <w:r>
              <w:rPr>
                <w:rFonts w:ascii="Times New Roman" w:hAnsi="Times New Roman" w:eastAsia="Times New Roman" w:cs="Times New Roman"/>
                <w:color w:val="auto"/>
                <w:spacing w:val="2"/>
                <w:sz w:val="17"/>
                <w:szCs w:val="17"/>
                <w:highlight w:val="none"/>
              </w:rPr>
              <w:t>2.3</w:t>
            </w:r>
          </w:p>
        </w:tc>
        <w:tc>
          <w:tcPr>
            <w:tcW w:w="2224" w:type="dxa"/>
            <w:tcBorders>
              <w:right w:val="single" w:color="000000" w:sz="10" w:space="0"/>
            </w:tcBorders>
            <w:vAlign w:val="top"/>
          </w:tcPr>
          <w:p>
            <w:pPr>
              <w:spacing w:before="49"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0.239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9075" w:type="dxa"/>
            <w:gridSpan w:val="4"/>
            <w:tcBorders>
              <w:left w:val="single" w:color="000000" w:sz="10" w:space="0"/>
              <w:right w:val="single" w:color="000000" w:sz="10" w:space="0"/>
            </w:tcBorders>
            <w:vAlign w:val="top"/>
          </w:tcPr>
          <w:p>
            <w:pPr>
              <w:spacing w:before="30" w:line="225" w:lineRule="auto"/>
              <w:ind w:left="4173"/>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敏感目标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005" w:type="dxa"/>
            <w:tcBorders>
              <w:left w:val="single" w:color="000000" w:sz="10" w:space="0"/>
            </w:tcBorders>
            <w:vAlign w:val="top"/>
          </w:tcPr>
          <w:p>
            <w:pPr>
              <w:spacing w:before="49" w:line="197" w:lineRule="auto"/>
              <w:ind w:left="46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1</w:t>
            </w:r>
          </w:p>
        </w:tc>
        <w:tc>
          <w:tcPr>
            <w:tcW w:w="3531" w:type="dxa"/>
            <w:vAlign w:val="top"/>
          </w:tcPr>
          <w:p>
            <w:pPr>
              <w:spacing w:before="32" w:line="224" w:lineRule="auto"/>
              <w:ind w:left="1135"/>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谭坊村郭家冲</w:t>
            </w:r>
            <w:r>
              <w:rPr>
                <w:rFonts w:ascii="宋体" w:hAnsi="宋体" w:eastAsia="宋体" w:cs="宋体"/>
                <w:color w:val="auto"/>
                <w:spacing w:val="8"/>
                <w:sz w:val="17"/>
                <w:szCs w:val="17"/>
                <w:highlight w:val="none"/>
              </w:rPr>
              <w:t>组</w:t>
            </w:r>
          </w:p>
        </w:tc>
        <w:tc>
          <w:tcPr>
            <w:tcW w:w="2315" w:type="dxa"/>
            <w:vAlign w:val="top"/>
          </w:tcPr>
          <w:p>
            <w:pPr>
              <w:spacing w:before="49" w:line="197" w:lineRule="auto"/>
              <w:ind w:left="100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2.5</w:t>
            </w:r>
          </w:p>
        </w:tc>
        <w:tc>
          <w:tcPr>
            <w:tcW w:w="2224" w:type="dxa"/>
            <w:tcBorders>
              <w:right w:val="single" w:color="000000" w:sz="10" w:space="0"/>
            </w:tcBorders>
            <w:vAlign w:val="top"/>
          </w:tcPr>
          <w:p>
            <w:pPr>
              <w:spacing w:before="49"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0</w:t>
            </w:r>
            <w:r>
              <w:rPr>
                <w:rFonts w:ascii="Times New Roman" w:hAnsi="Times New Roman" w:eastAsia="Times New Roman" w:cs="Times New Roman"/>
                <w:color w:val="auto"/>
                <w:spacing w:val="-4"/>
                <w:sz w:val="17"/>
                <w:szCs w:val="17"/>
                <w:highlight w:val="none"/>
              </w:rPr>
              <w:t>. 144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005" w:type="dxa"/>
            <w:tcBorders>
              <w:left w:val="single" w:color="000000" w:sz="10" w:space="0"/>
            </w:tcBorders>
            <w:vAlign w:val="top"/>
          </w:tcPr>
          <w:p>
            <w:pPr>
              <w:spacing w:before="47" w:line="197" w:lineRule="auto"/>
              <w:ind w:left="44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2</w:t>
            </w:r>
          </w:p>
        </w:tc>
        <w:tc>
          <w:tcPr>
            <w:tcW w:w="3531" w:type="dxa"/>
            <w:vAlign w:val="top"/>
          </w:tcPr>
          <w:p>
            <w:pPr>
              <w:spacing w:before="31" w:line="229" w:lineRule="auto"/>
              <w:ind w:left="1135"/>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谭坊村郭家冲</w:t>
            </w:r>
            <w:r>
              <w:rPr>
                <w:rFonts w:ascii="宋体" w:hAnsi="宋体" w:eastAsia="宋体" w:cs="宋体"/>
                <w:color w:val="auto"/>
                <w:spacing w:val="8"/>
                <w:sz w:val="17"/>
                <w:szCs w:val="17"/>
                <w:highlight w:val="none"/>
              </w:rPr>
              <w:t>组</w:t>
            </w:r>
          </w:p>
        </w:tc>
        <w:tc>
          <w:tcPr>
            <w:tcW w:w="2315" w:type="dxa"/>
            <w:vAlign w:val="top"/>
          </w:tcPr>
          <w:p>
            <w:pPr>
              <w:spacing w:before="47" w:line="197" w:lineRule="auto"/>
              <w:ind w:left="102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19.5</w:t>
            </w:r>
          </w:p>
        </w:tc>
        <w:tc>
          <w:tcPr>
            <w:tcW w:w="2224" w:type="dxa"/>
            <w:tcBorders>
              <w:right w:val="single" w:color="000000" w:sz="10" w:space="0"/>
            </w:tcBorders>
            <w:vAlign w:val="top"/>
          </w:tcPr>
          <w:p>
            <w:pPr>
              <w:spacing w:before="47"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0.098</w:t>
            </w:r>
          </w:p>
        </w:tc>
      </w:tr>
    </w:tbl>
    <w:p>
      <w:pPr>
        <w:rPr>
          <w:rFonts w:ascii="Arial"/>
          <w:color w:val="auto"/>
          <w:sz w:val="21"/>
          <w:highlight w:val="none"/>
        </w:rPr>
      </w:pPr>
    </w:p>
    <w:p>
      <w:pPr>
        <w:rPr>
          <w:color w:val="auto"/>
          <w:highlight w:val="none"/>
        </w:rPr>
        <w:sectPr>
          <w:headerReference r:id="rId17" w:type="default"/>
          <w:footerReference r:id="rId18" w:type="default"/>
          <w:pgSz w:w="11906" w:h="16839"/>
          <w:pgMar w:top="1212" w:right="1254" w:bottom="1156" w:left="1403" w:header="970" w:footer="996" w:gutter="0"/>
          <w:pgBorders>
            <w:top w:val="none" w:sz="0" w:space="0"/>
            <w:left w:val="none" w:sz="0" w:space="0"/>
            <w:bottom w:val="none" w:sz="0" w:space="0"/>
            <w:right w:val="none" w:sz="0" w:space="0"/>
          </w:pgBorders>
          <w:pgNumType w:fmt="decimal"/>
          <w:cols w:space="720" w:num="1"/>
        </w:sectPr>
      </w:pPr>
    </w:p>
    <w:p>
      <w:pPr>
        <w:spacing w:line="205" w:lineRule="exact"/>
        <w:rPr>
          <w:color w:val="auto"/>
          <w:highlight w:val="none"/>
        </w:rPr>
      </w:pPr>
    </w:p>
    <w:tbl>
      <w:tblPr>
        <w:tblStyle w:val="20"/>
        <w:tblW w:w="90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5"/>
        <w:gridCol w:w="3531"/>
        <w:gridCol w:w="2315"/>
        <w:gridCol w:w="2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1005" w:type="dxa"/>
            <w:tcBorders>
              <w:left w:val="single" w:color="000000" w:sz="10" w:space="0"/>
            </w:tcBorders>
            <w:vAlign w:val="top"/>
          </w:tcPr>
          <w:p>
            <w:pPr>
              <w:spacing w:before="69" w:line="197" w:lineRule="auto"/>
              <w:ind w:left="44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3</w:t>
            </w:r>
          </w:p>
        </w:tc>
        <w:tc>
          <w:tcPr>
            <w:tcW w:w="3531" w:type="dxa"/>
            <w:vAlign w:val="top"/>
          </w:tcPr>
          <w:p>
            <w:pPr>
              <w:spacing w:before="53" w:line="206" w:lineRule="auto"/>
              <w:ind w:left="1135"/>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谭坊村郭家冲</w:t>
            </w:r>
            <w:r>
              <w:rPr>
                <w:rFonts w:ascii="宋体" w:hAnsi="宋体" w:eastAsia="宋体" w:cs="宋体"/>
                <w:color w:val="auto"/>
                <w:spacing w:val="8"/>
                <w:sz w:val="17"/>
                <w:szCs w:val="17"/>
                <w:highlight w:val="none"/>
              </w:rPr>
              <w:t>组</w:t>
            </w:r>
          </w:p>
        </w:tc>
        <w:tc>
          <w:tcPr>
            <w:tcW w:w="2315" w:type="dxa"/>
            <w:vAlign w:val="top"/>
          </w:tcPr>
          <w:p>
            <w:pPr>
              <w:spacing w:before="69" w:line="197" w:lineRule="auto"/>
              <w:ind w:left="102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w:t>
            </w:r>
            <w:r>
              <w:rPr>
                <w:rFonts w:ascii="Times New Roman" w:hAnsi="Times New Roman" w:eastAsia="Times New Roman" w:cs="Times New Roman"/>
                <w:color w:val="auto"/>
                <w:sz w:val="17"/>
                <w:szCs w:val="17"/>
                <w:highlight w:val="none"/>
              </w:rPr>
              <w:t>0 3</w:t>
            </w:r>
          </w:p>
        </w:tc>
        <w:tc>
          <w:tcPr>
            <w:tcW w:w="2224" w:type="dxa"/>
            <w:tcBorders>
              <w:right w:val="single" w:color="000000" w:sz="10" w:space="0"/>
            </w:tcBorders>
            <w:vAlign w:val="top"/>
          </w:tcPr>
          <w:p>
            <w:pPr>
              <w:spacing w:before="69"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0 088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1005" w:type="dxa"/>
            <w:tcBorders>
              <w:left w:val="single" w:color="000000" w:sz="10" w:space="0"/>
            </w:tcBorders>
            <w:vAlign w:val="top"/>
          </w:tcPr>
          <w:p>
            <w:pPr>
              <w:spacing w:before="63" w:line="197" w:lineRule="auto"/>
              <w:ind w:left="44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4</w:t>
            </w:r>
          </w:p>
        </w:tc>
        <w:tc>
          <w:tcPr>
            <w:tcW w:w="3531" w:type="dxa"/>
            <w:vAlign w:val="top"/>
          </w:tcPr>
          <w:p>
            <w:pPr>
              <w:spacing w:before="47" w:line="229" w:lineRule="auto"/>
              <w:ind w:left="1135"/>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谭坊村郭家冲</w:t>
            </w:r>
            <w:r>
              <w:rPr>
                <w:rFonts w:ascii="宋体" w:hAnsi="宋体" w:eastAsia="宋体" w:cs="宋体"/>
                <w:color w:val="auto"/>
                <w:spacing w:val="8"/>
                <w:sz w:val="17"/>
                <w:szCs w:val="17"/>
                <w:highlight w:val="none"/>
              </w:rPr>
              <w:t>组</w:t>
            </w:r>
          </w:p>
        </w:tc>
        <w:tc>
          <w:tcPr>
            <w:tcW w:w="2315" w:type="dxa"/>
            <w:vAlign w:val="top"/>
          </w:tcPr>
          <w:p>
            <w:pPr>
              <w:spacing w:before="64" w:line="197" w:lineRule="auto"/>
              <w:ind w:left="10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3</w:t>
            </w:r>
            <w:r>
              <w:rPr>
                <w:rFonts w:ascii="Times New Roman" w:hAnsi="Times New Roman" w:eastAsia="Times New Roman" w:cs="Times New Roman"/>
                <w:color w:val="auto"/>
                <w:spacing w:val="3"/>
                <w:sz w:val="17"/>
                <w:szCs w:val="17"/>
                <w:highlight w:val="none"/>
              </w:rPr>
              <w:t>.8</w:t>
            </w:r>
          </w:p>
        </w:tc>
        <w:tc>
          <w:tcPr>
            <w:tcW w:w="2224" w:type="dxa"/>
            <w:tcBorders>
              <w:right w:val="single" w:color="000000" w:sz="10" w:space="0"/>
            </w:tcBorders>
            <w:vAlign w:val="top"/>
          </w:tcPr>
          <w:p>
            <w:pPr>
              <w:spacing w:before="64"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0.071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005" w:type="dxa"/>
            <w:tcBorders>
              <w:left w:val="single" w:color="000000" w:sz="10" w:space="0"/>
            </w:tcBorders>
            <w:vAlign w:val="top"/>
          </w:tcPr>
          <w:p>
            <w:pPr>
              <w:spacing w:before="45" w:line="194" w:lineRule="auto"/>
              <w:ind w:left="44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5</w:t>
            </w:r>
          </w:p>
        </w:tc>
        <w:tc>
          <w:tcPr>
            <w:tcW w:w="3531" w:type="dxa"/>
            <w:vAlign w:val="top"/>
          </w:tcPr>
          <w:p>
            <w:pPr>
              <w:spacing w:before="27" w:line="228" w:lineRule="auto"/>
              <w:ind w:left="1135"/>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谭坊村郭家冲</w:t>
            </w:r>
            <w:r>
              <w:rPr>
                <w:rFonts w:ascii="宋体" w:hAnsi="宋体" w:eastAsia="宋体" w:cs="宋体"/>
                <w:color w:val="auto"/>
                <w:spacing w:val="8"/>
                <w:sz w:val="17"/>
                <w:szCs w:val="17"/>
                <w:highlight w:val="none"/>
              </w:rPr>
              <w:t>组</w:t>
            </w:r>
          </w:p>
        </w:tc>
        <w:tc>
          <w:tcPr>
            <w:tcW w:w="2315" w:type="dxa"/>
            <w:vAlign w:val="top"/>
          </w:tcPr>
          <w:p>
            <w:pPr>
              <w:spacing w:before="43" w:line="197" w:lineRule="auto"/>
              <w:ind w:left="10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6</w:t>
            </w:r>
            <w:r>
              <w:rPr>
                <w:rFonts w:ascii="Times New Roman" w:hAnsi="Times New Roman" w:eastAsia="Times New Roman" w:cs="Times New Roman"/>
                <w:color w:val="auto"/>
                <w:spacing w:val="1"/>
                <w:sz w:val="17"/>
                <w:szCs w:val="17"/>
                <w:highlight w:val="none"/>
              </w:rPr>
              <w:t>.2</w:t>
            </w:r>
          </w:p>
        </w:tc>
        <w:tc>
          <w:tcPr>
            <w:tcW w:w="2224" w:type="dxa"/>
            <w:tcBorders>
              <w:right w:val="single" w:color="000000" w:sz="10" w:space="0"/>
            </w:tcBorders>
            <w:vAlign w:val="top"/>
          </w:tcPr>
          <w:p>
            <w:pPr>
              <w:spacing w:before="43"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0.081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46" w:line="197" w:lineRule="auto"/>
              <w:ind w:left="44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6</w:t>
            </w:r>
          </w:p>
        </w:tc>
        <w:tc>
          <w:tcPr>
            <w:tcW w:w="3531" w:type="dxa"/>
            <w:vAlign w:val="top"/>
          </w:tcPr>
          <w:p>
            <w:pPr>
              <w:spacing w:before="29" w:line="226" w:lineRule="auto"/>
              <w:ind w:left="1135"/>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谭坊村郭家冲</w:t>
            </w:r>
            <w:r>
              <w:rPr>
                <w:rFonts w:ascii="宋体" w:hAnsi="宋体" w:eastAsia="宋体" w:cs="宋体"/>
                <w:color w:val="auto"/>
                <w:spacing w:val="8"/>
                <w:sz w:val="17"/>
                <w:szCs w:val="17"/>
                <w:highlight w:val="none"/>
              </w:rPr>
              <w:t>组</w:t>
            </w:r>
          </w:p>
        </w:tc>
        <w:tc>
          <w:tcPr>
            <w:tcW w:w="2315" w:type="dxa"/>
            <w:vAlign w:val="top"/>
          </w:tcPr>
          <w:p>
            <w:pPr>
              <w:spacing w:before="46" w:line="197" w:lineRule="auto"/>
              <w:ind w:left="101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8</w:t>
            </w:r>
            <w:r>
              <w:rPr>
                <w:rFonts w:ascii="Times New Roman" w:hAnsi="Times New Roman" w:eastAsia="Times New Roman" w:cs="Times New Roman"/>
                <w:color w:val="auto"/>
                <w:spacing w:val="2"/>
                <w:sz w:val="17"/>
                <w:szCs w:val="17"/>
                <w:highlight w:val="none"/>
              </w:rPr>
              <w:t>1.6</w:t>
            </w:r>
          </w:p>
        </w:tc>
        <w:tc>
          <w:tcPr>
            <w:tcW w:w="2224" w:type="dxa"/>
            <w:tcBorders>
              <w:right w:val="single" w:color="000000" w:sz="10" w:space="0"/>
            </w:tcBorders>
            <w:vAlign w:val="top"/>
          </w:tcPr>
          <w:p>
            <w:pPr>
              <w:spacing w:before="46"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0.295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005" w:type="dxa"/>
            <w:tcBorders>
              <w:left w:val="single" w:color="000000" w:sz="10" w:space="0"/>
            </w:tcBorders>
            <w:vAlign w:val="top"/>
          </w:tcPr>
          <w:p>
            <w:pPr>
              <w:spacing w:before="47" w:line="194" w:lineRule="auto"/>
              <w:ind w:left="4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7</w:t>
            </w:r>
          </w:p>
        </w:tc>
        <w:tc>
          <w:tcPr>
            <w:tcW w:w="3531" w:type="dxa"/>
            <w:vAlign w:val="top"/>
          </w:tcPr>
          <w:p>
            <w:pPr>
              <w:spacing w:before="28" w:line="226" w:lineRule="auto"/>
              <w:ind w:left="1135"/>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谭坊村郭家冲</w:t>
            </w:r>
            <w:r>
              <w:rPr>
                <w:rFonts w:ascii="宋体" w:hAnsi="宋体" w:eastAsia="宋体" w:cs="宋体"/>
                <w:color w:val="auto"/>
                <w:spacing w:val="8"/>
                <w:sz w:val="17"/>
                <w:szCs w:val="17"/>
                <w:highlight w:val="none"/>
              </w:rPr>
              <w:t>组</w:t>
            </w:r>
          </w:p>
        </w:tc>
        <w:tc>
          <w:tcPr>
            <w:tcW w:w="2315" w:type="dxa"/>
            <w:vAlign w:val="top"/>
          </w:tcPr>
          <w:p>
            <w:pPr>
              <w:spacing w:before="45" w:line="197" w:lineRule="auto"/>
              <w:ind w:left="100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2.5</w:t>
            </w:r>
          </w:p>
        </w:tc>
        <w:tc>
          <w:tcPr>
            <w:tcW w:w="2224" w:type="dxa"/>
            <w:tcBorders>
              <w:right w:val="single" w:color="000000" w:sz="10" w:space="0"/>
            </w:tcBorders>
            <w:vAlign w:val="top"/>
          </w:tcPr>
          <w:p>
            <w:pPr>
              <w:spacing w:before="45"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0</w:t>
            </w:r>
            <w:r>
              <w:rPr>
                <w:rFonts w:ascii="Times New Roman" w:hAnsi="Times New Roman" w:eastAsia="Times New Roman" w:cs="Times New Roman"/>
                <w:color w:val="auto"/>
                <w:spacing w:val="-4"/>
                <w:sz w:val="17"/>
                <w:szCs w:val="17"/>
                <w:highlight w:val="none"/>
              </w:rPr>
              <w:t>. 144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48" w:line="197" w:lineRule="auto"/>
              <w:ind w:left="45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8</w:t>
            </w:r>
          </w:p>
        </w:tc>
        <w:tc>
          <w:tcPr>
            <w:tcW w:w="3531" w:type="dxa"/>
            <w:vAlign w:val="top"/>
          </w:tcPr>
          <w:p>
            <w:pPr>
              <w:spacing w:before="31" w:line="224" w:lineRule="auto"/>
              <w:ind w:left="1044"/>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谭坊村木材加工厂</w:t>
            </w:r>
          </w:p>
        </w:tc>
        <w:tc>
          <w:tcPr>
            <w:tcW w:w="2315" w:type="dxa"/>
            <w:vAlign w:val="top"/>
          </w:tcPr>
          <w:p>
            <w:pPr>
              <w:spacing w:before="48" w:line="200" w:lineRule="auto"/>
              <w:ind w:left="106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.8</w:t>
            </w:r>
          </w:p>
        </w:tc>
        <w:tc>
          <w:tcPr>
            <w:tcW w:w="2224" w:type="dxa"/>
            <w:tcBorders>
              <w:right w:val="single" w:color="000000" w:sz="10" w:space="0"/>
            </w:tcBorders>
            <w:vAlign w:val="top"/>
          </w:tcPr>
          <w:p>
            <w:pPr>
              <w:spacing w:before="48"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0.056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005" w:type="dxa"/>
            <w:tcBorders>
              <w:left w:val="single" w:color="000000" w:sz="10" w:space="0"/>
            </w:tcBorders>
            <w:vAlign w:val="top"/>
          </w:tcPr>
          <w:p>
            <w:pPr>
              <w:spacing w:before="47" w:line="197" w:lineRule="auto"/>
              <w:ind w:left="44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9</w:t>
            </w:r>
          </w:p>
        </w:tc>
        <w:tc>
          <w:tcPr>
            <w:tcW w:w="3531" w:type="dxa"/>
            <w:vAlign w:val="top"/>
          </w:tcPr>
          <w:p>
            <w:pPr>
              <w:spacing w:before="30" w:line="224" w:lineRule="auto"/>
              <w:ind w:left="1315"/>
              <w:rPr>
                <w:rFonts w:ascii="宋体" w:hAnsi="宋体" w:eastAsia="宋体" w:cs="宋体"/>
                <w:color w:val="auto"/>
                <w:sz w:val="17"/>
                <w:szCs w:val="17"/>
                <w:highlight w:val="none"/>
              </w:rPr>
            </w:pPr>
            <w:r>
              <w:rPr>
                <w:rFonts w:ascii="宋体" w:hAnsi="宋体" w:eastAsia="宋体" w:cs="宋体"/>
                <w:color w:val="auto"/>
                <w:spacing w:val="10"/>
                <w:sz w:val="17"/>
                <w:szCs w:val="17"/>
                <w:highlight w:val="none"/>
              </w:rPr>
              <w:t>谭</w:t>
            </w:r>
            <w:r>
              <w:rPr>
                <w:rFonts w:ascii="宋体" w:hAnsi="宋体" w:eastAsia="宋体" w:cs="宋体"/>
                <w:color w:val="auto"/>
                <w:spacing w:val="8"/>
                <w:sz w:val="17"/>
                <w:szCs w:val="17"/>
                <w:highlight w:val="none"/>
              </w:rPr>
              <w:t>坊村寺庙</w:t>
            </w:r>
          </w:p>
        </w:tc>
        <w:tc>
          <w:tcPr>
            <w:tcW w:w="2315" w:type="dxa"/>
            <w:vAlign w:val="top"/>
          </w:tcPr>
          <w:p>
            <w:pPr>
              <w:spacing w:before="48" w:line="197" w:lineRule="auto"/>
              <w:ind w:left="105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0.</w:t>
            </w:r>
            <w:r>
              <w:rPr>
                <w:rFonts w:ascii="Times New Roman" w:hAnsi="Times New Roman" w:eastAsia="Times New Roman" w:cs="Times New Roman"/>
                <w:color w:val="auto"/>
                <w:spacing w:val="1"/>
                <w:sz w:val="17"/>
                <w:szCs w:val="17"/>
                <w:highlight w:val="none"/>
              </w:rPr>
              <w:t>9</w:t>
            </w:r>
          </w:p>
        </w:tc>
        <w:tc>
          <w:tcPr>
            <w:tcW w:w="2224" w:type="dxa"/>
            <w:tcBorders>
              <w:right w:val="single" w:color="000000" w:sz="10" w:space="0"/>
            </w:tcBorders>
            <w:vAlign w:val="top"/>
          </w:tcPr>
          <w:p>
            <w:pPr>
              <w:spacing w:before="48"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0</w:t>
            </w:r>
            <w:r>
              <w:rPr>
                <w:rFonts w:ascii="Times New Roman" w:hAnsi="Times New Roman" w:eastAsia="Times New Roman" w:cs="Times New Roman"/>
                <w:color w:val="auto"/>
                <w:spacing w:val="-4"/>
                <w:sz w:val="17"/>
                <w:szCs w:val="17"/>
                <w:highlight w:val="none"/>
              </w:rPr>
              <w:t>. 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005" w:type="dxa"/>
            <w:tcBorders>
              <w:left w:val="single" w:color="000000" w:sz="10" w:space="0"/>
            </w:tcBorders>
            <w:vAlign w:val="top"/>
          </w:tcPr>
          <w:p>
            <w:pPr>
              <w:spacing w:before="50" w:line="197" w:lineRule="auto"/>
              <w:ind w:left="4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10</w:t>
            </w:r>
          </w:p>
        </w:tc>
        <w:tc>
          <w:tcPr>
            <w:tcW w:w="3531" w:type="dxa"/>
            <w:vAlign w:val="top"/>
          </w:tcPr>
          <w:p>
            <w:pPr>
              <w:spacing w:before="33" w:line="222" w:lineRule="auto"/>
              <w:ind w:left="1044"/>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谭坊村垃圾分类站</w:t>
            </w:r>
          </w:p>
        </w:tc>
        <w:tc>
          <w:tcPr>
            <w:tcW w:w="2315" w:type="dxa"/>
            <w:vAlign w:val="top"/>
          </w:tcPr>
          <w:p>
            <w:pPr>
              <w:spacing w:before="50" w:line="197" w:lineRule="auto"/>
              <w:ind w:left="10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6</w:t>
            </w:r>
            <w:r>
              <w:rPr>
                <w:rFonts w:ascii="Times New Roman" w:hAnsi="Times New Roman" w:eastAsia="Times New Roman" w:cs="Times New Roman"/>
                <w:color w:val="auto"/>
                <w:spacing w:val="3"/>
                <w:sz w:val="17"/>
                <w:szCs w:val="17"/>
                <w:highlight w:val="none"/>
              </w:rPr>
              <w:t>.8</w:t>
            </w:r>
          </w:p>
        </w:tc>
        <w:tc>
          <w:tcPr>
            <w:tcW w:w="2224" w:type="dxa"/>
            <w:tcBorders>
              <w:right w:val="single" w:color="000000" w:sz="10" w:space="0"/>
            </w:tcBorders>
            <w:vAlign w:val="top"/>
          </w:tcPr>
          <w:p>
            <w:pPr>
              <w:spacing w:before="50"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0.257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005" w:type="dxa"/>
            <w:tcBorders>
              <w:left w:val="single" w:color="000000" w:sz="10" w:space="0"/>
            </w:tcBorders>
            <w:vAlign w:val="top"/>
          </w:tcPr>
          <w:p>
            <w:pPr>
              <w:spacing w:before="49" w:line="197" w:lineRule="auto"/>
              <w:ind w:left="42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1</w:t>
            </w:r>
            <w:r>
              <w:rPr>
                <w:rFonts w:ascii="Times New Roman" w:hAnsi="Times New Roman" w:eastAsia="Times New Roman" w:cs="Times New Roman"/>
                <w:color w:val="auto"/>
                <w:spacing w:val="-7"/>
                <w:sz w:val="17"/>
                <w:szCs w:val="17"/>
                <w:highlight w:val="none"/>
              </w:rPr>
              <w:t>1</w:t>
            </w:r>
          </w:p>
        </w:tc>
        <w:tc>
          <w:tcPr>
            <w:tcW w:w="3531" w:type="dxa"/>
            <w:vAlign w:val="top"/>
          </w:tcPr>
          <w:p>
            <w:pPr>
              <w:spacing w:before="33" w:line="221" w:lineRule="auto"/>
              <w:ind w:left="1135"/>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谭坊村郭家冲</w:t>
            </w:r>
            <w:r>
              <w:rPr>
                <w:rFonts w:ascii="宋体" w:hAnsi="宋体" w:eastAsia="宋体" w:cs="宋体"/>
                <w:color w:val="auto"/>
                <w:spacing w:val="8"/>
                <w:sz w:val="17"/>
                <w:szCs w:val="17"/>
                <w:highlight w:val="none"/>
              </w:rPr>
              <w:t>组</w:t>
            </w:r>
          </w:p>
        </w:tc>
        <w:tc>
          <w:tcPr>
            <w:tcW w:w="2315" w:type="dxa"/>
            <w:vAlign w:val="top"/>
          </w:tcPr>
          <w:p>
            <w:pPr>
              <w:spacing w:before="49" w:line="197" w:lineRule="auto"/>
              <w:ind w:left="105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7.</w:t>
            </w:r>
            <w:r>
              <w:rPr>
                <w:rFonts w:ascii="Times New Roman" w:hAnsi="Times New Roman" w:eastAsia="Times New Roman" w:cs="Times New Roman"/>
                <w:color w:val="auto"/>
                <w:spacing w:val="1"/>
                <w:sz w:val="17"/>
                <w:szCs w:val="17"/>
                <w:highlight w:val="none"/>
              </w:rPr>
              <w:t>2</w:t>
            </w:r>
          </w:p>
        </w:tc>
        <w:tc>
          <w:tcPr>
            <w:tcW w:w="2224" w:type="dxa"/>
            <w:tcBorders>
              <w:right w:val="single" w:color="000000" w:sz="10" w:space="0"/>
            </w:tcBorders>
            <w:vAlign w:val="top"/>
          </w:tcPr>
          <w:p>
            <w:pPr>
              <w:spacing w:before="50" w:line="197" w:lineRule="auto"/>
              <w:ind w:left="91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0</w:t>
            </w:r>
            <w:r>
              <w:rPr>
                <w:rFonts w:ascii="Times New Roman" w:hAnsi="Times New Roman" w:eastAsia="Times New Roman" w:cs="Times New Roman"/>
                <w:color w:val="auto"/>
                <w:spacing w:val="-5"/>
                <w:sz w:val="17"/>
                <w:szCs w:val="17"/>
                <w:highlight w:val="none"/>
              </w:rPr>
              <w:t>. 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005" w:type="dxa"/>
            <w:tcBorders>
              <w:left w:val="single" w:color="000000" w:sz="10" w:space="0"/>
            </w:tcBorders>
            <w:vAlign w:val="top"/>
          </w:tcPr>
          <w:p>
            <w:pPr>
              <w:spacing w:before="50" w:line="197" w:lineRule="auto"/>
              <w:ind w:left="4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12</w:t>
            </w:r>
          </w:p>
        </w:tc>
        <w:tc>
          <w:tcPr>
            <w:tcW w:w="3531" w:type="dxa"/>
            <w:vAlign w:val="top"/>
          </w:tcPr>
          <w:p>
            <w:pPr>
              <w:spacing w:before="34" w:line="229" w:lineRule="auto"/>
              <w:ind w:left="1224"/>
              <w:rPr>
                <w:rFonts w:ascii="宋体" w:hAnsi="宋体" w:eastAsia="宋体" w:cs="宋体"/>
                <w:color w:val="auto"/>
                <w:sz w:val="17"/>
                <w:szCs w:val="17"/>
                <w:highlight w:val="none"/>
              </w:rPr>
            </w:pPr>
            <w:r>
              <w:rPr>
                <w:rFonts w:ascii="宋体" w:hAnsi="宋体" w:eastAsia="宋体" w:cs="宋体"/>
                <w:color w:val="auto"/>
                <w:spacing w:val="9"/>
                <w:sz w:val="17"/>
                <w:szCs w:val="17"/>
                <w:highlight w:val="none"/>
              </w:rPr>
              <w:t>谭坊村养殖</w:t>
            </w:r>
            <w:r>
              <w:rPr>
                <w:rFonts w:ascii="宋体" w:hAnsi="宋体" w:eastAsia="宋体" w:cs="宋体"/>
                <w:color w:val="auto"/>
                <w:spacing w:val="7"/>
                <w:sz w:val="17"/>
                <w:szCs w:val="17"/>
                <w:highlight w:val="none"/>
              </w:rPr>
              <w:t>场</w:t>
            </w:r>
          </w:p>
        </w:tc>
        <w:tc>
          <w:tcPr>
            <w:tcW w:w="2315" w:type="dxa"/>
            <w:vAlign w:val="top"/>
          </w:tcPr>
          <w:p>
            <w:pPr>
              <w:spacing w:before="50" w:line="200" w:lineRule="auto"/>
              <w:ind w:left="104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w:t>
            </w:r>
            <w:r>
              <w:rPr>
                <w:rFonts w:ascii="Times New Roman" w:hAnsi="Times New Roman" w:eastAsia="Times New Roman" w:cs="Times New Roman"/>
                <w:color w:val="auto"/>
                <w:spacing w:val="2"/>
                <w:sz w:val="17"/>
                <w:szCs w:val="17"/>
                <w:highlight w:val="none"/>
              </w:rPr>
              <w:t>.4</w:t>
            </w:r>
          </w:p>
        </w:tc>
        <w:tc>
          <w:tcPr>
            <w:tcW w:w="2224" w:type="dxa"/>
            <w:tcBorders>
              <w:right w:val="single" w:color="000000" w:sz="10" w:space="0"/>
            </w:tcBorders>
            <w:vAlign w:val="top"/>
          </w:tcPr>
          <w:p>
            <w:pPr>
              <w:spacing w:before="50" w:line="197" w:lineRule="auto"/>
              <w:ind w:left="91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0.371</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变电站厂界：长沙鼎功500kV  变电站厂界四周工频电场强度最大值为2645.6V/m， 工频磁感应强度最大值为10.221μT；其中厂界北侧测点1受变电站500kV 出线影响电场强度测值偏大，厂界西侧测点2受升压站影响磁场强度测值偏大，工频电场强度仍小于 4000V/m ，工频磁感应强度仍小于100μT。</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变电站四周各环境敏感目标测得的工频电场强度最大值为81.6V/m，工频磁感应强 度最大值为0.371μT ，工频电场强度小于4000V/m ，工频磁感应强度小于100 μT。</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变电站东侧衰减断面：由于受地形条件限制，衰减断面布设在厂界东侧偏南。鼎功 500kV 变电站围墙外5~50m  各监测点工频电场强度监测值为81.0～91.3V/m ；磁感应 强度监测值为0. 130～0.239 μT ，分别满足4000V/m 、100 μT  标准要求。工频电场强 度随着距离变电站围墙距离增加基本上呈减小趋势，在距变电站厂界45m 、50m  处由 于受220kV鼎丛线影响，工频电场、工频磁场值有所增加。衰减断面上工频电场强度、 工频磁感应强度均小于《电磁环境控制限值》  (GB8702-2014) 规定的 4000V/m 、100 μT 标准限值。</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25" w:name="_Toc13070"/>
      <w:r>
        <w:rPr>
          <w:rFonts w:hint="eastAsia" w:ascii="Times New Roman" w:hAnsi="Times New Roman" w:eastAsia="宋体" w:cs="Times New Roman"/>
          <w:snapToGrid/>
          <w:kern w:val="0"/>
          <w:sz w:val="24"/>
          <w:szCs w:val="24"/>
          <w:highlight w:val="none"/>
          <w:lang w:val="en-US" w:eastAsia="zh-CN" w:bidi="ar"/>
        </w:rPr>
        <w:t>( 10)500kV 汇集站电磁环境影响分析评价</w:t>
      </w:r>
      <w:bookmarkEnd w:id="125"/>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由于本工程500kV 汇集站的电压等级、总平面布局、 出线条件等均类似于鼎功 500kV变电站，故类比鼎功500kV  变电站厂界外实测的工频电场强度、磁感应强度能 反映本工程 500kV 汇集站投运后的情况。</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xml:space="preserve">由鼎功500kV 变电站类比监测结果可知，500kV 汇集站建成后，围墙外区域的工 频电场强度、工频磁感应强度分别小于4000V/m 、100 μT ，即满足《电磁环境控制限 值》(GB 8702-2014) 要求。 由此可推测500kV 汇集站建成后，围墙外区域的工频电场强度、工频磁感应强度也将会小于4000V/m 、100 μT ，即满足《电磁环境控制限值》 </w:t>
      </w:r>
      <w:r>
        <w:rPr>
          <w:rFonts w:hint="eastAsia" w:ascii="Times New Roman" w:hAnsi="Times New Roman" w:eastAsia="宋体" w:cs="Times New Roman"/>
          <w:snapToGrid/>
          <w:kern w:val="0"/>
          <w:sz w:val="24"/>
          <w:szCs w:val="24"/>
          <w:highlight w:val="none"/>
          <w:lang w:val="en-US" w:eastAsia="zh-CN" w:bidi="ar"/>
        </w:rPr>
        <w:tab/>
      </w:r>
      <w:r>
        <w:rPr>
          <w:rFonts w:hint="eastAsia" w:ascii="Times New Roman" w:hAnsi="Times New Roman" w:eastAsia="宋体" w:cs="Times New Roman"/>
          <w:snapToGrid/>
          <w:kern w:val="0"/>
          <w:sz w:val="24"/>
          <w:szCs w:val="24"/>
          <w:highlight w:val="none"/>
          <w:lang w:val="en-US" w:eastAsia="zh-CN" w:bidi="ar"/>
        </w:rPr>
        <w:t>(GB 8702-2014) 要求。</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26" w:name="_bookmark127"/>
      <w:bookmarkEnd w:id="126"/>
      <w:bookmarkStart w:id="127" w:name="_Toc26104"/>
      <w:r>
        <w:rPr>
          <w:rFonts w:hint="eastAsia" w:ascii="Times New Roman" w:hAnsi="Times New Roman" w:eastAsia="宋体" w:cs="Times New Roman"/>
          <w:snapToGrid/>
          <w:kern w:val="0"/>
          <w:sz w:val="24"/>
          <w:szCs w:val="24"/>
          <w:highlight w:val="none"/>
          <w:lang w:val="en-US" w:eastAsia="zh-CN" w:bidi="ar"/>
        </w:rPr>
        <w:t>6.1.2    交流输电线路工程</w:t>
      </w:r>
      <w:bookmarkEnd w:id="127"/>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对于500kV 汇集站交流输电线路工程，拟采用模式预测方法，同时类比分析目前已</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sectPr>
          <w:headerReference r:id="rId19" w:type="default"/>
          <w:footerReference r:id="rId20" w:type="default"/>
          <w:pgSz w:w="11906" w:h="16839"/>
          <w:pgMar w:top="1212" w:right="1312" w:bottom="1156" w:left="1403" w:header="970" w:footer="996" w:gutter="0"/>
          <w:pgBorders>
            <w:top w:val="none" w:sz="0" w:space="0"/>
            <w:left w:val="none" w:sz="0" w:space="0"/>
            <w:bottom w:val="none" w:sz="0" w:space="0"/>
            <w:right w:val="none" w:sz="0" w:space="0"/>
          </w:pgBorders>
          <w:pgNumType w:fmt="decimal"/>
          <w:cols w:space="720" w:num="1"/>
        </w:sectPr>
      </w:pP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建成运行的同电压等级的交流输电线路。本项目新建5k单回500kv输电线1条、新建26km单回220kv输电线1条，本次评价选取高电压等级的500kv输电线作为预测对象。</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6.1.2.1    模式预测</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 预测模型</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本工程交流输电线路的工频电场强度、工频磁感应强度理论计算按照《环境影响评 价技术导则 输变电》(HJ24-2020)附录 C 、D 推荐的计算模式进行。</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 计算参数的选取</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因交流输电线路运行产生的工频电场强度、工频磁感应强度主要由导线型式、导线 对地高度、相间距离和线路运行工况(电压、电流)等因素决定。导线型式、对地高度和 运行工况等相同时，对于工频电场强度和工频磁感应强度而言，相间距离大的塔型较相 间距离小的塔型略大。鉴于线路沿线采用多种塔型，且直线塔运用最多，故本次评价选</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择相间距最大的直线塔进行预测。</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根据《110kV-750kV 架空输电线路设计规范》(GB50545-2010) ，线路经过居民区时 导线对地最小距离为14m ，线路经过非居民区(农业耕作区等)时导线对地最小距离为 11m。根据现场踏勘，距离本项目输电线最近居民区为56m，房屋类型为1 层房屋。根据设计单位提供资料，塔基高度33m，本次预测导线对地高度33m(距离居民区最近处)距地面1.5m 高度处的工频电场强度、工频磁感应强度；预测导线对地高度21m(非居民区)距地面1.5m 高度处的工频电场强度、工频磁感应强度；同时分析工频电场强度10kV/m 的农业耕作区的线高要求，计算了工频电场强度4kV/m 等值线。根据4kV/m 的工频电场等值线，给出了工程满足工频电场强度小于4kV/m 的最低线高，并对该线高情况下的工频电磁场进行了预测。</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预测电压为标称电压500kV 的1.05 倍，即525kV。</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  计算情景的设立</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本工程500kV 汇集站-输电线路为单回路架设。采用4×JL/G1A-400/35钢芯铝绞线，分裂间距450mm 。本次评价结合线路架设方式，预测单回路情况下的电磁影响。计算示意图见图6. 1-2 。预测塔型图见图6. 1-3 。预测计算参数见表6. 1-4。</w:t>
      </w:r>
    </w:p>
    <w:p>
      <w:pPr>
        <w:rPr>
          <w:color w:val="auto"/>
          <w:highlight w:val="none"/>
        </w:rPr>
        <w:sectPr>
          <w:headerReference r:id="rId21" w:type="default"/>
          <w:footerReference r:id="rId22" w:type="default"/>
          <w:pgSz w:w="11906" w:h="16839"/>
          <w:pgMar w:top="1212" w:right="1356" w:bottom="1156" w:left="1425" w:header="970" w:footer="996" w:gutter="0"/>
          <w:pgBorders>
            <w:top w:val="none" w:sz="0" w:space="0"/>
            <w:left w:val="none" w:sz="0" w:space="0"/>
            <w:bottom w:val="none" w:sz="0" w:space="0"/>
            <w:right w:val="none" w:sz="0" w:space="0"/>
          </w:pgBorders>
          <w:pgNumType w:fmt="decimal"/>
          <w:cols w:space="720" w:num="1"/>
        </w:sectPr>
      </w:pPr>
    </w:p>
    <w:p>
      <w:pPr>
        <w:spacing w:before="205" w:line="3000" w:lineRule="exact"/>
        <w:ind w:firstLine="35"/>
        <w:textAlignment w:val="center"/>
        <w:rPr>
          <w:color w:val="0000FF"/>
          <w:highlight w:val="none"/>
        </w:rPr>
      </w:pPr>
      <w:r>
        <w:rPr>
          <w:color w:val="0000FF"/>
          <w:highlight w:val="none"/>
        </w:rPr>
        <w:drawing>
          <wp:inline distT="0" distB="0" distL="0" distR="0">
            <wp:extent cx="5734685" cy="1905000"/>
            <wp:effectExtent l="0" t="0" r="10795"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68"/>
                    <a:stretch>
                      <a:fillRect/>
                    </a:stretch>
                  </pic:blipFill>
                  <pic:spPr>
                    <a:xfrm>
                      <a:off x="0" y="0"/>
                      <a:ext cx="5734811" cy="1905000"/>
                    </a:xfrm>
                    <a:prstGeom prst="rect">
                      <a:avLst/>
                    </a:prstGeom>
                  </pic:spPr>
                </pic:pic>
              </a:graphicData>
            </a:graphic>
          </wp:inline>
        </w:drawing>
      </w:r>
    </w:p>
    <w:p>
      <w:pPr>
        <w:spacing w:before="167" w:line="230" w:lineRule="auto"/>
        <w:ind w:left="3590"/>
        <w:rPr>
          <w:rFonts w:ascii="黑体" w:hAnsi="黑体" w:eastAsia="黑体" w:cs="黑体"/>
          <w:color w:val="0000FF"/>
          <w:sz w:val="20"/>
          <w:szCs w:val="20"/>
          <w:highlight w:val="none"/>
        </w:rPr>
      </w:pPr>
      <w:r>
        <w:rPr>
          <w:rFonts w:ascii="黑体" w:hAnsi="黑体" w:eastAsia="黑体" w:cs="黑体"/>
          <w:color w:val="0000FF"/>
          <w:spacing w:val="-2"/>
          <w:sz w:val="20"/>
          <w:szCs w:val="20"/>
          <w:highlight w:val="none"/>
        </w:rPr>
        <w:t xml:space="preserve">图 </w:t>
      </w:r>
      <w:r>
        <w:rPr>
          <w:rFonts w:ascii="Times New Roman" w:hAnsi="Times New Roman" w:eastAsia="Times New Roman" w:cs="Times New Roman"/>
          <w:color w:val="0000FF"/>
          <w:spacing w:val="-2"/>
          <w:sz w:val="20"/>
          <w:szCs w:val="20"/>
          <w:highlight w:val="none"/>
        </w:rPr>
        <w:t xml:space="preserve">6. 1-2    </w:t>
      </w:r>
      <w:r>
        <w:rPr>
          <w:rFonts w:ascii="黑体" w:hAnsi="黑体" w:eastAsia="黑体" w:cs="黑体"/>
          <w:color w:val="0000FF"/>
          <w:spacing w:val="-1"/>
          <w:sz w:val="20"/>
          <w:szCs w:val="20"/>
          <w:highlight w:val="none"/>
        </w:rPr>
        <w:t>计算示意图</w:t>
      </w:r>
    </w:p>
    <w:p>
      <w:pPr>
        <w:keepNext w:val="0"/>
        <w:keepLines w:val="0"/>
        <w:pageBreakBefore w:val="0"/>
        <w:widowControl/>
        <w:kinsoku w:val="0"/>
        <w:wordWrap/>
        <w:overflowPunct/>
        <w:topLinePunct w:val="0"/>
        <w:autoSpaceDE w:val="0"/>
        <w:autoSpaceDN w:val="0"/>
        <w:bidi w:val="0"/>
        <w:adjustRightInd w:val="0"/>
        <w:snapToGrid w:val="0"/>
        <w:spacing w:before="164" w:line="360" w:lineRule="auto"/>
        <w:ind w:firstLine="1825"/>
        <w:textAlignment w:val="center"/>
        <w:rPr>
          <w:color w:val="0000FF"/>
          <w:highlight w:val="none"/>
        </w:rPr>
      </w:pPr>
      <w:r>
        <w:drawing>
          <wp:inline distT="0" distB="0" distL="114300" distR="114300">
            <wp:extent cx="2907665" cy="6438265"/>
            <wp:effectExtent l="0" t="0" r="3175" b="8255"/>
            <wp:docPr id="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
                    <pic:cNvPicPr>
                      <a:picLocks noChangeAspect="1"/>
                    </pic:cNvPicPr>
                  </pic:nvPicPr>
                  <pic:blipFill>
                    <a:blip r:embed="rId69"/>
                    <a:stretch>
                      <a:fillRect/>
                    </a:stretch>
                  </pic:blipFill>
                  <pic:spPr>
                    <a:xfrm>
                      <a:off x="0" y="0"/>
                      <a:ext cx="2907665" cy="6438265"/>
                    </a:xfrm>
                    <a:prstGeom prst="rect">
                      <a:avLst/>
                    </a:prstGeom>
                    <a:noFill/>
                    <a:ln>
                      <a:noFill/>
                    </a:ln>
                  </pic:spPr>
                </pic:pic>
              </a:graphicData>
            </a:graphic>
          </wp:inline>
        </w:drawing>
      </w:r>
    </w:p>
    <w:p>
      <w:pPr>
        <w:spacing w:before="68" w:line="230" w:lineRule="auto"/>
        <w:ind w:left="3590"/>
        <w:rPr>
          <w:rFonts w:ascii="黑体" w:hAnsi="黑体" w:eastAsia="黑体" w:cs="黑体"/>
          <w:color w:val="auto"/>
          <w:sz w:val="20"/>
          <w:szCs w:val="20"/>
          <w:highlight w:val="none"/>
        </w:rPr>
      </w:pPr>
      <w:r>
        <w:rPr>
          <w:rFonts w:ascii="黑体" w:hAnsi="黑体" w:eastAsia="黑体" w:cs="黑体"/>
          <w:color w:val="auto"/>
          <w:spacing w:val="-2"/>
          <w:sz w:val="20"/>
          <w:szCs w:val="20"/>
          <w:highlight w:val="none"/>
        </w:rPr>
        <w:t xml:space="preserve">图 </w:t>
      </w:r>
      <w:r>
        <w:rPr>
          <w:rFonts w:ascii="Times New Roman" w:hAnsi="Times New Roman" w:eastAsia="Times New Roman" w:cs="Times New Roman"/>
          <w:color w:val="auto"/>
          <w:spacing w:val="-2"/>
          <w:sz w:val="20"/>
          <w:szCs w:val="20"/>
          <w:highlight w:val="none"/>
        </w:rPr>
        <w:t xml:space="preserve">6. 1-3    </w:t>
      </w:r>
      <w:r>
        <w:rPr>
          <w:rFonts w:ascii="黑体" w:hAnsi="黑体" w:eastAsia="黑体" w:cs="黑体"/>
          <w:color w:val="auto"/>
          <w:spacing w:val="-1"/>
          <w:sz w:val="20"/>
          <w:szCs w:val="20"/>
          <w:highlight w:val="none"/>
        </w:rPr>
        <w:t>预测塔型图</w:t>
      </w:r>
    </w:p>
    <w:p>
      <w:pPr>
        <w:spacing w:before="159" w:line="229" w:lineRule="auto"/>
        <w:ind w:left="3056"/>
        <w:rPr>
          <w:rFonts w:ascii="黑体" w:hAnsi="黑体" w:eastAsia="黑体" w:cs="黑体"/>
          <w:color w:val="auto"/>
          <w:sz w:val="20"/>
          <w:szCs w:val="20"/>
          <w:highlight w:val="none"/>
        </w:rPr>
      </w:pPr>
      <w:r>
        <w:rPr>
          <w:rFonts w:ascii="黑体" w:hAnsi="黑体" w:eastAsia="黑体" w:cs="黑体"/>
          <w:color w:val="auto"/>
          <w:spacing w:val="2"/>
          <w:sz w:val="20"/>
          <w:szCs w:val="20"/>
          <w:highlight w:val="none"/>
        </w:rPr>
        <w:t xml:space="preserve">表 </w:t>
      </w:r>
      <w:r>
        <w:rPr>
          <w:rFonts w:ascii="Times New Roman" w:hAnsi="Times New Roman" w:eastAsia="Times New Roman" w:cs="Times New Roman"/>
          <w:color w:val="auto"/>
          <w:spacing w:val="2"/>
          <w:sz w:val="20"/>
          <w:szCs w:val="20"/>
          <w:highlight w:val="none"/>
        </w:rPr>
        <w:t>6. 1-</w:t>
      </w:r>
      <w:r>
        <w:rPr>
          <w:rFonts w:ascii="Times New Roman" w:hAnsi="Times New Roman" w:eastAsia="Times New Roman" w:cs="Times New Roman"/>
          <w:color w:val="auto"/>
          <w:spacing w:val="1"/>
          <w:sz w:val="20"/>
          <w:szCs w:val="20"/>
          <w:highlight w:val="none"/>
        </w:rPr>
        <w:t xml:space="preserve">4    </w:t>
      </w:r>
      <w:r>
        <w:rPr>
          <w:rFonts w:ascii="黑体" w:hAnsi="黑体" w:eastAsia="黑体" w:cs="黑体"/>
          <w:color w:val="auto"/>
          <w:spacing w:val="1"/>
          <w:sz w:val="20"/>
          <w:szCs w:val="20"/>
          <w:highlight w:val="none"/>
        </w:rPr>
        <w:t>电磁理论计算基础参数</w:t>
      </w:r>
    </w:p>
    <w:p>
      <w:pPr>
        <w:spacing w:line="129" w:lineRule="exact"/>
        <w:rPr>
          <w:color w:val="auto"/>
          <w:highlight w:val="none"/>
        </w:rPr>
      </w:pPr>
    </w:p>
    <w:tbl>
      <w:tblPr>
        <w:tblStyle w:val="20"/>
        <w:tblW w:w="908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
        <w:gridCol w:w="1571"/>
        <w:gridCol w:w="5"/>
        <w:gridCol w:w="1427"/>
        <w:gridCol w:w="20"/>
        <w:gridCol w:w="3008"/>
        <w:gridCol w:w="30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262" w:hRule="atLeast"/>
        </w:trPr>
        <w:tc>
          <w:tcPr>
            <w:tcW w:w="3003" w:type="dxa"/>
            <w:gridSpan w:val="3"/>
            <w:tcBorders>
              <w:left w:val="single" w:color="000000" w:sz="10" w:space="0"/>
            </w:tcBorders>
            <w:vAlign w:val="top"/>
          </w:tcPr>
          <w:p>
            <w:pPr>
              <w:spacing w:before="52" w:line="228" w:lineRule="auto"/>
              <w:ind w:left="1136"/>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预测情</w:t>
            </w:r>
            <w:r>
              <w:rPr>
                <w:rFonts w:ascii="宋体" w:hAnsi="宋体" w:eastAsia="宋体" w:cs="宋体"/>
                <w:color w:val="auto"/>
                <w:spacing w:val="7"/>
                <w:sz w:val="20"/>
                <w:szCs w:val="20"/>
                <w:highlight w:val="none"/>
              </w:rPr>
              <w:t>景</w:t>
            </w:r>
          </w:p>
        </w:tc>
        <w:tc>
          <w:tcPr>
            <w:tcW w:w="6072" w:type="dxa"/>
            <w:gridSpan w:val="3"/>
            <w:tcBorders>
              <w:right w:val="single" w:color="000000" w:sz="10" w:space="0"/>
            </w:tcBorders>
            <w:vAlign w:val="top"/>
          </w:tcPr>
          <w:p>
            <w:pPr>
              <w:spacing w:before="52" w:line="228" w:lineRule="auto"/>
              <w:ind w:left="2768"/>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单回路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238" w:hRule="atLeast"/>
        </w:trPr>
        <w:tc>
          <w:tcPr>
            <w:tcW w:w="3003" w:type="dxa"/>
            <w:gridSpan w:val="3"/>
            <w:tcBorders>
              <w:left w:val="single" w:color="000000" w:sz="10" w:space="0"/>
            </w:tcBorders>
            <w:vAlign w:val="top"/>
          </w:tcPr>
          <w:p>
            <w:pPr>
              <w:spacing w:before="27" w:line="229" w:lineRule="auto"/>
              <w:ind w:left="1140"/>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导线型式</w:t>
            </w:r>
          </w:p>
        </w:tc>
        <w:tc>
          <w:tcPr>
            <w:tcW w:w="6072" w:type="dxa"/>
            <w:gridSpan w:val="3"/>
            <w:tcBorders>
              <w:right w:val="single" w:color="000000" w:sz="10" w:space="0"/>
            </w:tcBorders>
            <w:vAlign w:val="top"/>
          </w:tcPr>
          <w:p>
            <w:pPr>
              <w:spacing w:line="234" w:lineRule="exact"/>
              <w:ind w:left="2323"/>
              <w:rPr>
                <w:rFonts w:hint="eastAsia"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pacing w:val="10"/>
                <w:position w:val="1"/>
                <w:sz w:val="20"/>
                <w:szCs w:val="20"/>
                <w:highlight w:val="none"/>
              </w:rPr>
              <w:t>4</w:t>
            </w:r>
            <w:r>
              <w:rPr>
                <w:rFonts w:ascii="Times New Roman" w:hAnsi="Times New Roman" w:eastAsia="Times New Roman" w:cs="Times New Roman"/>
                <w:color w:val="auto"/>
                <w:spacing w:val="6"/>
                <w:position w:val="1"/>
                <w:sz w:val="20"/>
                <w:szCs w:val="20"/>
                <w:highlight w:val="none"/>
              </w:rPr>
              <w:t>×</w:t>
            </w:r>
            <w:r>
              <w:rPr>
                <w:rFonts w:hint="eastAsia" w:ascii="Times New Roman" w:hAnsi="Times New Roman" w:eastAsia="宋体" w:cs="Times New Roman"/>
                <w:color w:val="auto"/>
                <w:position w:val="1"/>
                <w:sz w:val="20"/>
                <w:szCs w:val="20"/>
                <w:highlight w:val="none"/>
                <w:lang w:eastAsia="zh-CN"/>
              </w:rPr>
              <w:t>JL/G1A-400/35</w:t>
            </w:r>
            <w:r>
              <w:rPr>
                <w:rFonts w:hint="eastAsia" w:ascii="Times New Roman" w:hAnsi="Times New Roman" w:eastAsia="宋体" w:cs="Times New Roman"/>
                <w:color w:val="auto"/>
                <w:spacing w:val="6"/>
                <w:position w:val="1"/>
                <w:sz w:val="20"/>
                <w:szCs w:val="20"/>
                <w:highlight w:val="none"/>
                <w:lang w:val="en-US" w:eastAsia="zh-CN"/>
              </w:rPr>
              <w:t xml:space="preserve"> 4×JL/G1A-400/35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238" w:hRule="atLeast"/>
        </w:trPr>
        <w:tc>
          <w:tcPr>
            <w:tcW w:w="3003" w:type="dxa"/>
            <w:gridSpan w:val="3"/>
            <w:tcBorders>
              <w:left w:val="single" w:color="000000" w:sz="10" w:space="0"/>
            </w:tcBorders>
            <w:vAlign w:val="top"/>
          </w:tcPr>
          <w:p>
            <w:pPr>
              <w:spacing w:before="28" w:line="227" w:lineRule="auto"/>
              <w:ind w:left="1044"/>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子</w:t>
            </w:r>
            <w:r>
              <w:rPr>
                <w:rFonts w:ascii="宋体" w:hAnsi="宋体" w:eastAsia="宋体" w:cs="宋体"/>
                <w:color w:val="auto"/>
                <w:spacing w:val="8"/>
                <w:sz w:val="20"/>
                <w:szCs w:val="20"/>
                <w:highlight w:val="none"/>
              </w:rPr>
              <w:t>导线外径</w:t>
            </w:r>
          </w:p>
        </w:tc>
        <w:tc>
          <w:tcPr>
            <w:tcW w:w="6072" w:type="dxa"/>
            <w:gridSpan w:val="3"/>
            <w:tcBorders>
              <w:right w:val="single" w:color="000000" w:sz="10" w:space="0"/>
            </w:tcBorders>
            <w:vAlign w:val="top"/>
          </w:tcPr>
          <w:p>
            <w:pPr>
              <w:spacing w:before="57" w:line="197" w:lineRule="auto"/>
              <w:ind w:left="2737"/>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7"/>
                <w:sz w:val="20"/>
                <w:szCs w:val="20"/>
                <w:highlight w:val="none"/>
              </w:rPr>
              <w:t>27.</w:t>
            </w:r>
            <w:r>
              <w:rPr>
                <w:rFonts w:ascii="Times New Roman" w:hAnsi="Times New Roman" w:eastAsia="Times New Roman" w:cs="Times New Roman"/>
                <w:color w:val="auto"/>
                <w:spacing w:val="6"/>
                <w:sz w:val="20"/>
                <w:szCs w:val="20"/>
                <w:highlight w:val="none"/>
              </w:rPr>
              <w:t>6</w:t>
            </w:r>
            <w:r>
              <w:rPr>
                <w:rFonts w:ascii="Times New Roman" w:hAnsi="Times New Roman" w:eastAsia="Times New Roman" w:cs="Times New Roman"/>
                <w:color w:val="auto"/>
                <w:sz w:val="20"/>
                <w:szCs w:val="20"/>
                <w:highlight w:val="none"/>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238" w:hRule="atLeast"/>
        </w:trPr>
        <w:tc>
          <w:tcPr>
            <w:tcW w:w="3003" w:type="dxa"/>
            <w:gridSpan w:val="3"/>
            <w:tcBorders>
              <w:left w:val="single" w:color="000000" w:sz="10" w:space="0"/>
            </w:tcBorders>
            <w:vAlign w:val="top"/>
          </w:tcPr>
          <w:p>
            <w:pPr>
              <w:spacing w:before="28" w:line="227" w:lineRule="auto"/>
              <w:ind w:left="686"/>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分裂型式及分裂间</w:t>
            </w:r>
            <w:r>
              <w:rPr>
                <w:rFonts w:ascii="宋体" w:hAnsi="宋体" w:eastAsia="宋体" w:cs="宋体"/>
                <w:color w:val="auto"/>
                <w:spacing w:val="8"/>
                <w:sz w:val="20"/>
                <w:szCs w:val="20"/>
                <w:highlight w:val="none"/>
              </w:rPr>
              <w:t>距</w:t>
            </w:r>
          </w:p>
        </w:tc>
        <w:tc>
          <w:tcPr>
            <w:tcW w:w="6072" w:type="dxa"/>
            <w:gridSpan w:val="3"/>
            <w:tcBorders>
              <w:right w:val="single" w:color="000000" w:sz="10" w:space="0"/>
            </w:tcBorders>
            <w:vAlign w:val="top"/>
          </w:tcPr>
          <w:p>
            <w:pPr>
              <w:spacing w:line="236" w:lineRule="exact"/>
              <w:ind w:left="2487"/>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7"/>
                <w:position w:val="1"/>
                <w:sz w:val="20"/>
                <w:szCs w:val="20"/>
                <w:highlight w:val="none"/>
              </w:rPr>
              <w:t xml:space="preserve">4 </w:t>
            </w:r>
            <w:r>
              <w:rPr>
                <w:rFonts w:ascii="宋体" w:hAnsi="宋体" w:eastAsia="宋体" w:cs="宋体"/>
                <w:color w:val="auto"/>
                <w:spacing w:val="7"/>
                <w:position w:val="1"/>
                <w:sz w:val="20"/>
                <w:szCs w:val="20"/>
                <w:highlight w:val="none"/>
              </w:rPr>
              <w:t>分裂</w:t>
            </w:r>
            <w:r>
              <w:rPr>
                <w:rFonts w:ascii="Times New Roman" w:hAnsi="Times New Roman" w:eastAsia="Times New Roman" w:cs="Times New Roman"/>
                <w:color w:val="auto"/>
                <w:spacing w:val="7"/>
                <w:position w:val="1"/>
                <w:sz w:val="20"/>
                <w:szCs w:val="20"/>
                <w:highlight w:val="none"/>
              </w:rPr>
              <w:t>/45</w:t>
            </w:r>
            <w:r>
              <w:rPr>
                <w:rFonts w:ascii="Times New Roman" w:hAnsi="Times New Roman" w:eastAsia="Times New Roman" w:cs="Times New Roman"/>
                <w:color w:val="auto"/>
                <w:spacing w:val="6"/>
                <w:position w:val="1"/>
                <w:sz w:val="20"/>
                <w:szCs w:val="20"/>
                <w:highlight w:val="none"/>
              </w:rPr>
              <w:t>0</w:t>
            </w:r>
            <w:r>
              <w:rPr>
                <w:rFonts w:ascii="Times New Roman" w:hAnsi="Times New Roman" w:eastAsia="Times New Roman" w:cs="Times New Roman"/>
                <w:color w:val="auto"/>
                <w:position w:val="1"/>
                <w:sz w:val="20"/>
                <w:szCs w:val="20"/>
                <w:highlight w:val="none"/>
              </w:rPr>
              <w:t>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238" w:hRule="atLeast"/>
        </w:trPr>
        <w:tc>
          <w:tcPr>
            <w:tcW w:w="3003" w:type="dxa"/>
            <w:gridSpan w:val="3"/>
            <w:tcBorders>
              <w:left w:val="single" w:color="000000" w:sz="10" w:space="0"/>
            </w:tcBorders>
            <w:vAlign w:val="top"/>
          </w:tcPr>
          <w:p>
            <w:pPr>
              <w:spacing w:before="28" w:line="228" w:lineRule="auto"/>
              <w:ind w:left="1135"/>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地线型式</w:t>
            </w:r>
          </w:p>
        </w:tc>
        <w:tc>
          <w:tcPr>
            <w:tcW w:w="6072" w:type="dxa"/>
            <w:gridSpan w:val="3"/>
            <w:tcBorders>
              <w:right w:val="single" w:color="000000" w:sz="10" w:space="0"/>
            </w:tcBorders>
            <w:vAlign w:val="top"/>
          </w:tcPr>
          <w:p>
            <w:pPr>
              <w:spacing w:before="59" w:line="197" w:lineRule="auto"/>
              <w:ind w:left="2605"/>
              <w:rPr>
                <w:rFonts w:hint="default" w:ascii="Times New Roman" w:hAnsi="Times New Roman" w:eastAsia="宋体" w:cs="Times New Roman"/>
                <w:color w:val="auto"/>
                <w:sz w:val="20"/>
                <w:szCs w:val="20"/>
                <w:highlight w:val="none"/>
                <w:lang w:val="en-US" w:eastAsia="zh-CN"/>
              </w:rPr>
            </w:pPr>
            <w:r>
              <w:rPr>
                <w:rFonts w:ascii="Times New Roman" w:hAnsi="Times New Roman" w:eastAsia="Times New Roman" w:cs="Times New Roman"/>
                <w:color w:val="auto"/>
                <w:sz w:val="20"/>
                <w:szCs w:val="20"/>
                <w:highlight w:val="none"/>
              </w:rPr>
              <w:t>OPGW</w:t>
            </w:r>
            <w:r>
              <w:rPr>
                <w:rFonts w:ascii="Times New Roman" w:hAnsi="Times New Roman" w:eastAsia="Times New Roman" w:cs="Times New Roman"/>
                <w:color w:val="auto"/>
                <w:spacing w:val="-1"/>
                <w:sz w:val="20"/>
                <w:szCs w:val="20"/>
                <w:highlight w:val="none"/>
              </w:rPr>
              <w:t>-</w:t>
            </w:r>
            <w:r>
              <w:rPr>
                <w:rFonts w:ascii="Times New Roman" w:hAnsi="Times New Roman" w:eastAsia="Times New Roman" w:cs="Times New Roman"/>
                <w:color w:val="auto"/>
                <w:sz w:val="20"/>
                <w:szCs w:val="20"/>
                <w:highlight w:val="none"/>
              </w:rPr>
              <w:t xml:space="preserve"> 1</w:t>
            </w:r>
            <w:r>
              <w:rPr>
                <w:rFonts w:hint="eastAsia" w:ascii="Times New Roman" w:hAnsi="Times New Roman" w:eastAsia="宋体" w:cs="Times New Roman"/>
                <w:color w:val="auto"/>
                <w:sz w:val="20"/>
                <w:szCs w:val="20"/>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237" w:hRule="atLeast"/>
        </w:trPr>
        <w:tc>
          <w:tcPr>
            <w:tcW w:w="3003" w:type="dxa"/>
            <w:gridSpan w:val="3"/>
            <w:tcBorders>
              <w:left w:val="single" w:color="000000" w:sz="10" w:space="0"/>
            </w:tcBorders>
            <w:vAlign w:val="top"/>
          </w:tcPr>
          <w:p>
            <w:pPr>
              <w:spacing w:before="29" w:line="225" w:lineRule="auto"/>
              <w:ind w:left="1134"/>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输</w:t>
            </w:r>
            <w:r>
              <w:rPr>
                <w:rFonts w:ascii="宋体" w:hAnsi="宋体" w:eastAsia="宋体" w:cs="宋体"/>
                <w:color w:val="auto"/>
                <w:spacing w:val="8"/>
                <w:sz w:val="20"/>
                <w:szCs w:val="20"/>
                <w:highlight w:val="none"/>
              </w:rPr>
              <w:t>送功率</w:t>
            </w:r>
          </w:p>
        </w:tc>
        <w:tc>
          <w:tcPr>
            <w:tcW w:w="6072" w:type="dxa"/>
            <w:gridSpan w:val="3"/>
            <w:tcBorders>
              <w:right w:val="single" w:color="000000" w:sz="10" w:space="0"/>
            </w:tcBorders>
            <w:vAlign w:val="top"/>
          </w:tcPr>
          <w:p>
            <w:pPr>
              <w:spacing w:before="58" w:line="197" w:lineRule="auto"/>
              <w:ind w:left="2689"/>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1"/>
                <w:sz w:val="20"/>
                <w:szCs w:val="20"/>
                <w:highlight w:val="none"/>
              </w:rPr>
              <w:t>2</w:t>
            </w:r>
            <w:r>
              <w:rPr>
                <w:rFonts w:ascii="Times New Roman" w:hAnsi="Times New Roman" w:eastAsia="Times New Roman" w:cs="Times New Roman"/>
                <w:color w:val="auto"/>
                <w:spacing w:val="8"/>
                <w:sz w:val="20"/>
                <w:szCs w:val="20"/>
                <w:highlight w:val="none"/>
              </w:rPr>
              <w:t>700</w:t>
            </w:r>
            <w:r>
              <w:rPr>
                <w:rFonts w:ascii="Times New Roman" w:hAnsi="Times New Roman" w:eastAsia="Times New Roman" w:cs="Times New Roman"/>
                <w:color w:val="auto"/>
                <w:sz w:val="20"/>
                <w:szCs w:val="20"/>
                <w:highlight w:val="none"/>
              </w:rPr>
              <w:t>MW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238" w:hRule="atLeast"/>
        </w:trPr>
        <w:tc>
          <w:tcPr>
            <w:tcW w:w="3003" w:type="dxa"/>
            <w:gridSpan w:val="3"/>
            <w:tcBorders>
              <w:left w:val="single" w:color="000000" w:sz="10" w:space="0"/>
            </w:tcBorders>
            <w:vAlign w:val="top"/>
          </w:tcPr>
          <w:p>
            <w:pPr>
              <w:spacing w:before="30" w:line="225" w:lineRule="auto"/>
              <w:ind w:left="1136"/>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预测电</w:t>
            </w:r>
            <w:r>
              <w:rPr>
                <w:rFonts w:ascii="宋体" w:hAnsi="宋体" w:eastAsia="宋体" w:cs="宋体"/>
                <w:color w:val="auto"/>
                <w:spacing w:val="7"/>
                <w:sz w:val="20"/>
                <w:szCs w:val="20"/>
                <w:highlight w:val="none"/>
              </w:rPr>
              <w:t>压</w:t>
            </w:r>
          </w:p>
        </w:tc>
        <w:tc>
          <w:tcPr>
            <w:tcW w:w="6072" w:type="dxa"/>
            <w:gridSpan w:val="3"/>
            <w:tcBorders>
              <w:right w:val="single" w:color="000000" w:sz="10" w:space="0"/>
            </w:tcBorders>
            <w:vAlign w:val="top"/>
          </w:tcPr>
          <w:p>
            <w:pPr>
              <w:spacing w:line="238" w:lineRule="exact"/>
              <w:ind w:left="2792"/>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6"/>
                <w:position w:val="1"/>
                <w:sz w:val="20"/>
                <w:szCs w:val="20"/>
                <w:highlight w:val="none"/>
              </w:rPr>
              <w:t>525</w:t>
            </w:r>
            <w:r>
              <w:rPr>
                <w:rFonts w:ascii="Times New Roman" w:hAnsi="Times New Roman" w:eastAsia="Times New Roman" w:cs="Times New Roman"/>
                <w:color w:val="auto"/>
                <w:position w:val="1"/>
                <w:sz w:val="20"/>
                <w:szCs w:val="20"/>
                <w:highlight w:val="none"/>
              </w:rPr>
              <w:t>kV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238" w:hRule="atLeast"/>
        </w:trPr>
        <w:tc>
          <w:tcPr>
            <w:tcW w:w="1571" w:type="dxa"/>
            <w:tcBorders>
              <w:left w:val="single" w:color="000000" w:sz="10" w:space="0"/>
            </w:tcBorders>
            <w:vAlign w:val="top"/>
          </w:tcPr>
          <w:p>
            <w:pPr>
              <w:spacing w:before="31" w:line="224" w:lineRule="auto"/>
              <w:ind w:left="598"/>
              <w:rPr>
                <w:rFonts w:ascii="宋体" w:hAnsi="宋体" w:eastAsia="宋体" w:cs="宋体"/>
                <w:color w:val="auto"/>
                <w:sz w:val="20"/>
                <w:szCs w:val="20"/>
                <w:highlight w:val="none"/>
              </w:rPr>
            </w:pPr>
            <w:r>
              <w:rPr>
                <w:rFonts w:ascii="宋体" w:hAnsi="宋体" w:eastAsia="宋体" w:cs="宋体"/>
                <w:color w:val="auto"/>
                <w:spacing w:val="5"/>
                <w:sz w:val="20"/>
                <w:szCs w:val="20"/>
                <w:highlight w:val="none"/>
              </w:rPr>
              <w:t>项目</w:t>
            </w:r>
          </w:p>
        </w:tc>
        <w:tc>
          <w:tcPr>
            <w:tcW w:w="1432" w:type="dxa"/>
            <w:gridSpan w:val="2"/>
            <w:vAlign w:val="top"/>
          </w:tcPr>
          <w:p>
            <w:pPr>
              <w:spacing w:before="31" w:line="224" w:lineRule="auto"/>
              <w:ind w:left="535"/>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坐标</w:t>
            </w:r>
          </w:p>
        </w:tc>
        <w:tc>
          <w:tcPr>
            <w:tcW w:w="3028" w:type="dxa"/>
            <w:gridSpan w:val="2"/>
            <w:vAlign w:val="top"/>
          </w:tcPr>
          <w:p>
            <w:pPr>
              <w:spacing w:line="238" w:lineRule="exact"/>
              <w:ind w:left="1320"/>
              <w:rPr>
                <w:rFonts w:ascii="Times New Roman" w:hAnsi="Times New Roman" w:eastAsia="Times New Roman" w:cs="Times New Roman"/>
                <w:color w:val="auto"/>
                <w:sz w:val="20"/>
                <w:szCs w:val="20"/>
                <w:highlight w:val="none"/>
              </w:rPr>
            </w:pPr>
            <w:r>
              <w:rPr>
                <w:rFonts w:ascii="Times New Roman" w:hAnsi="Times New Roman" w:eastAsia="Times New Roman" w:cs="Times New Roman"/>
                <w:i/>
                <w:iCs/>
                <w:color w:val="auto"/>
                <w:position w:val="3"/>
                <w:sz w:val="20"/>
                <w:szCs w:val="20"/>
                <w:highlight w:val="none"/>
              </w:rPr>
              <w:t>X</w:t>
            </w:r>
            <w:r>
              <w:rPr>
                <w:rFonts w:ascii="Times New Roman" w:hAnsi="Times New Roman" w:eastAsia="Times New Roman" w:cs="Times New Roman"/>
                <w:i/>
                <w:iCs/>
                <w:color w:val="auto"/>
                <w:spacing w:val="15"/>
                <w:position w:val="3"/>
                <w:sz w:val="20"/>
                <w:szCs w:val="20"/>
                <w:highlight w:val="none"/>
              </w:rPr>
              <w:t>(</w:t>
            </w:r>
            <w:r>
              <w:rPr>
                <w:rFonts w:ascii="Times New Roman" w:hAnsi="Times New Roman" w:eastAsia="Times New Roman" w:cs="Times New Roman"/>
                <w:i/>
                <w:iCs/>
                <w:color w:val="auto"/>
                <w:position w:val="3"/>
                <w:sz w:val="20"/>
                <w:szCs w:val="20"/>
                <w:highlight w:val="none"/>
              </w:rPr>
              <w:t>m</w:t>
            </w:r>
            <w:r>
              <w:rPr>
                <w:rFonts w:ascii="Times New Roman" w:hAnsi="Times New Roman" w:eastAsia="Times New Roman" w:cs="Times New Roman"/>
                <w:i/>
                <w:iCs/>
                <w:color w:val="auto"/>
                <w:spacing w:val="14"/>
                <w:position w:val="3"/>
                <w:sz w:val="20"/>
                <w:szCs w:val="20"/>
                <w:highlight w:val="none"/>
              </w:rPr>
              <w:t>)</w:t>
            </w:r>
          </w:p>
        </w:tc>
        <w:tc>
          <w:tcPr>
            <w:tcW w:w="3044" w:type="dxa"/>
            <w:tcBorders>
              <w:right w:val="single" w:color="000000" w:sz="10" w:space="0"/>
            </w:tcBorders>
            <w:vAlign w:val="top"/>
          </w:tcPr>
          <w:p>
            <w:pPr>
              <w:spacing w:line="238" w:lineRule="exact"/>
              <w:ind w:left="1337"/>
              <w:rPr>
                <w:rFonts w:ascii="Times New Roman" w:hAnsi="Times New Roman" w:eastAsia="Times New Roman" w:cs="Times New Roman"/>
                <w:color w:val="auto"/>
                <w:sz w:val="20"/>
                <w:szCs w:val="20"/>
                <w:highlight w:val="none"/>
              </w:rPr>
            </w:pPr>
            <w:r>
              <w:rPr>
                <w:rFonts w:ascii="Times New Roman" w:hAnsi="Times New Roman" w:eastAsia="Times New Roman" w:cs="Times New Roman"/>
                <w:i/>
                <w:iCs/>
                <w:color w:val="auto"/>
                <w:position w:val="5"/>
                <w:sz w:val="20"/>
                <w:szCs w:val="20"/>
                <w:highlight w:val="none"/>
              </w:rPr>
              <w:t>y</w:t>
            </w:r>
            <w:r>
              <w:rPr>
                <w:rFonts w:ascii="Times New Roman" w:hAnsi="Times New Roman" w:eastAsia="Times New Roman" w:cs="Times New Roman"/>
                <w:i/>
                <w:iCs/>
                <w:color w:val="auto"/>
                <w:spacing w:val="15"/>
                <w:position w:val="5"/>
                <w:sz w:val="20"/>
                <w:szCs w:val="20"/>
                <w:highlight w:val="none"/>
              </w:rPr>
              <w:t>(</w:t>
            </w:r>
            <w:r>
              <w:rPr>
                <w:rFonts w:ascii="Times New Roman" w:hAnsi="Times New Roman" w:eastAsia="Times New Roman" w:cs="Times New Roman"/>
                <w:i/>
                <w:iCs/>
                <w:color w:val="auto"/>
                <w:position w:val="5"/>
                <w:sz w:val="20"/>
                <w:szCs w:val="20"/>
                <w:highlight w:val="none"/>
              </w:rPr>
              <w:t>m</w:t>
            </w:r>
            <w:r>
              <w:rPr>
                <w:rFonts w:ascii="Times New Roman" w:hAnsi="Times New Roman" w:eastAsia="Times New Roman" w:cs="Times New Roman"/>
                <w:i/>
                <w:iCs/>
                <w:color w:val="auto"/>
                <w:spacing w:val="14"/>
                <w:position w:val="5"/>
                <w:sz w:val="20"/>
                <w:szCs w:val="20"/>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2" w:type="dxa"/>
          <w:trHeight w:val="259" w:hRule="atLeast"/>
        </w:trPr>
        <w:tc>
          <w:tcPr>
            <w:tcW w:w="1571" w:type="dxa"/>
            <w:tcBorders>
              <w:left w:val="single" w:color="000000" w:sz="10" w:space="0"/>
            </w:tcBorders>
            <w:vAlign w:val="top"/>
          </w:tcPr>
          <w:p>
            <w:pPr>
              <w:spacing w:before="31" w:line="231" w:lineRule="auto"/>
              <w:ind w:left="508"/>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居民区</w:t>
            </w:r>
          </w:p>
        </w:tc>
        <w:tc>
          <w:tcPr>
            <w:tcW w:w="1432" w:type="dxa"/>
            <w:gridSpan w:val="2"/>
            <w:vAlign w:val="top"/>
          </w:tcPr>
          <w:p>
            <w:pPr>
              <w:spacing w:before="31" w:line="232" w:lineRule="auto"/>
              <w:ind w:left="531"/>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A</w:t>
            </w:r>
            <w:r>
              <w:rPr>
                <w:rFonts w:ascii="Times New Roman" w:hAnsi="Times New Roman" w:eastAsia="Times New Roman" w:cs="Times New Roman"/>
                <w:color w:val="auto"/>
                <w:spacing w:val="8"/>
                <w:sz w:val="20"/>
                <w:szCs w:val="20"/>
                <w:highlight w:val="none"/>
              </w:rPr>
              <w:t xml:space="preserve"> </w:t>
            </w:r>
            <w:r>
              <w:rPr>
                <w:rFonts w:ascii="宋体" w:hAnsi="宋体" w:eastAsia="宋体" w:cs="宋体"/>
                <w:color w:val="auto"/>
                <w:spacing w:val="8"/>
                <w:sz w:val="20"/>
                <w:szCs w:val="20"/>
                <w:highlight w:val="none"/>
              </w:rPr>
              <w:t>相</w:t>
            </w:r>
          </w:p>
        </w:tc>
        <w:tc>
          <w:tcPr>
            <w:tcW w:w="3028" w:type="dxa"/>
            <w:gridSpan w:val="2"/>
            <w:vAlign w:val="top"/>
          </w:tcPr>
          <w:p>
            <w:pPr>
              <w:spacing w:before="62" w:line="197" w:lineRule="auto"/>
              <w:ind w:left="1332"/>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5"/>
                <w:sz w:val="20"/>
                <w:szCs w:val="20"/>
                <w:highlight w:val="none"/>
              </w:rPr>
              <w:t>- 15.7</w:t>
            </w:r>
          </w:p>
        </w:tc>
        <w:tc>
          <w:tcPr>
            <w:tcW w:w="3044" w:type="dxa"/>
            <w:tcBorders>
              <w:right w:val="single" w:color="000000" w:sz="10" w:space="0"/>
            </w:tcBorders>
            <w:vAlign w:val="top"/>
          </w:tcPr>
          <w:p>
            <w:pPr>
              <w:spacing w:before="62" w:line="197" w:lineRule="auto"/>
              <w:ind w:left="1433"/>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pacing w:val="2"/>
                <w:sz w:val="20"/>
                <w:szCs w:val="20"/>
                <w:highlight w:val="none"/>
                <w:lang w:val="en-US" w:eastAsia="zh-CN"/>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1588" w:type="dxa"/>
            <w:gridSpan w:val="3"/>
            <w:vMerge w:val="restart"/>
            <w:tcBorders>
              <w:left w:val="single" w:color="000000" w:sz="10" w:space="0"/>
              <w:bottom w:val="nil"/>
            </w:tcBorders>
            <w:vAlign w:val="top"/>
          </w:tcPr>
          <w:p>
            <w:pPr>
              <w:spacing w:line="230" w:lineRule="exact"/>
              <w:ind w:left="206"/>
              <w:rPr>
                <w:rFonts w:ascii="宋体" w:hAnsi="宋体" w:eastAsia="宋体" w:cs="宋体"/>
                <w:color w:val="auto"/>
                <w:sz w:val="20"/>
                <w:szCs w:val="20"/>
                <w:highlight w:val="none"/>
              </w:rPr>
            </w:pPr>
            <w:r>
              <w:rPr>
                <w:rFonts w:ascii="Times New Roman" w:hAnsi="Times New Roman" w:eastAsia="Times New Roman" w:cs="Times New Roman"/>
                <w:color w:val="auto"/>
                <w:spacing w:val="11"/>
                <w:position w:val="2"/>
                <w:sz w:val="20"/>
                <w:szCs w:val="20"/>
                <w:highlight w:val="none"/>
              </w:rPr>
              <w:t>(</w:t>
            </w:r>
            <w:r>
              <w:rPr>
                <w:rFonts w:ascii="宋体" w:hAnsi="宋体" w:eastAsia="宋体" w:cs="宋体"/>
                <w:color w:val="auto"/>
                <w:spacing w:val="7"/>
                <w:position w:val="2"/>
                <w:sz w:val="20"/>
                <w:szCs w:val="20"/>
                <w:highlight w:val="none"/>
              </w:rPr>
              <w:t>导线对地高度</w:t>
            </w:r>
          </w:p>
          <w:p>
            <w:pPr>
              <w:spacing w:line="231" w:lineRule="exact"/>
              <w:ind w:left="586"/>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pacing w:val="4"/>
                <w:position w:val="3"/>
                <w:sz w:val="20"/>
                <w:szCs w:val="20"/>
                <w:highlight w:val="none"/>
                <w:lang w:val="en-US" w:eastAsia="zh-CN"/>
              </w:rPr>
              <w:t>33</w:t>
            </w:r>
            <w:r>
              <w:rPr>
                <w:rFonts w:ascii="Times New Roman" w:hAnsi="Times New Roman" w:eastAsia="Times New Roman" w:cs="Times New Roman"/>
                <w:color w:val="auto"/>
                <w:position w:val="3"/>
                <w:sz w:val="20"/>
                <w:szCs w:val="20"/>
                <w:highlight w:val="none"/>
              </w:rPr>
              <w:t>m</w:t>
            </w:r>
            <w:r>
              <w:rPr>
                <w:rFonts w:ascii="Times New Roman" w:hAnsi="Times New Roman" w:eastAsia="Times New Roman" w:cs="Times New Roman"/>
                <w:color w:val="auto"/>
                <w:spacing w:val="4"/>
                <w:position w:val="3"/>
                <w:sz w:val="20"/>
                <w:szCs w:val="20"/>
                <w:highlight w:val="none"/>
              </w:rPr>
              <w:t>)</w:t>
            </w:r>
          </w:p>
        </w:tc>
        <w:tc>
          <w:tcPr>
            <w:tcW w:w="1447" w:type="dxa"/>
            <w:gridSpan w:val="2"/>
            <w:vAlign w:val="top"/>
          </w:tcPr>
          <w:p>
            <w:pPr>
              <w:spacing w:before="31" w:line="228" w:lineRule="auto"/>
              <w:ind w:left="537"/>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B</w:t>
            </w:r>
            <w:r>
              <w:rPr>
                <w:rFonts w:ascii="Times New Roman" w:hAnsi="Times New Roman" w:eastAsia="Times New Roman" w:cs="Times New Roman"/>
                <w:color w:val="auto"/>
                <w:spacing w:val="8"/>
                <w:sz w:val="20"/>
                <w:szCs w:val="20"/>
                <w:highlight w:val="none"/>
              </w:rPr>
              <w:t xml:space="preserve"> </w:t>
            </w:r>
            <w:r>
              <w:rPr>
                <w:rFonts w:ascii="宋体" w:hAnsi="宋体" w:eastAsia="宋体" w:cs="宋体"/>
                <w:color w:val="auto"/>
                <w:spacing w:val="8"/>
                <w:sz w:val="20"/>
                <w:szCs w:val="20"/>
                <w:highlight w:val="none"/>
              </w:rPr>
              <w:t>相</w:t>
            </w:r>
          </w:p>
        </w:tc>
        <w:tc>
          <w:tcPr>
            <w:tcW w:w="3008" w:type="dxa"/>
            <w:vAlign w:val="top"/>
          </w:tcPr>
          <w:p>
            <w:pPr>
              <w:spacing w:before="62" w:line="197" w:lineRule="auto"/>
              <w:ind w:left="147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0</w:t>
            </w:r>
          </w:p>
        </w:tc>
        <w:tc>
          <w:tcPr>
            <w:tcW w:w="3044" w:type="dxa"/>
            <w:tcBorders>
              <w:right w:val="single" w:color="000000" w:sz="10" w:space="0"/>
            </w:tcBorders>
            <w:vAlign w:val="top"/>
          </w:tcPr>
          <w:p>
            <w:pPr>
              <w:spacing w:before="62" w:line="197" w:lineRule="auto"/>
              <w:ind w:left="1433"/>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pacing w:val="2"/>
                <w:sz w:val="20"/>
                <w:szCs w:val="20"/>
                <w:highlight w:val="none"/>
                <w:lang w:val="en-US" w:eastAsia="zh-CN"/>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588" w:type="dxa"/>
            <w:gridSpan w:val="3"/>
            <w:vMerge w:val="continue"/>
            <w:tcBorders>
              <w:top w:val="nil"/>
              <w:left w:val="single" w:color="000000" w:sz="10" w:space="0"/>
            </w:tcBorders>
            <w:vAlign w:val="top"/>
          </w:tcPr>
          <w:p>
            <w:pPr>
              <w:rPr>
                <w:rFonts w:ascii="Arial"/>
                <w:color w:val="auto"/>
                <w:sz w:val="20"/>
                <w:szCs w:val="20"/>
                <w:highlight w:val="none"/>
              </w:rPr>
            </w:pPr>
          </w:p>
        </w:tc>
        <w:tc>
          <w:tcPr>
            <w:tcW w:w="1447" w:type="dxa"/>
            <w:gridSpan w:val="2"/>
            <w:vAlign w:val="top"/>
          </w:tcPr>
          <w:p>
            <w:pPr>
              <w:spacing w:before="29" w:line="226" w:lineRule="auto"/>
              <w:ind w:left="541"/>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C</w:t>
            </w:r>
            <w:r>
              <w:rPr>
                <w:rFonts w:ascii="Times New Roman" w:hAnsi="Times New Roman" w:eastAsia="Times New Roman" w:cs="Times New Roman"/>
                <w:color w:val="auto"/>
                <w:spacing w:val="7"/>
                <w:sz w:val="20"/>
                <w:szCs w:val="20"/>
                <w:highlight w:val="none"/>
              </w:rPr>
              <w:t xml:space="preserve"> </w:t>
            </w:r>
            <w:r>
              <w:rPr>
                <w:rFonts w:ascii="宋体" w:hAnsi="宋体" w:eastAsia="宋体" w:cs="宋体"/>
                <w:color w:val="auto"/>
                <w:spacing w:val="6"/>
                <w:sz w:val="20"/>
                <w:szCs w:val="20"/>
                <w:highlight w:val="none"/>
              </w:rPr>
              <w:t>相</w:t>
            </w:r>
          </w:p>
        </w:tc>
        <w:tc>
          <w:tcPr>
            <w:tcW w:w="3008" w:type="dxa"/>
            <w:vAlign w:val="top"/>
          </w:tcPr>
          <w:p>
            <w:pPr>
              <w:spacing w:before="59" w:line="197" w:lineRule="auto"/>
              <w:ind w:left="1374"/>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15</w:t>
            </w:r>
            <w:r>
              <w:rPr>
                <w:rFonts w:ascii="Times New Roman" w:hAnsi="Times New Roman" w:eastAsia="Times New Roman" w:cs="Times New Roman"/>
                <w:color w:val="auto"/>
                <w:sz w:val="20"/>
                <w:szCs w:val="20"/>
                <w:highlight w:val="none"/>
              </w:rPr>
              <w:t>.7</w:t>
            </w:r>
          </w:p>
        </w:tc>
        <w:tc>
          <w:tcPr>
            <w:tcW w:w="3044" w:type="dxa"/>
            <w:tcBorders>
              <w:right w:val="single" w:color="000000" w:sz="10" w:space="0"/>
            </w:tcBorders>
            <w:vAlign w:val="top"/>
          </w:tcPr>
          <w:p>
            <w:pPr>
              <w:spacing w:before="58" w:line="197" w:lineRule="auto"/>
              <w:ind w:left="1433"/>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pacing w:val="2"/>
                <w:sz w:val="20"/>
                <w:szCs w:val="20"/>
                <w:highlight w:val="none"/>
                <w:lang w:val="en-US" w:eastAsia="zh-CN"/>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588" w:type="dxa"/>
            <w:gridSpan w:val="3"/>
            <w:vMerge w:val="restart"/>
            <w:tcBorders>
              <w:left w:val="single" w:color="000000" w:sz="10" w:space="0"/>
              <w:bottom w:val="nil"/>
            </w:tcBorders>
            <w:vAlign w:val="top"/>
          </w:tcPr>
          <w:p>
            <w:pPr>
              <w:spacing w:before="50" w:line="218" w:lineRule="auto"/>
              <w:ind w:left="508"/>
              <w:rPr>
                <w:rFonts w:ascii="宋体" w:hAnsi="宋体" w:eastAsia="宋体" w:cs="宋体"/>
                <w:color w:val="auto"/>
                <w:sz w:val="20"/>
                <w:szCs w:val="20"/>
                <w:highlight w:val="none"/>
              </w:rPr>
            </w:pPr>
            <w:r>
              <w:rPr>
                <w:rFonts w:hint="eastAsia" w:ascii="宋体" w:hAnsi="宋体" w:eastAsia="宋体" w:cs="宋体"/>
                <w:color w:val="auto"/>
                <w:spacing w:val="7"/>
                <w:sz w:val="20"/>
                <w:szCs w:val="20"/>
                <w:highlight w:val="none"/>
                <w:lang w:eastAsia="zh-CN"/>
              </w:rPr>
              <w:t>非</w:t>
            </w:r>
            <w:r>
              <w:rPr>
                <w:rFonts w:ascii="宋体" w:hAnsi="宋体" w:eastAsia="宋体" w:cs="宋体"/>
                <w:color w:val="auto"/>
                <w:spacing w:val="7"/>
                <w:sz w:val="20"/>
                <w:szCs w:val="20"/>
                <w:highlight w:val="none"/>
              </w:rPr>
              <w:t>居民区</w:t>
            </w:r>
          </w:p>
          <w:p>
            <w:pPr>
              <w:spacing w:line="231" w:lineRule="exact"/>
              <w:ind w:left="206"/>
              <w:rPr>
                <w:rFonts w:ascii="宋体" w:hAnsi="宋体" w:eastAsia="宋体" w:cs="宋体"/>
                <w:color w:val="auto"/>
                <w:sz w:val="20"/>
                <w:szCs w:val="20"/>
                <w:highlight w:val="none"/>
              </w:rPr>
            </w:pPr>
            <w:r>
              <w:rPr>
                <w:rFonts w:ascii="Times New Roman" w:hAnsi="Times New Roman" w:eastAsia="Times New Roman" w:cs="Times New Roman"/>
                <w:color w:val="auto"/>
                <w:spacing w:val="11"/>
                <w:position w:val="2"/>
                <w:sz w:val="20"/>
                <w:szCs w:val="20"/>
                <w:highlight w:val="none"/>
              </w:rPr>
              <w:t>(</w:t>
            </w:r>
            <w:r>
              <w:rPr>
                <w:rFonts w:ascii="宋体" w:hAnsi="宋体" w:eastAsia="宋体" w:cs="宋体"/>
                <w:color w:val="auto"/>
                <w:spacing w:val="7"/>
                <w:position w:val="2"/>
                <w:sz w:val="20"/>
                <w:szCs w:val="20"/>
                <w:highlight w:val="none"/>
              </w:rPr>
              <w:t>导线对地高度</w:t>
            </w:r>
          </w:p>
          <w:p>
            <w:pPr>
              <w:spacing w:line="231" w:lineRule="exact"/>
              <w:ind w:left="532"/>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pacing w:val="2"/>
                <w:position w:val="1"/>
                <w:sz w:val="20"/>
                <w:szCs w:val="20"/>
                <w:highlight w:val="none"/>
                <w:lang w:val="en-US" w:eastAsia="zh-CN"/>
              </w:rPr>
              <w:t>21</w:t>
            </w:r>
            <w:r>
              <w:rPr>
                <w:rFonts w:ascii="Times New Roman" w:hAnsi="Times New Roman" w:eastAsia="Times New Roman" w:cs="Times New Roman"/>
                <w:color w:val="auto"/>
                <w:position w:val="1"/>
                <w:sz w:val="20"/>
                <w:szCs w:val="20"/>
                <w:highlight w:val="none"/>
              </w:rPr>
              <w:t>m</w:t>
            </w:r>
            <w:r>
              <w:rPr>
                <w:rFonts w:ascii="Times New Roman" w:hAnsi="Times New Roman" w:eastAsia="Times New Roman" w:cs="Times New Roman"/>
                <w:color w:val="auto"/>
                <w:spacing w:val="1"/>
                <w:position w:val="1"/>
                <w:sz w:val="20"/>
                <w:szCs w:val="20"/>
                <w:highlight w:val="none"/>
              </w:rPr>
              <w:t>)</w:t>
            </w:r>
          </w:p>
        </w:tc>
        <w:tc>
          <w:tcPr>
            <w:tcW w:w="1447" w:type="dxa"/>
            <w:gridSpan w:val="2"/>
            <w:vAlign w:val="top"/>
          </w:tcPr>
          <w:p>
            <w:pPr>
              <w:spacing w:before="29" w:line="225" w:lineRule="auto"/>
              <w:ind w:left="531"/>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A</w:t>
            </w:r>
            <w:r>
              <w:rPr>
                <w:rFonts w:ascii="Times New Roman" w:hAnsi="Times New Roman" w:eastAsia="Times New Roman" w:cs="Times New Roman"/>
                <w:color w:val="auto"/>
                <w:spacing w:val="8"/>
                <w:sz w:val="20"/>
                <w:szCs w:val="20"/>
                <w:highlight w:val="none"/>
              </w:rPr>
              <w:t xml:space="preserve"> </w:t>
            </w:r>
            <w:r>
              <w:rPr>
                <w:rFonts w:ascii="宋体" w:hAnsi="宋体" w:eastAsia="宋体" w:cs="宋体"/>
                <w:color w:val="auto"/>
                <w:spacing w:val="8"/>
                <w:sz w:val="20"/>
                <w:szCs w:val="20"/>
                <w:highlight w:val="none"/>
              </w:rPr>
              <w:t>相</w:t>
            </w:r>
          </w:p>
        </w:tc>
        <w:tc>
          <w:tcPr>
            <w:tcW w:w="3008" w:type="dxa"/>
            <w:vAlign w:val="top"/>
          </w:tcPr>
          <w:p>
            <w:pPr>
              <w:spacing w:before="58" w:line="197" w:lineRule="auto"/>
              <w:ind w:left="1332"/>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5"/>
                <w:sz w:val="20"/>
                <w:szCs w:val="20"/>
                <w:highlight w:val="none"/>
              </w:rPr>
              <w:t>- 15.7</w:t>
            </w:r>
          </w:p>
        </w:tc>
        <w:tc>
          <w:tcPr>
            <w:tcW w:w="3044" w:type="dxa"/>
            <w:tcBorders>
              <w:right w:val="single" w:color="000000" w:sz="10" w:space="0"/>
            </w:tcBorders>
            <w:vAlign w:val="top"/>
          </w:tcPr>
          <w:p>
            <w:pPr>
              <w:spacing w:before="58" w:line="197" w:lineRule="auto"/>
              <w:ind w:left="1380"/>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eastAsia="宋体" w:cs="Times New Roman"/>
                <w:color w:val="auto"/>
                <w:sz w:val="20"/>
                <w:szCs w:val="20"/>
                <w:highlight w:val="none"/>
                <w:lang w:val="en-US" w:eastAsia="zh-CN"/>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588" w:type="dxa"/>
            <w:gridSpan w:val="3"/>
            <w:vMerge w:val="continue"/>
            <w:tcBorders>
              <w:top w:val="nil"/>
              <w:left w:val="single" w:color="000000" w:sz="10" w:space="0"/>
              <w:bottom w:val="nil"/>
            </w:tcBorders>
            <w:vAlign w:val="top"/>
          </w:tcPr>
          <w:p>
            <w:pPr>
              <w:rPr>
                <w:rFonts w:ascii="Arial"/>
                <w:color w:val="auto"/>
                <w:sz w:val="20"/>
                <w:szCs w:val="20"/>
                <w:highlight w:val="none"/>
              </w:rPr>
            </w:pPr>
          </w:p>
        </w:tc>
        <w:tc>
          <w:tcPr>
            <w:tcW w:w="1447" w:type="dxa"/>
            <w:gridSpan w:val="2"/>
            <w:vAlign w:val="top"/>
          </w:tcPr>
          <w:p>
            <w:pPr>
              <w:spacing w:before="32" w:line="211" w:lineRule="auto"/>
              <w:ind w:left="537"/>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B</w:t>
            </w:r>
            <w:r>
              <w:rPr>
                <w:rFonts w:ascii="Times New Roman" w:hAnsi="Times New Roman" w:eastAsia="Times New Roman" w:cs="Times New Roman"/>
                <w:color w:val="auto"/>
                <w:spacing w:val="8"/>
                <w:sz w:val="20"/>
                <w:szCs w:val="20"/>
                <w:highlight w:val="none"/>
              </w:rPr>
              <w:t xml:space="preserve"> </w:t>
            </w:r>
            <w:r>
              <w:rPr>
                <w:rFonts w:ascii="宋体" w:hAnsi="宋体" w:eastAsia="宋体" w:cs="宋体"/>
                <w:color w:val="auto"/>
                <w:spacing w:val="8"/>
                <w:sz w:val="20"/>
                <w:szCs w:val="20"/>
                <w:highlight w:val="none"/>
              </w:rPr>
              <w:t>相</w:t>
            </w:r>
          </w:p>
        </w:tc>
        <w:tc>
          <w:tcPr>
            <w:tcW w:w="3008" w:type="dxa"/>
            <w:vAlign w:val="top"/>
          </w:tcPr>
          <w:p>
            <w:pPr>
              <w:spacing w:before="60" w:line="197" w:lineRule="auto"/>
              <w:ind w:left="147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0</w:t>
            </w:r>
          </w:p>
        </w:tc>
        <w:tc>
          <w:tcPr>
            <w:tcW w:w="3044" w:type="dxa"/>
            <w:tcBorders>
              <w:right w:val="single" w:color="000000" w:sz="10" w:space="0"/>
            </w:tcBorders>
            <w:vAlign w:val="top"/>
          </w:tcPr>
          <w:p>
            <w:pPr>
              <w:spacing w:before="60" w:line="197" w:lineRule="auto"/>
              <w:ind w:left="1380"/>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z w:val="20"/>
                <w:szCs w:val="20"/>
                <w:highlight w:val="none"/>
                <w:lang w:val="en-US" w:eastAsia="zh-CN"/>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588" w:type="dxa"/>
            <w:gridSpan w:val="3"/>
            <w:vMerge w:val="continue"/>
            <w:tcBorders>
              <w:top w:val="nil"/>
              <w:left w:val="single" w:color="000000" w:sz="10" w:space="0"/>
            </w:tcBorders>
            <w:vAlign w:val="top"/>
          </w:tcPr>
          <w:p>
            <w:pPr>
              <w:rPr>
                <w:rFonts w:ascii="Arial"/>
                <w:color w:val="auto"/>
                <w:sz w:val="20"/>
                <w:szCs w:val="20"/>
                <w:highlight w:val="none"/>
              </w:rPr>
            </w:pPr>
          </w:p>
        </w:tc>
        <w:tc>
          <w:tcPr>
            <w:tcW w:w="1447" w:type="dxa"/>
            <w:gridSpan w:val="2"/>
            <w:vAlign w:val="top"/>
          </w:tcPr>
          <w:p>
            <w:pPr>
              <w:spacing w:before="43" w:line="232" w:lineRule="auto"/>
              <w:ind w:left="541"/>
              <w:rPr>
                <w:rFonts w:ascii="宋体" w:hAnsi="宋体" w:eastAsia="宋体" w:cs="宋体"/>
                <w:color w:val="auto"/>
                <w:sz w:val="20"/>
                <w:szCs w:val="20"/>
                <w:highlight w:val="none"/>
              </w:rPr>
            </w:pPr>
            <w:r>
              <w:rPr>
                <w:rFonts w:ascii="Times New Roman" w:hAnsi="Times New Roman" w:eastAsia="Times New Roman" w:cs="Times New Roman"/>
                <w:color w:val="auto"/>
                <w:sz w:val="20"/>
                <w:szCs w:val="20"/>
                <w:highlight w:val="none"/>
              </w:rPr>
              <w:t>C</w:t>
            </w:r>
            <w:r>
              <w:rPr>
                <w:rFonts w:ascii="Times New Roman" w:hAnsi="Times New Roman" w:eastAsia="Times New Roman" w:cs="Times New Roman"/>
                <w:color w:val="auto"/>
                <w:spacing w:val="7"/>
                <w:sz w:val="20"/>
                <w:szCs w:val="20"/>
                <w:highlight w:val="none"/>
              </w:rPr>
              <w:t xml:space="preserve"> </w:t>
            </w:r>
            <w:r>
              <w:rPr>
                <w:rFonts w:ascii="宋体" w:hAnsi="宋体" w:eastAsia="宋体" w:cs="宋体"/>
                <w:color w:val="auto"/>
                <w:spacing w:val="6"/>
                <w:sz w:val="20"/>
                <w:szCs w:val="20"/>
                <w:highlight w:val="none"/>
              </w:rPr>
              <w:t>相</w:t>
            </w:r>
          </w:p>
        </w:tc>
        <w:tc>
          <w:tcPr>
            <w:tcW w:w="3008" w:type="dxa"/>
            <w:vAlign w:val="top"/>
          </w:tcPr>
          <w:p>
            <w:pPr>
              <w:spacing w:before="71" w:line="197" w:lineRule="auto"/>
              <w:ind w:left="1374"/>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15</w:t>
            </w:r>
            <w:r>
              <w:rPr>
                <w:rFonts w:ascii="Times New Roman" w:hAnsi="Times New Roman" w:eastAsia="Times New Roman" w:cs="Times New Roman"/>
                <w:color w:val="auto"/>
                <w:sz w:val="20"/>
                <w:szCs w:val="20"/>
                <w:highlight w:val="none"/>
              </w:rPr>
              <w:t>.7</w:t>
            </w:r>
          </w:p>
        </w:tc>
        <w:tc>
          <w:tcPr>
            <w:tcW w:w="3044" w:type="dxa"/>
            <w:tcBorders>
              <w:right w:val="single" w:color="000000" w:sz="10" w:space="0"/>
            </w:tcBorders>
            <w:vAlign w:val="top"/>
          </w:tcPr>
          <w:p>
            <w:pPr>
              <w:spacing w:before="71" w:line="197" w:lineRule="auto"/>
              <w:ind w:left="1380"/>
              <w:rPr>
                <w:rFonts w:ascii="Times New Roman" w:hAnsi="Times New Roman" w:eastAsia="Times New Roman" w:cs="Times New Roman"/>
                <w:color w:val="auto"/>
                <w:sz w:val="20"/>
                <w:szCs w:val="20"/>
                <w:highlight w:val="none"/>
              </w:rPr>
            </w:pPr>
            <w:r>
              <w:rPr>
                <w:rFonts w:hint="eastAsia" w:ascii="Times New Roman" w:hAnsi="Times New Roman" w:eastAsia="宋体" w:cs="Times New Roman"/>
                <w:color w:val="auto"/>
                <w:sz w:val="20"/>
                <w:szCs w:val="20"/>
                <w:highlight w:val="none"/>
                <w:lang w:val="en-US" w:eastAsia="zh-CN"/>
              </w:rPr>
              <w:t>21</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   计算结果</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28" w:name="_Toc5146"/>
      <w:r>
        <w:rPr>
          <w:rFonts w:hint="eastAsia" w:ascii="Times New Roman" w:hAnsi="Times New Roman" w:eastAsia="宋体" w:cs="Times New Roman"/>
          <w:snapToGrid/>
          <w:kern w:val="0"/>
          <w:sz w:val="24"/>
          <w:szCs w:val="24"/>
          <w:highlight w:val="none"/>
          <w:lang w:val="en-US" w:eastAsia="zh-CN" w:bidi="ar"/>
        </w:rPr>
        <w:t>1)工频电场强度计算结果</w:t>
      </w:r>
      <w:bookmarkEnd w:id="128"/>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工频电场强度计算结果见表 6. 1-5 及距离居民区最近塔基及非居民区工频电场强度见图 6. 1-4 和图 6. 1-5。</w:t>
      </w:r>
    </w:p>
    <w:p>
      <w:pPr>
        <w:spacing w:before="65" w:line="230" w:lineRule="auto"/>
        <w:ind w:left="3082"/>
        <w:rPr>
          <w:rFonts w:ascii="黑体" w:hAnsi="黑体" w:eastAsia="黑体" w:cs="黑体"/>
          <w:color w:val="auto"/>
          <w:sz w:val="20"/>
          <w:szCs w:val="20"/>
          <w:highlight w:val="none"/>
        </w:rPr>
      </w:pPr>
      <w:r>
        <w:rPr>
          <w:rFonts w:ascii="黑体" w:hAnsi="黑体" w:eastAsia="黑体" w:cs="黑体"/>
          <w:color w:val="auto"/>
          <w:spacing w:val="2"/>
          <w:sz w:val="20"/>
          <w:szCs w:val="20"/>
          <w:highlight w:val="none"/>
        </w:rPr>
        <w:t xml:space="preserve">表 </w:t>
      </w:r>
      <w:r>
        <w:rPr>
          <w:rFonts w:ascii="Times New Roman" w:hAnsi="Times New Roman" w:eastAsia="Times New Roman" w:cs="Times New Roman"/>
          <w:color w:val="auto"/>
          <w:spacing w:val="2"/>
          <w:sz w:val="20"/>
          <w:szCs w:val="20"/>
          <w:highlight w:val="none"/>
        </w:rPr>
        <w:t>6. 1-</w:t>
      </w:r>
      <w:r>
        <w:rPr>
          <w:rFonts w:ascii="Times New Roman" w:hAnsi="Times New Roman" w:eastAsia="Times New Roman" w:cs="Times New Roman"/>
          <w:color w:val="auto"/>
          <w:spacing w:val="1"/>
          <w:sz w:val="20"/>
          <w:szCs w:val="20"/>
          <w:highlight w:val="none"/>
        </w:rPr>
        <w:t xml:space="preserve">5    </w:t>
      </w:r>
      <w:r>
        <w:rPr>
          <w:rFonts w:ascii="黑体" w:hAnsi="黑体" w:eastAsia="黑体" w:cs="黑体"/>
          <w:color w:val="auto"/>
          <w:spacing w:val="1"/>
          <w:sz w:val="20"/>
          <w:szCs w:val="20"/>
          <w:highlight w:val="none"/>
        </w:rPr>
        <w:t>工频电场强度预测结果</w:t>
      </w:r>
    </w:p>
    <w:p>
      <w:pPr>
        <w:spacing w:line="116" w:lineRule="exact"/>
        <w:rPr>
          <w:color w:val="auto"/>
          <w:highlight w:val="none"/>
        </w:rPr>
      </w:pPr>
    </w:p>
    <w:tbl>
      <w:tblPr>
        <w:tblStyle w:val="20"/>
        <w:tblW w:w="912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02"/>
        <w:gridCol w:w="2605"/>
        <w:gridCol w:w="26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3902" w:type="dxa"/>
            <w:tcBorders>
              <w:left w:val="single" w:color="000000" w:sz="10" w:space="0"/>
            </w:tcBorders>
            <w:vAlign w:val="top"/>
          </w:tcPr>
          <w:p>
            <w:pPr>
              <w:spacing w:before="51" w:line="230" w:lineRule="auto"/>
              <w:ind w:left="1411"/>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导线对地高度</w:t>
            </w:r>
          </w:p>
        </w:tc>
        <w:tc>
          <w:tcPr>
            <w:tcW w:w="2605" w:type="dxa"/>
            <w:vAlign w:val="top"/>
          </w:tcPr>
          <w:p>
            <w:pPr>
              <w:spacing w:before="82" w:line="197" w:lineRule="auto"/>
              <w:ind w:left="1150"/>
              <w:rPr>
                <w:rFonts w:ascii="Times New Roman" w:hAnsi="Times New Roman" w:eastAsia="Times New Roman"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33</w:t>
            </w:r>
            <w:r>
              <w:rPr>
                <w:rFonts w:ascii="Times New Roman" w:hAnsi="Times New Roman" w:eastAsia="Times New Roman" w:cs="Times New Roman"/>
                <w:color w:val="auto"/>
                <w:sz w:val="18"/>
                <w:szCs w:val="18"/>
                <w:highlight w:val="none"/>
              </w:rPr>
              <w:t>m</w:t>
            </w:r>
          </w:p>
        </w:tc>
        <w:tc>
          <w:tcPr>
            <w:tcW w:w="2620" w:type="dxa"/>
            <w:tcBorders>
              <w:right w:val="single" w:color="000000" w:sz="10" w:space="0"/>
            </w:tcBorders>
            <w:vAlign w:val="top"/>
          </w:tcPr>
          <w:p>
            <w:pPr>
              <w:spacing w:before="82" w:line="197" w:lineRule="auto"/>
              <w:ind w:left="1172"/>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3902" w:type="dxa"/>
            <w:tcBorders>
              <w:left w:val="single" w:color="000000" w:sz="10" w:space="0"/>
            </w:tcBorders>
            <w:vAlign w:val="top"/>
          </w:tcPr>
          <w:p>
            <w:pPr>
              <w:spacing w:before="27" w:line="227" w:lineRule="auto"/>
              <w:ind w:left="1587"/>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预测高</w:t>
            </w:r>
            <w:r>
              <w:rPr>
                <w:rFonts w:ascii="宋体" w:hAnsi="宋体" w:eastAsia="宋体" w:cs="宋体"/>
                <w:color w:val="auto"/>
                <w:spacing w:val="7"/>
                <w:sz w:val="18"/>
                <w:szCs w:val="18"/>
                <w:highlight w:val="none"/>
              </w:rPr>
              <w:t>度</w:t>
            </w:r>
          </w:p>
        </w:tc>
        <w:tc>
          <w:tcPr>
            <w:tcW w:w="2605" w:type="dxa"/>
            <w:vAlign w:val="top"/>
          </w:tcPr>
          <w:p>
            <w:pPr>
              <w:spacing w:before="56" w:line="200" w:lineRule="auto"/>
              <w:ind w:left="114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w:t>
            </w:r>
            <w:r>
              <w:rPr>
                <w:rFonts w:ascii="Times New Roman" w:hAnsi="Times New Roman" w:eastAsia="Times New Roman" w:cs="Times New Roman"/>
                <w:color w:val="auto"/>
                <w:sz w:val="18"/>
                <w:szCs w:val="18"/>
                <w:highlight w:val="none"/>
              </w:rPr>
              <w:t>.5m</w:t>
            </w:r>
          </w:p>
        </w:tc>
        <w:tc>
          <w:tcPr>
            <w:tcW w:w="2620" w:type="dxa"/>
            <w:tcBorders>
              <w:right w:val="single" w:color="000000" w:sz="10" w:space="0"/>
            </w:tcBorders>
            <w:vAlign w:val="top"/>
          </w:tcPr>
          <w:p>
            <w:pPr>
              <w:spacing w:before="56" w:line="200" w:lineRule="auto"/>
              <w:ind w:left="114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w:t>
            </w:r>
            <w:r>
              <w:rPr>
                <w:rFonts w:ascii="Times New Roman" w:hAnsi="Times New Roman" w:eastAsia="Times New Roman" w:cs="Times New Roman"/>
                <w:color w:val="auto"/>
                <w:sz w:val="18"/>
                <w:szCs w:val="18"/>
                <w:highlight w:val="none"/>
              </w:rPr>
              <w:t>.5m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3902" w:type="dxa"/>
            <w:tcBorders>
              <w:left w:val="single" w:color="000000" w:sz="10" w:space="0"/>
            </w:tcBorders>
            <w:vAlign w:val="top"/>
          </w:tcPr>
          <w:p>
            <w:pPr>
              <w:spacing w:line="236" w:lineRule="exact"/>
              <w:ind w:left="1019"/>
              <w:rPr>
                <w:rFonts w:ascii="Times New Roman" w:hAnsi="Times New Roman" w:eastAsia="Times New Roman" w:cs="Times New Roman"/>
                <w:color w:val="auto"/>
                <w:sz w:val="18"/>
                <w:szCs w:val="18"/>
                <w:highlight w:val="none"/>
              </w:rPr>
            </w:pPr>
            <w:r>
              <w:rPr>
                <w:rFonts w:ascii="宋体" w:hAnsi="宋体" w:eastAsia="宋体" w:cs="宋体"/>
                <w:color w:val="auto"/>
                <w:spacing w:val="11"/>
                <w:position w:val="1"/>
                <w:sz w:val="18"/>
                <w:szCs w:val="18"/>
                <w:highlight w:val="none"/>
              </w:rPr>
              <w:t>边导线正投影处，</w:t>
            </w:r>
            <w:r>
              <w:rPr>
                <w:rFonts w:ascii="Times New Roman" w:hAnsi="Times New Roman" w:eastAsia="Times New Roman" w:cs="Times New Roman"/>
                <w:color w:val="auto"/>
                <w:position w:val="1"/>
                <w:sz w:val="18"/>
                <w:szCs w:val="18"/>
                <w:highlight w:val="none"/>
              </w:rPr>
              <w:t>kV</w:t>
            </w:r>
            <w:r>
              <w:rPr>
                <w:rFonts w:ascii="Times New Roman" w:hAnsi="Times New Roman" w:eastAsia="Times New Roman" w:cs="Times New Roman"/>
                <w:color w:val="auto"/>
                <w:spacing w:val="9"/>
                <w:position w:val="1"/>
                <w:sz w:val="18"/>
                <w:szCs w:val="18"/>
                <w:highlight w:val="none"/>
              </w:rPr>
              <w:t>/</w:t>
            </w:r>
            <w:r>
              <w:rPr>
                <w:rFonts w:ascii="Times New Roman" w:hAnsi="Times New Roman" w:eastAsia="Times New Roman" w:cs="Times New Roman"/>
                <w:color w:val="auto"/>
                <w:position w:val="1"/>
                <w:sz w:val="18"/>
                <w:szCs w:val="18"/>
                <w:highlight w:val="none"/>
              </w:rPr>
              <w:t>m</w:t>
            </w:r>
          </w:p>
        </w:tc>
        <w:tc>
          <w:tcPr>
            <w:tcW w:w="2605" w:type="dxa"/>
            <w:vAlign w:val="top"/>
          </w:tcPr>
          <w:p>
            <w:pPr>
              <w:spacing w:before="45" w:line="200" w:lineRule="auto"/>
              <w:ind w:left="112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1.852</w:t>
            </w:r>
          </w:p>
        </w:tc>
        <w:tc>
          <w:tcPr>
            <w:tcW w:w="2620" w:type="dxa"/>
            <w:tcBorders>
              <w:right w:val="single" w:color="000000" w:sz="10" w:space="0"/>
            </w:tcBorders>
            <w:vAlign w:val="top"/>
          </w:tcPr>
          <w:p>
            <w:pPr>
              <w:spacing w:before="45" w:line="197" w:lineRule="auto"/>
              <w:ind w:left="1112"/>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7</w:t>
            </w:r>
            <w:r>
              <w:rPr>
                <w:rFonts w:ascii="Times New Roman" w:hAnsi="Times New Roman" w:eastAsia="Times New Roman" w:cs="Times New Roman"/>
                <w:color w:val="auto"/>
                <w:spacing w:val="3"/>
                <w:sz w:val="18"/>
                <w:szCs w:val="18"/>
                <w:highlight w:val="none"/>
              </w:rPr>
              <w:t>.951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3902" w:type="dxa"/>
            <w:tcBorders>
              <w:left w:val="single" w:color="000000" w:sz="10" w:space="0"/>
            </w:tcBorders>
            <w:vAlign w:val="top"/>
          </w:tcPr>
          <w:p>
            <w:pPr>
              <w:spacing w:line="238" w:lineRule="exact"/>
              <w:ind w:left="973"/>
              <w:rPr>
                <w:rFonts w:ascii="Times New Roman" w:hAnsi="Times New Roman" w:eastAsia="Times New Roman" w:cs="Times New Roman"/>
                <w:color w:val="auto"/>
                <w:sz w:val="18"/>
                <w:szCs w:val="18"/>
                <w:highlight w:val="none"/>
              </w:rPr>
            </w:pPr>
            <w:r>
              <w:rPr>
                <w:rFonts w:ascii="宋体" w:hAnsi="宋体" w:eastAsia="宋体" w:cs="宋体"/>
                <w:color w:val="auto"/>
                <w:spacing w:val="5"/>
                <w:position w:val="1"/>
                <w:sz w:val="18"/>
                <w:szCs w:val="18"/>
                <w:highlight w:val="none"/>
              </w:rPr>
              <w:t xml:space="preserve">边导线外 </w:t>
            </w:r>
            <w:r>
              <w:rPr>
                <w:rFonts w:ascii="Times New Roman" w:hAnsi="Times New Roman" w:eastAsia="Times New Roman" w:cs="Times New Roman"/>
                <w:color w:val="auto"/>
                <w:spacing w:val="5"/>
                <w:position w:val="1"/>
                <w:sz w:val="18"/>
                <w:szCs w:val="18"/>
                <w:highlight w:val="none"/>
              </w:rPr>
              <w:t>6.0</w:t>
            </w:r>
            <w:r>
              <w:rPr>
                <w:rFonts w:ascii="Times New Roman" w:hAnsi="Times New Roman" w:eastAsia="Times New Roman" w:cs="Times New Roman"/>
                <w:color w:val="auto"/>
                <w:position w:val="1"/>
                <w:sz w:val="18"/>
                <w:szCs w:val="18"/>
                <w:highlight w:val="none"/>
              </w:rPr>
              <w:t>m</w:t>
            </w:r>
            <w:r>
              <w:rPr>
                <w:rFonts w:ascii="Times New Roman" w:hAnsi="Times New Roman" w:eastAsia="Times New Roman" w:cs="Times New Roman"/>
                <w:color w:val="auto"/>
                <w:spacing w:val="5"/>
                <w:position w:val="1"/>
                <w:sz w:val="18"/>
                <w:szCs w:val="18"/>
                <w:highlight w:val="none"/>
              </w:rPr>
              <w:t xml:space="preserve"> </w:t>
            </w:r>
            <w:r>
              <w:rPr>
                <w:rFonts w:ascii="宋体" w:hAnsi="宋体" w:eastAsia="宋体" w:cs="宋体"/>
                <w:color w:val="auto"/>
                <w:spacing w:val="5"/>
                <w:position w:val="1"/>
                <w:sz w:val="18"/>
                <w:szCs w:val="18"/>
                <w:highlight w:val="none"/>
              </w:rPr>
              <w:t>处，</w:t>
            </w:r>
            <w:r>
              <w:rPr>
                <w:rFonts w:ascii="Times New Roman" w:hAnsi="Times New Roman" w:eastAsia="Times New Roman" w:cs="Times New Roman"/>
                <w:color w:val="auto"/>
                <w:position w:val="1"/>
                <w:sz w:val="18"/>
                <w:szCs w:val="18"/>
                <w:highlight w:val="none"/>
              </w:rPr>
              <w:t>kV</w:t>
            </w:r>
            <w:r>
              <w:rPr>
                <w:rFonts w:ascii="Times New Roman" w:hAnsi="Times New Roman" w:eastAsia="Times New Roman" w:cs="Times New Roman"/>
                <w:color w:val="auto"/>
                <w:spacing w:val="3"/>
                <w:position w:val="1"/>
                <w:sz w:val="18"/>
                <w:szCs w:val="18"/>
                <w:highlight w:val="none"/>
              </w:rPr>
              <w:t>/</w:t>
            </w:r>
            <w:r>
              <w:rPr>
                <w:rFonts w:ascii="Times New Roman" w:hAnsi="Times New Roman" w:eastAsia="Times New Roman" w:cs="Times New Roman"/>
                <w:color w:val="auto"/>
                <w:position w:val="1"/>
                <w:sz w:val="18"/>
                <w:szCs w:val="18"/>
                <w:highlight w:val="none"/>
              </w:rPr>
              <w:t>m</w:t>
            </w:r>
          </w:p>
        </w:tc>
        <w:tc>
          <w:tcPr>
            <w:tcW w:w="2605" w:type="dxa"/>
            <w:vAlign w:val="top"/>
          </w:tcPr>
          <w:p>
            <w:pPr>
              <w:spacing w:before="48" w:line="200" w:lineRule="auto"/>
              <w:ind w:left="1103"/>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3"/>
                <w:sz w:val="18"/>
                <w:szCs w:val="18"/>
                <w:highlight w:val="none"/>
              </w:rPr>
              <w:t>.065</w:t>
            </w:r>
          </w:p>
        </w:tc>
        <w:tc>
          <w:tcPr>
            <w:tcW w:w="2620" w:type="dxa"/>
            <w:tcBorders>
              <w:right w:val="single" w:color="000000" w:sz="10" w:space="0"/>
            </w:tcBorders>
            <w:vAlign w:val="top"/>
          </w:tcPr>
          <w:p>
            <w:pPr>
              <w:spacing w:before="48" w:line="197" w:lineRule="auto"/>
              <w:ind w:left="1112"/>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7</w:t>
            </w:r>
            <w:r>
              <w:rPr>
                <w:rFonts w:ascii="Times New Roman" w:hAnsi="Times New Roman" w:eastAsia="Times New Roman" w:cs="Times New Roman"/>
                <w:color w:val="auto"/>
                <w:spacing w:val="-4"/>
                <w:sz w:val="18"/>
                <w:szCs w:val="18"/>
                <w:highlight w:val="none"/>
              </w:rPr>
              <w:t>. 192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3902" w:type="dxa"/>
            <w:tcBorders>
              <w:left w:val="single" w:color="000000" w:sz="10" w:space="0"/>
            </w:tcBorders>
            <w:vAlign w:val="top"/>
          </w:tcPr>
          <w:p>
            <w:pPr>
              <w:spacing w:line="237" w:lineRule="exact"/>
              <w:ind w:left="1381"/>
              <w:rPr>
                <w:rFonts w:ascii="Times New Roman" w:hAnsi="Times New Roman" w:eastAsia="Times New Roman" w:cs="Times New Roman"/>
                <w:color w:val="auto"/>
                <w:sz w:val="18"/>
                <w:szCs w:val="18"/>
                <w:highlight w:val="none"/>
              </w:rPr>
            </w:pPr>
            <w:r>
              <w:rPr>
                <w:rFonts w:ascii="宋体" w:hAnsi="宋体" w:eastAsia="宋体" w:cs="宋体"/>
                <w:color w:val="auto"/>
                <w:spacing w:val="11"/>
                <w:position w:val="1"/>
                <w:sz w:val="18"/>
                <w:szCs w:val="18"/>
                <w:highlight w:val="none"/>
              </w:rPr>
              <w:t>最大值，</w:t>
            </w:r>
            <w:r>
              <w:rPr>
                <w:rFonts w:ascii="Times New Roman" w:hAnsi="Times New Roman" w:eastAsia="Times New Roman" w:cs="Times New Roman"/>
                <w:color w:val="auto"/>
                <w:position w:val="1"/>
                <w:sz w:val="18"/>
                <w:szCs w:val="18"/>
                <w:highlight w:val="none"/>
              </w:rPr>
              <w:t>kV</w:t>
            </w:r>
            <w:r>
              <w:rPr>
                <w:rFonts w:ascii="Times New Roman" w:hAnsi="Times New Roman" w:eastAsia="Times New Roman" w:cs="Times New Roman"/>
                <w:color w:val="auto"/>
                <w:spacing w:val="10"/>
                <w:position w:val="1"/>
                <w:sz w:val="18"/>
                <w:szCs w:val="18"/>
                <w:highlight w:val="none"/>
              </w:rPr>
              <w:t>/</w:t>
            </w:r>
            <w:r>
              <w:rPr>
                <w:rFonts w:ascii="Times New Roman" w:hAnsi="Times New Roman" w:eastAsia="Times New Roman" w:cs="Times New Roman"/>
                <w:color w:val="auto"/>
                <w:position w:val="1"/>
                <w:sz w:val="18"/>
                <w:szCs w:val="18"/>
                <w:highlight w:val="none"/>
              </w:rPr>
              <w:t>m</w:t>
            </w:r>
          </w:p>
        </w:tc>
        <w:tc>
          <w:tcPr>
            <w:tcW w:w="2605" w:type="dxa"/>
            <w:vAlign w:val="top"/>
          </w:tcPr>
          <w:p>
            <w:pPr>
              <w:spacing w:before="46" w:line="200" w:lineRule="auto"/>
              <w:ind w:left="1103"/>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3"/>
                <w:sz w:val="18"/>
                <w:szCs w:val="18"/>
                <w:highlight w:val="none"/>
              </w:rPr>
              <w:t>.074</w:t>
            </w:r>
          </w:p>
        </w:tc>
        <w:tc>
          <w:tcPr>
            <w:tcW w:w="2620" w:type="dxa"/>
            <w:tcBorders>
              <w:right w:val="single" w:color="000000" w:sz="10" w:space="0"/>
            </w:tcBorders>
            <w:vAlign w:val="top"/>
          </w:tcPr>
          <w:p>
            <w:pPr>
              <w:spacing w:before="46" w:line="197" w:lineRule="auto"/>
              <w:ind w:left="1117"/>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8. 123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3902" w:type="dxa"/>
            <w:tcBorders>
              <w:left w:val="single" w:color="000000" w:sz="10" w:space="0"/>
            </w:tcBorders>
            <w:vAlign w:val="top"/>
          </w:tcPr>
          <w:p>
            <w:pPr>
              <w:spacing w:line="237" w:lineRule="exact"/>
              <w:ind w:left="556"/>
              <w:rPr>
                <w:rFonts w:ascii="Times New Roman" w:hAnsi="Times New Roman" w:eastAsia="Times New Roman" w:cs="Times New Roman"/>
                <w:color w:val="auto"/>
                <w:sz w:val="18"/>
                <w:szCs w:val="18"/>
                <w:highlight w:val="none"/>
              </w:rPr>
            </w:pPr>
            <w:r>
              <w:rPr>
                <w:rFonts w:ascii="宋体" w:hAnsi="宋体" w:eastAsia="宋体" w:cs="宋体"/>
                <w:color w:val="auto"/>
                <w:spacing w:val="6"/>
                <w:position w:val="2"/>
                <w:sz w:val="18"/>
                <w:szCs w:val="18"/>
                <w:highlight w:val="none"/>
              </w:rPr>
              <w:t>最大值点位置</w:t>
            </w:r>
            <w:r>
              <w:rPr>
                <w:rFonts w:ascii="Times New Roman" w:hAnsi="Times New Roman" w:eastAsia="Times New Roman" w:cs="Times New Roman"/>
                <w:color w:val="auto"/>
                <w:spacing w:val="6"/>
                <w:position w:val="2"/>
                <w:sz w:val="18"/>
                <w:szCs w:val="18"/>
                <w:highlight w:val="none"/>
              </w:rPr>
              <w:t>(</w:t>
            </w:r>
            <w:r>
              <w:rPr>
                <w:rFonts w:ascii="宋体" w:hAnsi="宋体" w:eastAsia="宋体" w:cs="宋体"/>
                <w:color w:val="auto"/>
                <w:spacing w:val="6"/>
                <w:position w:val="2"/>
                <w:sz w:val="18"/>
                <w:szCs w:val="18"/>
                <w:highlight w:val="none"/>
              </w:rPr>
              <w:t>与计算原点距离</w:t>
            </w:r>
            <w:r>
              <w:rPr>
                <w:rFonts w:ascii="Times New Roman" w:hAnsi="Times New Roman" w:eastAsia="Times New Roman" w:cs="Times New Roman"/>
                <w:color w:val="auto"/>
                <w:spacing w:val="6"/>
                <w:position w:val="2"/>
                <w:sz w:val="18"/>
                <w:szCs w:val="18"/>
                <w:highlight w:val="none"/>
              </w:rPr>
              <w:t xml:space="preserve">) </w:t>
            </w:r>
            <w:r>
              <w:rPr>
                <w:rFonts w:ascii="宋体" w:hAnsi="宋体" w:eastAsia="宋体" w:cs="宋体"/>
                <w:color w:val="auto"/>
                <w:spacing w:val="6"/>
                <w:position w:val="2"/>
                <w:sz w:val="18"/>
                <w:szCs w:val="18"/>
                <w:highlight w:val="none"/>
              </w:rPr>
              <w:t>，</w:t>
            </w:r>
            <w:r>
              <w:rPr>
                <w:rFonts w:ascii="Times New Roman" w:hAnsi="Times New Roman" w:eastAsia="Times New Roman" w:cs="Times New Roman"/>
                <w:color w:val="auto"/>
                <w:position w:val="2"/>
                <w:sz w:val="18"/>
                <w:szCs w:val="18"/>
                <w:highlight w:val="none"/>
              </w:rPr>
              <w:t>m</w:t>
            </w:r>
          </w:p>
        </w:tc>
        <w:tc>
          <w:tcPr>
            <w:tcW w:w="2605" w:type="dxa"/>
            <w:vAlign w:val="top"/>
          </w:tcPr>
          <w:p>
            <w:pPr>
              <w:spacing w:before="49" w:line="197" w:lineRule="auto"/>
              <w:ind w:left="121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w:t>
            </w:r>
            <w:r>
              <w:rPr>
                <w:rFonts w:ascii="Times New Roman" w:hAnsi="Times New Roman" w:eastAsia="Times New Roman" w:cs="Times New Roman"/>
                <w:color w:val="auto"/>
                <w:spacing w:val="3"/>
                <w:sz w:val="18"/>
                <w:szCs w:val="18"/>
                <w:highlight w:val="none"/>
              </w:rPr>
              <w:t>3</w:t>
            </w:r>
          </w:p>
        </w:tc>
        <w:tc>
          <w:tcPr>
            <w:tcW w:w="2620" w:type="dxa"/>
            <w:tcBorders>
              <w:right w:val="single" w:color="000000" w:sz="10" w:space="0"/>
            </w:tcBorders>
            <w:vAlign w:val="top"/>
          </w:tcPr>
          <w:p>
            <w:pPr>
              <w:spacing w:before="49" w:line="197" w:lineRule="auto"/>
              <w:ind w:left="124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3902" w:type="dxa"/>
            <w:tcBorders>
              <w:left w:val="single" w:color="000000" w:sz="10" w:space="0"/>
            </w:tcBorders>
            <w:vAlign w:val="top"/>
          </w:tcPr>
          <w:p>
            <w:pPr>
              <w:spacing w:line="237" w:lineRule="exact"/>
              <w:ind w:left="647"/>
              <w:rPr>
                <w:rFonts w:ascii="Times New Roman" w:hAnsi="Times New Roman" w:eastAsia="Times New Roman" w:cs="Times New Roman"/>
                <w:color w:val="auto"/>
                <w:sz w:val="18"/>
                <w:szCs w:val="18"/>
                <w:highlight w:val="none"/>
              </w:rPr>
            </w:pPr>
            <w:r>
              <w:rPr>
                <w:rFonts w:ascii="宋体" w:hAnsi="宋体" w:eastAsia="宋体" w:cs="宋体"/>
                <w:color w:val="auto"/>
                <w:spacing w:val="10"/>
                <w:position w:val="2"/>
                <w:sz w:val="18"/>
                <w:szCs w:val="18"/>
                <w:highlight w:val="none"/>
              </w:rPr>
              <w:t>最大</w:t>
            </w:r>
            <w:r>
              <w:rPr>
                <w:rFonts w:ascii="宋体" w:hAnsi="宋体" w:eastAsia="宋体" w:cs="宋体"/>
                <w:color w:val="auto"/>
                <w:spacing w:val="7"/>
                <w:position w:val="2"/>
                <w:sz w:val="18"/>
                <w:szCs w:val="18"/>
                <w:highlight w:val="none"/>
              </w:rPr>
              <w:t>值</w:t>
            </w:r>
            <w:r>
              <w:rPr>
                <w:rFonts w:ascii="宋体" w:hAnsi="宋体" w:eastAsia="宋体" w:cs="宋体"/>
                <w:color w:val="auto"/>
                <w:spacing w:val="5"/>
                <w:position w:val="2"/>
                <w:sz w:val="18"/>
                <w:szCs w:val="18"/>
                <w:highlight w:val="none"/>
              </w:rPr>
              <w:t>点位置</w:t>
            </w:r>
            <w:r>
              <w:rPr>
                <w:rFonts w:ascii="Times New Roman" w:hAnsi="Times New Roman" w:eastAsia="Times New Roman" w:cs="Times New Roman"/>
                <w:color w:val="auto"/>
                <w:spacing w:val="5"/>
                <w:position w:val="2"/>
                <w:sz w:val="18"/>
                <w:szCs w:val="18"/>
                <w:highlight w:val="none"/>
              </w:rPr>
              <w:t>(</w:t>
            </w:r>
            <w:r>
              <w:rPr>
                <w:rFonts w:ascii="宋体" w:hAnsi="宋体" w:eastAsia="宋体" w:cs="宋体"/>
                <w:color w:val="auto"/>
                <w:spacing w:val="5"/>
                <w:position w:val="2"/>
                <w:sz w:val="18"/>
                <w:szCs w:val="18"/>
                <w:highlight w:val="none"/>
              </w:rPr>
              <w:t>与边导线距离</w:t>
            </w:r>
            <w:r>
              <w:rPr>
                <w:rFonts w:ascii="Times New Roman" w:hAnsi="Times New Roman" w:eastAsia="Times New Roman" w:cs="Times New Roman"/>
                <w:color w:val="auto"/>
                <w:spacing w:val="5"/>
                <w:position w:val="2"/>
                <w:sz w:val="18"/>
                <w:szCs w:val="18"/>
                <w:highlight w:val="none"/>
              </w:rPr>
              <w:t xml:space="preserve">) </w:t>
            </w:r>
            <w:r>
              <w:rPr>
                <w:rFonts w:ascii="宋体" w:hAnsi="宋体" w:eastAsia="宋体" w:cs="宋体"/>
                <w:color w:val="auto"/>
                <w:spacing w:val="5"/>
                <w:position w:val="2"/>
                <w:sz w:val="18"/>
                <w:szCs w:val="18"/>
                <w:highlight w:val="none"/>
              </w:rPr>
              <w:t>，</w:t>
            </w:r>
            <w:r>
              <w:rPr>
                <w:rFonts w:ascii="Times New Roman" w:hAnsi="Times New Roman" w:eastAsia="Times New Roman" w:cs="Times New Roman"/>
                <w:color w:val="auto"/>
                <w:position w:val="2"/>
                <w:sz w:val="18"/>
                <w:szCs w:val="18"/>
                <w:highlight w:val="none"/>
              </w:rPr>
              <w:t>m</w:t>
            </w:r>
          </w:p>
        </w:tc>
        <w:tc>
          <w:tcPr>
            <w:tcW w:w="2605" w:type="dxa"/>
            <w:vAlign w:val="top"/>
          </w:tcPr>
          <w:p>
            <w:pPr>
              <w:spacing w:before="60" w:line="197" w:lineRule="auto"/>
              <w:ind w:left="119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7</w:t>
            </w:r>
            <w:r>
              <w:rPr>
                <w:rFonts w:ascii="Times New Roman" w:hAnsi="Times New Roman" w:eastAsia="Times New Roman" w:cs="Times New Roman"/>
                <w:color w:val="auto"/>
                <w:spacing w:val="3"/>
                <w:sz w:val="18"/>
                <w:szCs w:val="18"/>
                <w:highlight w:val="none"/>
              </w:rPr>
              <w:t>.3</w:t>
            </w:r>
          </w:p>
        </w:tc>
        <w:tc>
          <w:tcPr>
            <w:tcW w:w="2620" w:type="dxa"/>
            <w:tcBorders>
              <w:right w:val="single" w:color="000000" w:sz="10" w:space="0"/>
            </w:tcBorders>
            <w:vAlign w:val="top"/>
          </w:tcPr>
          <w:p>
            <w:pPr>
              <w:spacing w:before="60" w:line="200" w:lineRule="auto"/>
              <w:ind w:left="121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w:t>
            </w:r>
            <w:r>
              <w:rPr>
                <w:rFonts w:ascii="Times New Roman" w:hAnsi="Times New Roman" w:eastAsia="Times New Roman" w:cs="Times New Roman"/>
                <w:color w:val="auto"/>
                <w:spacing w:val="-1"/>
                <w:sz w:val="18"/>
                <w:szCs w:val="18"/>
                <w:highlight w:val="none"/>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3902" w:type="dxa"/>
            <w:tcBorders>
              <w:left w:val="single" w:color="000000" w:sz="10" w:space="0"/>
            </w:tcBorders>
            <w:vAlign w:val="top"/>
          </w:tcPr>
          <w:p>
            <w:pPr>
              <w:spacing w:before="31" w:line="224" w:lineRule="auto"/>
              <w:ind w:left="1336"/>
              <w:rPr>
                <w:rFonts w:ascii="宋体" w:hAnsi="宋体" w:eastAsia="宋体" w:cs="宋体"/>
                <w:color w:val="auto"/>
                <w:sz w:val="18"/>
                <w:szCs w:val="18"/>
                <w:highlight w:val="none"/>
              </w:rPr>
            </w:pPr>
            <w:r>
              <w:rPr>
                <w:rFonts w:ascii="宋体" w:hAnsi="宋体" w:eastAsia="宋体" w:cs="宋体"/>
                <w:color w:val="auto"/>
                <w:spacing w:val="5"/>
                <w:sz w:val="18"/>
                <w:szCs w:val="18"/>
                <w:highlight w:val="none"/>
              </w:rPr>
              <w:t>水</w:t>
            </w:r>
            <w:r>
              <w:rPr>
                <w:rFonts w:ascii="宋体" w:hAnsi="宋体" w:eastAsia="宋体" w:cs="宋体"/>
                <w:color w:val="auto"/>
                <w:spacing w:val="4"/>
                <w:sz w:val="18"/>
                <w:szCs w:val="18"/>
                <w:highlight w:val="none"/>
              </w:rPr>
              <w:t>平距离 (</w:t>
            </w:r>
            <w:r>
              <w:rPr>
                <w:rFonts w:ascii="Times New Roman" w:hAnsi="Times New Roman" w:eastAsia="Times New Roman" w:cs="Times New Roman"/>
                <w:color w:val="auto"/>
                <w:sz w:val="18"/>
                <w:szCs w:val="18"/>
                <w:highlight w:val="none"/>
              </w:rPr>
              <w:t>m</w:t>
            </w:r>
            <w:r>
              <w:rPr>
                <w:rFonts w:ascii="Times New Roman" w:hAnsi="Times New Roman" w:eastAsia="Times New Roman" w:cs="Times New Roman"/>
                <w:color w:val="auto"/>
                <w:spacing w:val="4"/>
                <w:sz w:val="18"/>
                <w:szCs w:val="18"/>
                <w:highlight w:val="none"/>
              </w:rPr>
              <w:t xml:space="preserve"> </w:t>
            </w:r>
            <w:r>
              <w:rPr>
                <w:rFonts w:ascii="宋体" w:hAnsi="宋体" w:eastAsia="宋体" w:cs="宋体"/>
                <w:color w:val="auto"/>
                <w:spacing w:val="4"/>
                <w:sz w:val="18"/>
                <w:szCs w:val="18"/>
                <w:highlight w:val="none"/>
              </w:rPr>
              <w:t>)</w:t>
            </w:r>
          </w:p>
        </w:tc>
        <w:tc>
          <w:tcPr>
            <w:tcW w:w="2605" w:type="dxa"/>
            <w:vAlign w:val="top"/>
          </w:tcPr>
          <w:p>
            <w:pPr>
              <w:spacing w:line="237" w:lineRule="exact"/>
              <w:ind w:left="180"/>
              <w:rPr>
                <w:rFonts w:ascii="宋体" w:hAnsi="宋体" w:eastAsia="宋体" w:cs="宋体"/>
                <w:color w:val="auto"/>
                <w:sz w:val="18"/>
                <w:szCs w:val="18"/>
                <w:highlight w:val="none"/>
              </w:rPr>
            </w:pPr>
            <w:r>
              <w:rPr>
                <w:rFonts w:ascii="宋体" w:hAnsi="宋体" w:eastAsia="宋体" w:cs="宋体"/>
                <w:color w:val="auto"/>
                <w:spacing w:val="7"/>
                <w:position w:val="1"/>
                <w:sz w:val="18"/>
                <w:szCs w:val="18"/>
                <w:highlight w:val="none"/>
              </w:rPr>
              <w:t>电</w:t>
            </w:r>
            <w:r>
              <w:rPr>
                <w:rFonts w:ascii="宋体" w:hAnsi="宋体" w:eastAsia="宋体" w:cs="宋体"/>
                <w:color w:val="auto"/>
                <w:spacing w:val="5"/>
                <w:position w:val="1"/>
                <w:sz w:val="18"/>
                <w:szCs w:val="18"/>
                <w:highlight w:val="none"/>
              </w:rPr>
              <w:t>场强度近似综合值 (</w:t>
            </w:r>
            <w:r>
              <w:rPr>
                <w:rFonts w:ascii="Times New Roman" w:hAnsi="Times New Roman" w:eastAsia="Times New Roman" w:cs="Times New Roman"/>
                <w:color w:val="auto"/>
                <w:position w:val="1"/>
                <w:sz w:val="18"/>
                <w:szCs w:val="18"/>
                <w:highlight w:val="none"/>
              </w:rPr>
              <w:t>V</w:t>
            </w:r>
            <w:r>
              <w:rPr>
                <w:rFonts w:ascii="Times New Roman" w:hAnsi="Times New Roman" w:eastAsia="Times New Roman" w:cs="Times New Roman"/>
                <w:color w:val="auto"/>
                <w:spacing w:val="5"/>
                <w:position w:val="1"/>
                <w:sz w:val="18"/>
                <w:szCs w:val="18"/>
                <w:highlight w:val="none"/>
              </w:rPr>
              <w:t>/</w:t>
            </w:r>
            <w:r>
              <w:rPr>
                <w:rFonts w:ascii="Times New Roman" w:hAnsi="Times New Roman" w:eastAsia="Times New Roman" w:cs="Times New Roman"/>
                <w:color w:val="auto"/>
                <w:position w:val="1"/>
                <w:sz w:val="18"/>
                <w:szCs w:val="18"/>
                <w:highlight w:val="none"/>
              </w:rPr>
              <w:t>m</w:t>
            </w:r>
            <w:r>
              <w:rPr>
                <w:rFonts w:ascii="Times New Roman" w:hAnsi="Times New Roman" w:eastAsia="Times New Roman" w:cs="Times New Roman"/>
                <w:color w:val="auto"/>
                <w:spacing w:val="5"/>
                <w:position w:val="1"/>
                <w:sz w:val="18"/>
                <w:szCs w:val="18"/>
                <w:highlight w:val="none"/>
              </w:rPr>
              <w:t xml:space="preserve"> </w:t>
            </w:r>
            <w:r>
              <w:rPr>
                <w:rFonts w:ascii="宋体" w:hAnsi="宋体" w:eastAsia="宋体" w:cs="宋体"/>
                <w:color w:val="auto"/>
                <w:spacing w:val="5"/>
                <w:position w:val="1"/>
                <w:sz w:val="18"/>
                <w:szCs w:val="18"/>
                <w:highlight w:val="none"/>
              </w:rPr>
              <w:t>)</w:t>
            </w:r>
          </w:p>
        </w:tc>
        <w:tc>
          <w:tcPr>
            <w:tcW w:w="2620" w:type="dxa"/>
            <w:tcBorders>
              <w:right w:val="single" w:color="000000" w:sz="10" w:space="0"/>
            </w:tcBorders>
            <w:vAlign w:val="top"/>
          </w:tcPr>
          <w:p>
            <w:pPr>
              <w:spacing w:line="237" w:lineRule="exact"/>
              <w:ind w:left="186"/>
              <w:rPr>
                <w:rFonts w:ascii="宋体" w:hAnsi="宋体" w:eastAsia="宋体" w:cs="宋体"/>
                <w:color w:val="auto"/>
                <w:sz w:val="18"/>
                <w:szCs w:val="18"/>
                <w:highlight w:val="none"/>
              </w:rPr>
            </w:pPr>
            <w:r>
              <w:rPr>
                <w:rFonts w:ascii="宋体" w:hAnsi="宋体" w:eastAsia="宋体" w:cs="宋体"/>
                <w:color w:val="auto"/>
                <w:spacing w:val="9"/>
                <w:position w:val="1"/>
                <w:sz w:val="18"/>
                <w:szCs w:val="18"/>
                <w:highlight w:val="none"/>
              </w:rPr>
              <w:t>电</w:t>
            </w:r>
            <w:r>
              <w:rPr>
                <w:rFonts w:ascii="宋体" w:hAnsi="宋体" w:eastAsia="宋体" w:cs="宋体"/>
                <w:color w:val="auto"/>
                <w:spacing w:val="5"/>
                <w:position w:val="1"/>
                <w:sz w:val="18"/>
                <w:szCs w:val="18"/>
                <w:highlight w:val="none"/>
              </w:rPr>
              <w:t>场强度近似综合值 (</w:t>
            </w:r>
            <w:r>
              <w:rPr>
                <w:rFonts w:ascii="Times New Roman" w:hAnsi="Times New Roman" w:eastAsia="Times New Roman" w:cs="Times New Roman"/>
                <w:color w:val="auto"/>
                <w:position w:val="1"/>
                <w:sz w:val="18"/>
                <w:szCs w:val="18"/>
                <w:highlight w:val="none"/>
              </w:rPr>
              <w:t>V</w:t>
            </w:r>
            <w:r>
              <w:rPr>
                <w:rFonts w:ascii="Times New Roman" w:hAnsi="Times New Roman" w:eastAsia="Times New Roman" w:cs="Times New Roman"/>
                <w:color w:val="auto"/>
                <w:spacing w:val="5"/>
                <w:position w:val="1"/>
                <w:sz w:val="18"/>
                <w:szCs w:val="18"/>
                <w:highlight w:val="none"/>
              </w:rPr>
              <w:t>/</w:t>
            </w:r>
            <w:r>
              <w:rPr>
                <w:rFonts w:ascii="Times New Roman" w:hAnsi="Times New Roman" w:eastAsia="Times New Roman" w:cs="Times New Roman"/>
                <w:color w:val="auto"/>
                <w:position w:val="1"/>
                <w:sz w:val="18"/>
                <w:szCs w:val="18"/>
                <w:highlight w:val="none"/>
              </w:rPr>
              <w:t>m</w:t>
            </w:r>
            <w:r>
              <w:rPr>
                <w:rFonts w:ascii="Times New Roman" w:hAnsi="Times New Roman" w:eastAsia="Times New Roman" w:cs="Times New Roman"/>
                <w:color w:val="auto"/>
                <w:spacing w:val="5"/>
                <w:position w:val="1"/>
                <w:sz w:val="18"/>
                <w:szCs w:val="18"/>
                <w:highlight w:val="none"/>
              </w:rPr>
              <w:t xml:space="preserve"> </w:t>
            </w:r>
            <w:r>
              <w:rPr>
                <w:rFonts w:ascii="宋体" w:hAnsi="宋体" w:eastAsia="宋体" w:cs="宋体"/>
                <w:color w:val="auto"/>
                <w:spacing w:val="5"/>
                <w:position w:val="1"/>
                <w:sz w:val="18"/>
                <w:szCs w:val="18"/>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9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0</w:t>
            </w:r>
          </w:p>
        </w:tc>
        <w:tc>
          <w:tcPr>
            <w:tcW w:w="2605" w:type="dxa"/>
            <w:vAlign w:val="top"/>
          </w:tcPr>
          <w:p>
            <w:pPr>
              <w:spacing w:before="49" w:line="197" w:lineRule="auto"/>
              <w:ind w:left="101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787.96</w:t>
            </w:r>
            <w:r>
              <w:rPr>
                <w:rFonts w:ascii="Times New Roman" w:hAnsi="Times New Roman" w:eastAsia="Times New Roman" w:cs="Times New Roman"/>
                <w:color w:val="auto"/>
                <w:spacing w:val="3"/>
                <w:sz w:val="18"/>
                <w:szCs w:val="18"/>
                <w:highlight w:val="none"/>
              </w:rPr>
              <w:t>4</w:t>
            </w:r>
          </w:p>
        </w:tc>
        <w:tc>
          <w:tcPr>
            <w:tcW w:w="2620" w:type="dxa"/>
            <w:tcBorders>
              <w:right w:val="single" w:color="000000" w:sz="10" w:space="0"/>
            </w:tcBorders>
            <w:vAlign w:val="top"/>
          </w:tcPr>
          <w:p>
            <w:pPr>
              <w:spacing w:before="50"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66</w:t>
            </w:r>
            <w:r>
              <w:rPr>
                <w:rFonts w:ascii="Times New Roman" w:hAnsi="Times New Roman" w:eastAsia="Times New Roman" w:cs="Times New Roman"/>
                <w:color w:val="auto"/>
                <w:spacing w:val="3"/>
                <w:sz w:val="18"/>
                <w:szCs w:val="18"/>
                <w:highlight w:val="none"/>
              </w:rPr>
              <w:t>10.684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8" w:line="197" w:lineRule="auto"/>
              <w:ind w:left="191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1</w:t>
            </w:r>
          </w:p>
        </w:tc>
        <w:tc>
          <w:tcPr>
            <w:tcW w:w="2605" w:type="dxa"/>
            <w:vAlign w:val="top"/>
          </w:tcPr>
          <w:p>
            <w:pPr>
              <w:spacing w:before="48" w:line="197" w:lineRule="auto"/>
              <w:ind w:left="101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798. 18</w:t>
            </w:r>
            <w:r>
              <w:rPr>
                <w:rFonts w:ascii="Times New Roman" w:hAnsi="Times New Roman" w:eastAsia="Times New Roman" w:cs="Times New Roman"/>
                <w:color w:val="auto"/>
                <w:spacing w:val="-1"/>
                <w:sz w:val="18"/>
                <w:szCs w:val="18"/>
                <w:highlight w:val="none"/>
              </w:rPr>
              <w:t>8</w:t>
            </w:r>
          </w:p>
        </w:tc>
        <w:tc>
          <w:tcPr>
            <w:tcW w:w="2620" w:type="dxa"/>
            <w:tcBorders>
              <w:right w:val="single" w:color="000000" w:sz="10" w:space="0"/>
            </w:tcBorders>
            <w:vAlign w:val="top"/>
          </w:tcPr>
          <w:p>
            <w:pPr>
              <w:spacing w:before="49"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65</w:t>
            </w:r>
            <w:r>
              <w:rPr>
                <w:rFonts w:ascii="Times New Roman" w:hAnsi="Times New Roman" w:eastAsia="Times New Roman" w:cs="Times New Roman"/>
                <w:color w:val="auto"/>
                <w:spacing w:val="3"/>
                <w:sz w:val="18"/>
                <w:szCs w:val="18"/>
                <w:highlight w:val="none"/>
              </w:rPr>
              <w:t>50.604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897"/>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2</w:t>
            </w:r>
          </w:p>
        </w:tc>
        <w:tc>
          <w:tcPr>
            <w:tcW w:w="2605" w:type="dxa"/>
            <w:vAlign w:val="top"/>
          </w:tcPr>
          <w:p>
            <w:pPr>
              <w:spacing w:before="50" w:line="197" w:lineRule="auto"/>
              <w:ind w:left="101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8</w:t>
            </w:r>
            <w:r>
              <w:rPr>
                <w:rFonts w:ascii="Times New Roman" w:hAnsi="Times New Roman" w:eastAsia="Times New Roman" w:cs="Times New Roman"/>
                <w:color w:val="auto"/>
                <w:spacing w:val="3"/>
                <w:sz w:val="18"/>
                <w:szCs w:val="18"/>
                <w:highlight w:val="none"/>
              </w:rPr>
              <w:t>28.025</w:t>
            </w:r>
          </w:p>
        </w:tc>
        <w:tc>
          <w:tcPr>
            <w:tcW w:w="2620" w:type="dxa"/>
            <w:tcBorders>
              <w:right w:val="single" w:color="000000" w:sz="10" w:space="0"/>
            </w:tcBorders>
            <w:vAlign w:val="top"/>
          </w:tcPr>
          <w:p>
            <w:pPr>
              <w:spacing w:before="50"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6379</w:t>
            </w:r>
            <w:r>
              <w:rPr>
                <w:rFonts w:ascii="Times New Roman" w:hAnsi="Times New Roman" w:eastAsia="Times New Roman" w:cs="Times New Roman"/>
                <w:color w:val="auto"/>
                <w:spacing w:val="-1"/>
                <w:sz w:val="18"/>
                <w:szCs w:val="18"/>
                <w:highlight w:val="none"/>
              </w:rPr>
              <w:t>. 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9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3</w:t>
            </w:r>
          </w:p>
        </w:tc>
        <w:tc>
          <w:tcPr>
            <w:tcW w:w="2605" w:type="dxa"/>
            <w:vAlign w:val="top"/>
          </w:tcPr>
          <w:p>
            <w:pPr>
              <w:spacing w:before="49" w:line="197" w:lineRule="auto"/>
              <w:ind w:left="101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8</w:t>
            </w:r>
            <w:r>
              <w:rPr>
                <w:rFonts w:ascii="Times New Roman" w:hAnsi="Times New Roman" w:eastAsia="Times New Roman" w:cs="Times New Roman"/>
                <w:color w:val="auto"/>
                <w:spacing w:val="3"/>
                <w:sz w:val="18"/>
                <w:szCs w:val="18"/>
                <w:highlight w:val="none"/>
              </w:rPr>
              <w:t>75.246</w:t>
            </w:r>
          </w:p>
        </w:tc>
        <w:tc>
          <w:tcPr>
            <w:tcW w:w="2620" w:type="dxa"/>
            <w:tcBorders>
              <w:right w:val="single" w:color="000000" w:sz="10" w:space="0"/>
            </w:tcBorders>
            <w:vAlign w:val="top"/>
          </w:tcPr>
          <w:p>
            <w:pPr>
              <w:spacing w:before="49"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6122</w:t>
            </w:r>
            <w:r>
              <w:rPr>
                <w:rFonts w:ascii="Times New Roman" w:hAnsi="Times New Roman" w:eastAsia="Times New Roman" w:cs="Times New Roman"/>
                <w:color w:val="auto"/>
                <w:spacing w:val="-1"/>
                <w:sz w:val="18"/>
                <w:szCs w:val="18"/>
                <w:highlight w:val="none"/>
              </w:rPr>
              <w:t>. 187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 w:hRule="atLeast"/>
        </w:trPr>
        <w:tc>
          <w:tcPr>
            <w:tcW w:w="3902" w:type="dxa"/>
            <w:tcBorders>
              <w:left w:val="single" w:color="000000" w:sz="10" w:space="0"/>
            </w:tcBorders>
            <w:vAlign w:val="top"/>
          </w:tcPr>
          <w:p>
            <w:pPr>
              <w:spacing w:before="48" w:line="197" w:lineRule="auto"/>
              <w:ind w:left="189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4</w:t>
            </w:r>
          </w:p>
        </w:tc>
        <w:tc>
          <w:tcPr>
            <w:tcW w:w="2605" w:type="dxa"/>
            <w:vAlign w:val="top"/>
          </w:tcPr>
          <w:p>
            <w:pPr>
              <w:spacing w:before="48" w:line="197" w:lineRule="auto"/>
              <w:ind w:left="101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936.83</w:t>
            </w:r>
            <w:r>
              <w:rPr>
                <w:rFonts w:ascii="Times New Roman" w:hAnsi="Times New Roman" w:eastAsia="Times New Roman" w:cs="Times New Roman"/>
                <w:color w:val="auto"/>
                <w:spacing w:val="3"/>
                <w:sz w:val="18"/>
                <w:szCs w:val="18"/>
                <w:highlight w:val="none"/>
              </w:rPr>
              <w:t>1</w:t>
            </w:r>
          </w:p>
        </w:tc>
        <w:tc>
          <w:tcPr>
            <w:tcW w:w="2620" w:type="dxa"/>
            <w:tcBorders>
              <w:right w:val="single" w:color="000000" w:sz="10" w:space="0"/>
            </w:tcBorders>
            <w:vAlign w:val="top"/>
          </w:tcPr>
          <w:p>
            <w:pPr>
              <w:spacing w:before="48" w:line="197" w:lineRule="auto"/>
              <w:ind w:left="98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5</w:t>
            </w:r>
            <w:r>
              <w:rPr>
                <w:rFonts w:ascii="Times New Roman" w:hAnsi="Times New Roman" w:eastAsia="Times New Roman" w:cs="Times New Roman"/>
                <w:color w:val="auto"/>
                <w:spacing w:val="5"/>
                <w:sz w:val="18"/>
                <w:szCs w:val="18"/>
                <w:highlight w:val="none"/>
              </w:rPr>
              <w:t>8</w:t>
            </w:r>
            <w:r>
              <w:rPr>
                <w:rFonts w:ascii="Times New Roman" w:hAnsi="Times New Roman" w:eastAsia="Times New Roman" w:cs="Times New Roman"/>
                <w:color w:val="auto"/>
                <w:spacing w:val="3"/>
                <w:sz w:val="18"/>
                <w:szCs w:val="18"/>
                <w:highlight w:val="none"/>
              </w:rPr>
              <w:t>20.829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3" w:line="194" w:lineRule="auto"/>
              <w:ind w:left="1902"/>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5</w:t>
            </w:r>
          </w:p>
        </w:tc>
        <w:tc>
          <w:tcPr>
            <w:tcW w:w="2605" w:type="dxa"/>
            <w:vAlign w:val="top"/>
          </w:tcPr>
          <w:p>
            <w:pPr>
              <w:spacing w:before="50"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1009.580</w:t>
            </w:r>
          </w:p>
        </w:tc>
        <w:tc>
          <w:tcPr>
            <w:tcW w:w="2620" w:type="dxa"/>
            <w:tcBorders>
              <w:right w:val="single" w:color="000000" w:sz="10" w:space="0"/>
            </w:tcBorders>
            <w:vAlign w:val="top"/>
          </w:tcPr>
          <w:p>
            <w:pPr>
              <w:spacing w:before="51" w:line="197" w:lineRule="auto"/>
              <w:ind w:left="98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5</w:t>
            </w:r>
            <w:r>
              <w:rPr>
                <w:rFonts w:ascii="Times New Roman" w:hAnsi="Times New Roman" w:eastAsia="Times New Roman" w:cs="Times New Roman"/>
                <w:color w:val="auto"/>
                <w:spacing w:val="5"/>
                <w:sz w:val="18"/>
                <w:szCs w:val="18"/>
                <w:highlight w:val="none"/>
              </w:rPr>
              <w:t>5</w:t>
            </w:r>
            <w:r>
              <w:rPr>
                <w:rFonts w:ascii="Times New Roman" w:hAnsi="Times New Roman" w:eastAsia="Times New Roman" w:cs="Times New Roman"/>
                <w:color w:val="auto"/>
                <w:spacing w:val="3"/>
                <w:sz w:val="18"/>
                <w:szCs w:val="18"/>
                <w:highlight w:val="none"/>
              </w:rPr>
              <w:t>28.526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90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6</w:t>
            </w:r>
          </w:p>
        </w:tc>
        <w:tc>
          <w:tcPr>
            <w:tcW w:w="2605" w:type="dxa"/>
            <w:vAlign w:val="top"/>
          </w:tcPr>
          <w:p>
            <w:pPr>
              <w:spacing w:before="49"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1090.478</w:t>
            </w:r>
          </w:p>
        </w:tc>
        <w:tc>
          <w:tcPr>
            <w:tcW w:w="2620" w:type="dxa"/>
            <w:tcBorders>
              <w:right w:val="single" w:color="000000" w:sz="10" w:space="0"/>
            </w:tcBorders>
            <w:vAlign w:val="top"/>
          </w:tcPr>
          <w:p>
            <w:pPr>
              <w:spacing w:before="49" w:line="197" w:lineRule="auto"/>
              <w:ind w:left="98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5305.</w:t>
            </w:r>
            <w:r>
              <w:rPr>
                <w:rFonts w:ascii="Times New Roman" w:hAnsi="Times New Roman" w:eastAsia="Times New Roman" w:cs="Times New Roman"/>
                <w:color w:val="auto"/>
                <w:spacing w:val="-1"/>
                <w:sz w:val="18"/>
                <w:szCs w:val="18"/>
                <w:highlight w:val="none"/>
              </w:rPr>
              <w:t xml:space="preserve"> 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3" w:line="194" w:lineRule="auto"/>
              <w:ind w:left="19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7</w:t>
            </w:r>
          </w:p>
        </w:tc>
        <w:tc>
          <w:tcPr>
            <w:tcW w:w="2605" w:type="dxa"/>
            <w:vAlign w:val="top"/>
          </w:tcPr>
          <w:p>
            <w:pPr>
              <w:spacing w:before="51" w:line="197" w:lineRule="auto"/>
              <w:ind w:left="98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w:t>
            </w:r>
            <w:r>
              <w:rPr>
                <w:rFonts w:ascii="Times New Roman" w:hAnsi="Times New Roman" w:eastAsia="Times New Roman" w:cs="Times New Roman"/>
                <w:color w:val="auto"/>
                <w:spacing w:val="1"/>
                <w:sz w:val="18"/>
                <w:szCs w:val="18"/>
                <w:highlight w:val="none"/>
              </w:rPr>
              <w:t>176.850</w:t>
            </w:r>
          </w:p>
        </w:tc>
        <w:tc>
          <w:tcPr>
            <w:tcW w:w="2620" w:type="dxa"/>
            <w:tcBorders>
              <w:right w:val="single" w:color="000000" w:sz="10" w:space="0"/>
            </w:tcBorders>
            <w:vAlign w:val="top"/>
          </w:tcPr>
          <w:p>
            <w:pPr>
              <w:spacing w:before="51" w:line="197" w:lineRule="auto"/>
              <w:ind w:left="98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5</w:t>
            </w:r>
            <w:r>
              <w:rPr>
                <w:rFonts w:ascii="Times New Roman" w:hAnsi="Times New Roman" w:eastAsia="Times New Roman" w:cs="Times New Roman"/>
                <w:color w:val="auto"/>
                <w:spacing w:val="5"/>
                <w:sz w:val="18"/>
                <w:szCs w:val="18"/>
                <w:highlight w:val="none"/>
              </w:rPr>
              <w:t>2</w:t>
            </w:r>
            <w:r>
              <w:rPr>
                <w:rFonts w:ascii="Times New Roman" w:hAnsi="Times New Roman" w:eastAsia="Times New Roman" w:cs="Times New Roman"/>
                <w:color w:val="auto"/>
                <w:spacing w:val="3"/>
                <w:sz w:val="18"/>
                <w:szCs w:val="18"/>
                <w:highlight w:val="none"/>
              </w:rPr>
              <w:t>06.400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90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8</w:t>
            </w:r>
          </w:p>
        </w:tc>
        <w:tc>
          <w:tcPr>
            <w:tcW w:w="2605" w:type="dxa"/>
            <w:vAlign w:val="top"/>
          </w:tcPr>
          <w:p>
            <w:pPr>
              <w:spacing w:before="50"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1266.368</w:t>
            </w:r>
          </w:p>
        </w:tc>
        <w:tc>
          <w:tcPr>
            <w:tcW w:w="2620" w:type="dxa"/>
            <w:tcBorders>
              <w:right w:val="single" w:color="000000" w:sz="10" w:space="0"/>
            </w:tcBorders>
            <w:vAlign w:val="top"/>
          </w:tcPr>
          <w:p>
            <w:pPr>
              <w:spacing w:before="50" w:line="197" w:lineRule="auto"/>
              <w:ind w:left="98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5</w:t>
            </w:r>
            <w:r>
              <w:rPr>
                <w:rFonts w:ascii="Times New Roman" w:hAnsi="Times New Roman" w:eastAsia="Times New Roman" w:cs="Times New Roman"/>
                <w:color w:val="auto"/>
                <w:spacing w:val="5"/>
                <w:sz w:val="18"/>
                <w:szCs w:val="18"/>
                <w:highlight w:val="none"/>
              </w:rPr>
              <w:t>2</w:t>
            </w:r>
            <w:r>
              <w:rPr>
                <w:rFonts w:ascii="Times New Roman" w:hAnsi="Times New Roman" w:eastAsia="Times New Roman" w:cs="Times New Roman"/>
                <w:color w:val="auto"/>
                <w:spacing w:val="3"/>
                <w:sz w:val="18"/>
                <w:szCs w:val="18"/>
                <w:highlight w:val="none"/>
              </w:rPr>
              <w:t>67.921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9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9</w:t>
            </w:r>
          </w:p>
        </w:tc>
        <w:tc>
          <w:tcPr>
            <w:tcW w:w="2605" w:type="dxa"/>
            <w:vAlign w:val="top"/>
          </w:tcPr>
          <w:p>
            <w:pPr>
              <w:spacing w:before="49"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1357.002</w:t>
            </w:r>
          </w:p>
        </w:tc>
        <w:tc>
          <w:tcPr>
            <w:tcW w:w="2620" w:type="dxa"/>
            <w:tcBorders>
              <w:right w:val="single" w:color="000000" w:sz="10" w:space="0"/>
            </w:tcBorders>
            <w:vAlign w:val="top"/>
          </w:tcPr>
          <w:p>
            <w:pPr>
              <w:spacing w:before="49" w:line="197" w:lineRule="auto"/>
              <w:ind w:left="98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5493.</w:t>
            </w:r>
            <w:r>
              <w:rPr>
                <w:rFonts w:ascii="Times New Roman" w:hAnsi="Times New Roman" w:eastAsia="Times New Roman" w:cs="Times New Roman"/>
                <w:color w:val="auto"/>
                <w:spacing w:val="-1"/>
                <w:sz w:val="18"/>
                <w:szCs w:val="18"/>
                <w:highlight w:val="none"/>
              </w:rPr>
              <w:t xml:space="preserve"> 128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86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10</w:t>
            </w:r>
          </w:p>
        </w:tc>
        <w:tc>
          <w:tcPr>
            <w:tcW w:w="2605" w:type="dxa"/>
            <w:vAlign w:val="top"/>
          </w:tcPr>
          <w:p>
            <w:pPr>
              <w:spacing w:before="50"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1446.973</w:t>
            </w:r>
          </w:p>
        </w:tc>
        <w:tc>
          <w:tcPr>
            <w:tcW w:w="2620" w:type="dxa"/>
            <w:tcBorders>
              <w:right w:val="single" w:color="000000" w:sz="10" w:space="0"/>
            </w:tcBorders>
            <w:vAlign w:val="top"/>
          </w:tcPr>
          <w:p>
            <w:pPr>
              <w:spacing w:before="50" w:line="197" w:lineRule="auto"/>
              <w:ind w:left="982"/>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5853. 115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873"/>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8"/>
                <w:sz w:val="18"/>
                <w:szCs w:val="18"/>
                <w:highlight w:val="none"/>
              </w:rPr>
              <w:t>1</w:t>
            </w:r>
            <w:r>
              <w:rPr>
                <w:rFonts w:ascii="Times New Roman" w:hAnsi="Times New Roman" w:eastAsia="Times New Roman" w:cs="Times New Roman"/>
                <w:color w:val="auto"/>
                <w:spacing w:val="-7"/>
                <w:sz w:val="18"/>
                <w:szCs w:val="18"/>
                <w:highlight w:val="none"/>
              </w:rPr>
              <w:t>1</w:t>
            </w:r>
          </w:p>
        </w:tc>
        <w:tc>
          <w:tcPr>
            <w:tcW w:w="2605" w:type="dxa"/>
            <w:vAlign w:val="top"/>
          </w:tcPr>
          <w:p>
            <w:pPr>
              <w:spacing w:before="49"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1534.704</w:t>
            </w:r>
          </w:p>
        </w:tc>
        <w:tc>
          <w:tcPr>
            <w:tcW w:w="2620" w:type="dxa"/>
            <w:tcBorders>
              <w:right w:val="single" w:color="000000" w:sz="10" w:space="0"/>
            </w:tcBorders>
            <w:vAlign w:val="top"/>
          </w:tcPr>
          <w:p>
            <w:pPr>
              <w:spacing w:before="49"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62</w:t>
            </w:r>
            <w:r>
              <w:rPr>
                <w:rFonts w:ascii="Times New Roman" w:hAnsi="Times New Roman" w:eastAsia="Times New Roman" w:cs="Times New Roman"/>
                <w:color w:val="auto"/>
                <w:spacing w:val="3"/>
                <w:sz w:val="18"/>
                <w:szCs w:val="18"/>
                <w:highlight w:val="none"/>
              </w:rPr>
              <w:t>98.813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86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12</w:t>
            </w:r>
          </w:p>
        </w:tc>
        <w:tc>
          <w:tcPr>
            <w:tcW w:w="2605" w:type="dxa"/>
            <w:vAlign w:val="top"/>
          </w:tcPr>
          <w:p>
            <w:pPr>
              <w:spacing w:before="51"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1618.803</w:t>
            </w:r>
          </w:p>
        </w:tc>
        <w:tc>
          <w:tcPr>
            <w:tcW w:w="2620" w:type="dxa"/>
            <w:tcBorders>
              <w:right w:val="single" w:color="000000" w:sz="10" w:space="0"/>
            </w:tcBorders>
            <w:vAlign w:val="top"/>
          </w:tcPr>
          <w:p>
            <w:pPr>
              <w:spacing w:before="50"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67</w:t>
            </w:r>
            <w:r>
              <w:rPr>
                <w:rFonts w:ascii="Times New Roman" w:hAnsi="Times New Roman" w:eastAsia="Times New Roman" w:cs="Times New Roman"/>
                <w:color w:val="auto"/>
                <w:spacing w:val="3"/>
                <w:sz w:val="18"/>
                <w:szCs w:val="18"/>
                <w:highlight w:val="none"/>
              </w:rPr>
              <w:t>75.086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86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13</w:t>
            </w:r>
          </w:p>
        </w:tc>
        <w:tc>
          <w:tcPr>
            <w:tcW w:w="2605" w:type="dxa"/>
            <w:vAlign w:val="top"/>
          </w:tcPr>
          <w:p>
            <w:pPr>
              <w:spacing w:before="49"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1698.041</w:t>
            </w:r>
          </w:p>
        </w:tc>
        <w:tc>
          <w:tcPr>
            <w:tcW w:w="2620" w:type="dxa"/>
            <w:tcBorders>
              <w:right w:val="single" w:color="000000" w:sz="10" w:space="0"/>
            </w:tcBorders>
            <w:vAlign w:val="top"/>
          </w:tcPr>
          <w:p>
            <w:pPr>
              <w:spacing w:before="49" w:line="197" w:lineRule="auto"/>
              <w:ind w:left="97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7230.03</w:t>
            </w:r>
            <w:r>
              <w:rPr>
                <w:rFonts w:ascii="Times New Roman" w:hAnsi="Times New Roman" w:eastAsia="Times New Roman" w:cs="Times New Roman"/>
                <w:color w:val="auto"/>
                <w:spacing w:val="3"/>
                <w:sz w:val="18"/>
                <w:szCs w:val="18"/>
                <w:highlight w:val="none"/>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1" w:line="197" w:lineRule="auto"/>
              <w:ind w:left="186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14</w:t>
            </w:r>
          </w:p>
        </w:tc>
        <w:tc>
          <w:tcPr>
            <w:tcW w:w="2605" w:type="dxa"/>
            <w:vAlign w:val="top"/>
          </w:tcPr>
          <w:p>
            <w:pPr>
              <w:spacing w:before="51"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1771.357</w:t>
            </w:r>
          </w:p>
        </w:tc>
        <w:tc>
          <w:tcPr>
            <w:tcW w:w="2620" w:type="dxa"/>
            <w:tcBorders>
              <w:right w:val="single" w:color="000000" w:sz="10" w:space="0"/>
            </w:tcBorders>
            <w:vAlign w:val="top"/>
          </w:tcPr>
          <w:p>
            <w:pPr>
              <w:spacing w:before="51" w:line="197" w:lineRule="auto"/>
              <w:ind w:left="97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7619.71</w:t>
            </w:r>
            <w:r>
              <w:rPr>
                <w:rFonts w:ascii="Times New Roman" w:hAnsi="Times New Roman" w:eastAsia="Times New Roman" w:cs="Times New Roman"/>
                <w:color w:val="auto"/>
                <w:spacing w:val="3"/>
                <w:sz w:val="18"/>
                <w:szCs w:val="18"/>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86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15</w:t>
            </w:r>
          </w:p>
        </w:tc>
        <w:tc>
          <w:tcPr>
            <w:tcW w:w="2605" w:type="dxa"/>
            <w:vAlign w:val="top"/>
          </w:tcPr>
          <w:p>
            <w:pPr>
              <w:spacing w:before="50"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1837.860</w:t>
            </w:r>
          </w:p>
        </w:tc>
        <w:tc>
          <w:tcPr>
            <w:tcW w:w="2620" w:type="dxa"/>
            <w:tcBorders>
              <w:right w:val="single" w:color="000000" w:sz="10" w:space="0"/>
            </w:tcBorders>
            <w:vAlign w:val="top"/>
          </w:tcPr>
          <w:p>
            <w:pPr>
              <w:spacing w:before="50" w:line="197" w:lineRule="auto"/>
              <w:ind w:left="97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7910.66</w:t>
            </w:r>
            <w:r>
              <w:rPr>
                <w:rFonts w:ascii="Times New Roman" w:hAnsi="Times New Roman" w:eastAsia="Times New Roman" w:cs="Times New Roman"/>
                <w:color w:val="auto"/>
                <w:spacing w:val="3"/>
                <w:sz w:val="18"/>
                <w:szCs w:val="18"/>
                <w:highlight w:val="none"/>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86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16</w:t>
            </w:r>
          </w:p>
        </w:tc>
        <w:tc>
          <w:tcPr>
            <w:tcW w:w="2605" w:type="dxa"/>
            <w:vAlign w:val="top"/>
          </w:tcPr>
          <w:p>
            <w:pPr>
              <w:spacing w:before="49"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1896.828</w:t>
            </w:r>
          </w:p>
        </w:tc>
        <w:tc>
          <w:tcPr>
            <w:tcW w:w="2620" w:type="dxa"/>
            <w:tcBorders>
              <w:right w:val="single" w:color="000000" w:sz="10" w:space="0"/>
            </w:tcBorders>
            <w:vAlign w:val="top"/>
          </w:tcPr>
          <w:p>
            <w:pPr>
              <w:spacing w:before="49" w:line="197" w:lineRule="auto"/>
              <w:ind w:left="982"/>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8</w:t>
            </w:r>
            <w:r>
              <w:rPr>
                <w:rFonts w:ascii="Times New Roman" w:hAnsi="Times New Roman" w:eastAsia="Times New Roman" w:cs="Times New Roman"/>
                <w:color w:val="auto"/>
                <w:spacing w:val="3"/>
                <w:sz w:val="18"/>
                <w:szCs w:val="18"/>
                <w:highlight w:val="none"/>
              </w:rPr>
              <w:t>081.432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86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17</w:t>
            </w:r>
          </w:p>
        </w:tc>
        <w:tc>
          <w:tcPr>
            <w:tcW w:w="2605" w:type="dxa"/>
            <w:vAlign w:val="top"/>
          </w:tcPr>
          <w:p>
            <w:pPr>
              <w:spacing w:before="50"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1947.715</w:t>
            </w:r>
          </w:p>
        </w:tc>
        <w:tc>
          <w:tcPr>
            <w:tcW w:w="2620" w:type="dxa"/>
            <w:tcBorders>
              <w:right w:val="single" w:color="000000" w:sz="10" w:space="0"/>
            </w:tcBorders>
            <w:vAlign w:val="top"/>
          </w:tcPr>
          <w:p>
            <w:pPr>
              <w:spacing w:before="51" w:line="197" w:lineRule="auto"/>
              <w:ind w:left="982"/>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8</w:t>
            </w:r>
            <w:r>
              <w:rPr>
                <w:rFonts w:ascii="Times New Roman" w:hAnsi="Times New Roman" w:eastAsia="Times New Roman" w:cs="Times New Roman"/>
                <w:color w:val="auto"/>
                <w:spacing w:val="3"/>
                <w:sz w:val="18"/>
                <w:szCs w:val="18"/>
                <w:highlight w:val="none"/>
              </w:rPr>
              <w:t>123.242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86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18</w:t>
            </w:r>
          </w:p>
        </w:tc>
        <w:tc>
          <w:tcPr>
            <w:tcW w:w="2605" w:type="dxa"/>
            <w:vAlign w:val="top"/>
          </w:tcPr>
          <w:p>
            <w:pPr>
              <w:spacing w:before="49"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3"/>
                <w:sz w:val="18"/>
                <w:szCs w:val="18"/>
                <w:highlight w:val="none"/>
              </w:rPr>
              <w:t>1990. 15</w:t>
            </w:r>
            <w:r>
              <w:rPr>
                <w:rFonts w:ascii="Times New Roman" w:hAnsi="Times New Roman" w:eastAsia="Times New Roman" w:cs="Times New Roman"/>
                <w:color w:val="auto"/>
                <w:spacing w:val="-2"/>
                <w:sz w:val="18"/>
                <w:szCs w:val="18"/>
                <w:highlight w:val="none"/>
              </w:rPr>
              <w:t>4</w:t>
            </w:r>
          </w:p>
        </w:tc>
        <w:tc>
          <w:tcPr>
            <w:tcW w:w="2620" w:type="dxa"/>
            <w:tcBorders>
              <w:right w:val="single" w:color="000000" w:sz="10" w:space="0"/>
            </w:tcBorders>
            <w:vAlign w:val="top"/>
          </w:tcPr>
          <w:p>
            <w:pPr>
              <w:spacing w:before="49" w:line="197" w:lineRule="auto"/>
              <w:ind w:left="982"/>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8</w:t>
            </w:r>
            <w:r>
              <w:rPr>
                <w:rFonts w:ascii="Times New Roman" w:hAnsi="Times New Roman" w:eastAsia="Times New Roman" w:cs="Times New Roman"/>
                <w:color w:val="auto"/>
                <w:spacing w:val="3"/>
                <w:sz w:val="18"/>
                <w:szCs w:val="18"/>
                <w:highlight w:val="none"/>
              </w:rPr>
              <w:t>039.297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1" w:line="197" w:lineRule="auto"/>
              <w:ind w:left="186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19</w:t>
            </w:r>
          </w:p>
        </w:tc>
        <w:tc>
          <w:tcPr>
            <w:tcW w:w="2605" w:type="dxa"/>
            <w:vAlign w:val="top"/>
          </w:tcPr>
          <w:p>
            <w:pPr>
              <w:spacing w:before="51" w:line="197" w:lineRule="auto"/>
              <w:ind w:left="96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4"/>
                <w:sz w:val="18"/>
                <w:szCs w:val="18"/>
                <w:highlight w:val="none"/>
              </w:rPr>
              <w:t>023.943</w:t>
            </w:r>
          </w:p>
        </w:tc>
        <w:tc>
          <w:tcPr>
            <w:tcW w:w="2620" w:type="dxa"/>
            <w:tcBorders>
              <w:right w:val="single" w:color="000000" w:sz="10" w:space="0"/>
            </w:tcBorders>
            <w:vAlign w:val="top"/>
          </w:tcPr>
          <w:p>
            <w:pPr>
              <w:spacing w:before="51" w:line="197" w:lineRule="auto"/>
              <w:ind w:left="97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7842.68</w:t>
            </w:r>
            <w:r>
              <w:rPr>
                <w:rFonts w:ascii="Times New Roman" w:hAnsi="Times New Roman" w:eastAsia="Times New Roman" w:cs="Times New Roman"/>
                <w:color w:val="auto"/>
                <w:spacing w:val="3"/>
                <w:sz w:val="18"/>
                <w:szCs w:val="18"/>
                <w:highlight w:val="none"/>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85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w:t>
            </w:r>
            <w:r>
              <w:rPr>
                <w:rFonts w:ascii="Times New Roman" w:hAnsi="Times New Roman" w:eastAsia="Times New Roman" w:cs="Times New Roman"/>
                <w:color w:val="auto"/>
                <w:spacing w:val="3"/>
                <w:sz w:val="18"/>
                <w:szCs w:val="18"/>
                <w:highlight w:val="none"/>
              </w:rPr>
              <w:t>0</w:t>
            </w:r>
          </w:p>
        </w:tc>
        <w:tc>
          <w:tcPr>
            <w:tcW w:w="2605" w:type="dxa"/>
            <w:vAlign w:val="top"/>
          </w:tcPr>
          <w:p>
            <w:pPr>
              <w:spacing w:before="50" w:line="197" w:lineRule="auto"/>
              <w:ind w:left="96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4"/>
                <w:sz w:val="18"/>
                <w:szCs w:val="18"/>
                <w:highlight w:val="none"/>
              </w:rPr>
              <w:t>049.050</w:t>
            </w:r>
          </w:p>
        </w:tc>
        <w:tc>
          <w:tcPr>
            <w:tcW w:w="2620" w:type="dxa"/>
            <w:tcBorders>
              <w:right w:val="single" w:color="000000" w:sz="10" w:space="0"/>
            </w:tcBorders>
            <w:vAlign w:val="top"/>
          </w:tcPr>
          <w:p>
            <w:pPr>
              <w:spacing w:before="50" w:line="197" w:lineRule="auto"/>
              <w:ind w:left="97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755</w:t>
            </w:r>
            <w:r>
              <w:rPr>
                <w:rFonts w:ascii="Times New Roman" w:hAnsi="Times New Roman" w:eastAsia="Times New Roman" w:cs="Times New Roman"/>
                <w:color w:val="auto"/>
                <w:spacing w:val="-1"/>
                <w:sz w:val="18"/>
                <w:szCs w:val="18"/>
                <w:highlight w:val="none"/>
              </w:rPr>
              <w:t>3. 188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85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w:t>
            </w:r>
            <w:r>
              <w:rPr>
                <w:rFonts w:ascii="Times New Roman" w:hAnsi="Times New Roman" w:eastAsia="Times New Roman" w:cs="Times New Roman"/>
                <w:color w:val="auto"/>
                <w:spacing w:val="3"/>
                <w:sz w:val="18"/>
                <w:szCs w:val="18"/>
                <w:highlight w:val="none"/>
              </w:rPr>
              <w:t>1</w:t>
            </w:r>
          </w:p>
        </w:tc>
        <w:tc>
          <w:tcPr>
            <w:tcW w:w="2605" w:type="dxa"/>
            <w:vAlign w:val="top"/>
          </w:tcPr>
          <w:p>
            <w:pPr>
              <w:spacing w:before="49" w:line="197" w:lineRule="auto"/>
              <w:ind w:left="96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4"/>
                <w:sz w:val="18"/>
                <w:szCs w:val="18"/>
                <w:highlight w:val="none"/>
              </w:rPr>
              <w:t>065.589</w:t>
            </w:r>
          </w:p>
        </w:tc>
        <w:tc>
          <w:tcPr>
            <w:tcW w:w="2620" w:type="dxa"/>
            <w:tcBorders>
              <w:right w:val="single" w:color="000000" w:sz="10" w:space="0"/>
            </w:tcBorders>
            <w:vAlign w:val="top"/>
          </w:tcPr>
          <w:p>
            <w:pPr>
              <w:spacing w:before="49" w:line="197" w:lineRule="auto"/>
              <w:ind w:left="97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7193.77</w:t>
            </w:r>
            <w:r>
              <w:rPr>
                <w:rFonts w:ascii="Times New Roman" w:hAnsi="Times New Roman" w:eastAsia="Times New Roman" w:cs="Times New Roman"/>
                <w:color w:val="auto"/>
                <w:spacing w:val="3"/>
                <w:sz w:val="18"/>
                <w:szCs w:val="18"/>
                <w:highlight w:val="no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85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w:t>
            </w:r>
            <w:r>
              <w:rPr>
                <w:rFonts w:ascii="Times New Roman" w:hAnsi="Times New Roman" w:eastAsia="Times New Roman" w:cs="Times New Roman"/>
                <w:color w:val="auto"/>
                <w:spacing w:val="3"/>
                <w:sz w:val="18"/>
                <w:szCs w:val="18"/>
                <w:highlight w:val="none"/>
              </w:rPr>
              <w:t>2</w:t>
            </w:r>
          </w:p>
        </w:tc>
        <w:tc>
          <w:tcPr>
            <w:tcW w:w="2605" w:type="dxa"/>
            <w:vAlign w:val="top"/>
          </w:tcPr>
          <w:p>
            <w:pPr>
              <w:spacing w:before="50" w:line="197" w:lineRule="auto"/>
              <w:ind w:left="96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4"/>
                <w:sz w:val="18"/>
                <w:szCs w:val="18"/>
                <w:highlight w:val="none"/>
              </w:rPr>
              <w:t>073.813</w:t>
            </w:r>
          </w:p>
        </w:tc>
        <w:tc>
          <w:tcPr>
            <w:tcW w:w="2620" w:type="dxa"/>
            <w:tcBorders>
              <w:right w:val="single" w:color="000000" w:sz="10" w:space="0"/>
            </w:tcBorders>
            <w:vAlign w:val="top"/>
          </w:tcPr>
          <w:p>
            <w:pPr>
              <w:spacing w:before="50"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67</w:t>
            </w:r>
            <w:r>
              <w:rPr>
                <w:rFonts w:ascii="Times New Roman" w:hAnsi="Times New Roman" w:eastAsia="Times New Roman" w:cs="Times New Roman"/>
                <w:color w:val="auto"/>
                <w:spacing w:val="3"/>
                <w:sz w:val="18"/>
                <w:szCs w:val="18"/>
                <w:highlight w:val="none"/>
              </w:rPr>
              <w:t>87.502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85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w:t>
            </w:r>
            <w:r>
              <w:rPr>
                <w:rFonts w:ascii="Times New Roman" w:hAnsi="Times New Roman" w:eastAsia="Times New Roman" w:cs="Times New Roman"/>
                <w:color w:val="auto"/>
                <w:spacing w:val="3"/>
                <w:sz w:val="18"/>
                <w:szCs w:val="18"/>
                <w:highlight w:val="none"/>
              </w:rPr>
              <w:t>3</w:t>
            </w:r>
          </w:p>
        </w:tc>
        <w:tc>
          <w:tcPr>
            <w:tcW w:w="2605" w:type="dxa"/>
            <w:vAlign w:val="top"/>
          </w:tcPr>
          <w:p>
            <w:pPr>
              <w:spacing w:before="49" w:line="197" w:lineRule="auto"/>
              <w:ind w:left="96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4"/>
                <w:sz w:val="18"/>
                <w:szCs w:val="18"/>
                <w:highlight w:val="none"/>
              </w:rPr>
              <w:t>074.091</w:t>
            </w:r>
          </w:p>
        </w:tc>
        <w:tc>
          <w:tcPr>
            <w:tcW w:w="2620" w:type="dxa"/>
            <w:tcBorders>
              <w:right w:val="single" w:color="000000" w:sz="10" w:space="0"/>
            </w:tcBorders>
            <w:vAlign w:val="top"/>
          </w:tcPr>
          <w:p>
            <w:pPr>
              <w:spacing w:before="49"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63</w:t>
            </w:r>
            <w:r>
              <w:rPr>
                <w:rFonts w:ascii="Times New Roman" w:hAnsi="Times New Roman" w:eastAsia="Times New Roman" w:cs="Times New Roman"/>
                <w:color w:val="auto"/>
                <w:spacing w:val="3"/>
                <w:sz w:val="18"/>
                <w:szCs w:val="18"/>
                <w:highlight w:val="none"/>
              </w:rPr>
              <w:t>55.204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85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w:t>
            </w:r>
            <w:r>
              <w:rPr>
                <w:rFonts w:ascii="Times New Roman" w:hAnsi="Times New Roman" w:eastAsia="Times New Roman" w:cs="Times New Roman"/>
                <w:color w:val="auto"/>
                <w:spacing w:val="3"/>
                <w:sz w:val="18"/>
                <w:szCs w:val="18"/>
                <w:highlight w:val="none"/>
              </w:rPr>
              <w:t>4</w:t>
            </w:r>
          </w:p>
        </w:tc>
        <w:tc>
          <w:tcPr>
            <w:tcW w:w="2605" w:type="dxa"/>
            <w:vAlign w:val="top"/>
          </w:tcPr>
          <w:p>
            <w:pPr>
              <w:spacing w:before="51" w:line="197" w:lineRule="auto"/>
              <w:ind w:left="96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4"/>
                <w:sz w:val="18"/>
                <w:szCs w:val="18"/>
                <w:highlight w:val="none"/>
              </w:rPr>
              <w:t>066.887</w:t>
            </w:r>
          </w:p>
        </w:tc>
        <w:tc>
          <w:tcPr>
            <w:tcW w:w="2620" w:type="dxa"/>
            <w:tcBorders>
              <w:right w:val="single" w:color="000000" w:sz="10" w:space="0"/>
            </w:tcBorders>
            <w:vAlign w:val="top"/>
          </w:tcPr>
          <w:p>
            <w:pPr>
              <w:spacing w:before="50" w:line="197" w:lineRule="auto"/>
              <w:ind w:left="98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5</w:t>
            </w:r>
            <w:r>
              <w:rPr>
                <w:rFonts w:ascii="Times New Roman" w:hAnsi="Times New Roman" w:eastAsia="Times New Roman" w:cs="Times New Roman"/>
                <w:color w:val="auto"/>
                <w:spacing w:val="5"/>
                <w:sz w:val="18"/>
                <w:szCs w:val="18"/>
                <w:highlight w:val="none"/>
              </w:rPr>
              <w:t>9</w:t>
            </w:r>
            <w:r>
              <w:rPr>
                <w:rFonts w:ascii="Times New Roman" w:hAnsi="Times New Roman" w:eastAsia="Times New Roman" w:cs="Times New Roman"/>
                <w:color w:val="auto"/>
                <w:spacing w:val="3"/>
                <w:sz w:val="18"/>
                <w:szCs w:val="18"/>
                <w:highlight w:val="none"/>
              </w:rPr>
              <w:t>14.265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85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w:t>
            </w:r>
            <w:r>
              <w:rPr>
                <w:rFonts w:ascii="Times New Roman" w:hAnsi="Times New Roman" w:eastAsia="Times New Roman" w:cs="Times New Roman"/>
                <w:color w:val="auto"/>
                <w:spacing w:val="3"/>
                <w:sz w:val="18"/>
                <w:szCs w:val="18"/>
                <w:highlight w:val="none"/>
              </w:rPr>
              <w:t>5</w:t>
            </w:r>
          </w:p>
        </w:tc>
        <w:tc>
          <w:tcPr>
            <w:tcW w:w="2605" w:type="dxa"/>
            <w:vAlign w:val="top"/>
          </w:tcPr>
          <w:p>
            <w:pPr>
              <w:spacing w:before="50" w:line="197" w:lineRule="auto"/>
              <w:ind w:left="96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4"/>
                <w:sz w:val="18"/>
                <w:szCs w:val="18"/>
                <w:highlight w:val="none"/>
              </w:rPr>
              <w:t>052.746</w:t>
            </w:r>
          </w:p>
        </w:tc>
        <w:tc>
          <w:tcPr>
            <w:tcW w:w="2620" w:type="dxa"/>
            <w:tcBorders>
              <w:right w:val="single" w:color="000000" w:sz="10" w:space="0"/>
            </w:tcBorders>
            <w:vAlign w:val="top"/>
          </w:tcPr>
          <w:p>
            <w:pPr>
              <w:spacing w:before="49" w:line="197" w:lineRule="auto"/>
              <w:ind w:left="98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5478.</w:t>
            </w:r>
            <w:r>
              <w:rPr>
                <w:rFonts w:ascii="Times New Roman" w:hAnsi="Times New Roman" w:eastAsia="Times New Roman" w:cs="Times New Roman"/>
                <w:color w:val="auto"/>
                <w:spacing w:val="-1"/>
                <w:sz w:val="18"/>
                <w:szCs w:val="18"/>
                <w:highlight w:val="none"/>
              </w:rPr>
              <w:t xml:space="preserve"> 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1" w:line="197" w:lineRule="auto"/>
              <w:ind w:left="185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w:t>
            </w:r>
            <w:r>
              <w:rPr>
                <w:rFonts w:ascii="Times New Roman" w:hAnsi="Times New Roman" w:eastAsia="Times New Roman" w:cs="Times New Roman"/>
                <w:color w:val="auto"/>
                <w:spacing w:val="3"/>
                <w:sz w:val="18"/>
                <w:szCs w:val="18"/>
                <w:highlight w:val="none"/>
              </w:rPr>
              <w:t>6</w:t>
            </w:r>
          </w:p>
        </w:tc>
        <w:tc>
          <w:tcPr>
            <w:tcW w:w="2605" w:type="dxa"/>
            <w:vAlign w:val="top"/>
          </w:tcPr>
          <w:p>
            <w:pPr>
              <w:spacing w:before="51" w:line="197" w:lineRule="auto"/>
              <w:ind w:left="96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4"/>
                <w:sz w:val="18"/>
                <w:szCs w:val="18"/>
                <w:highlight w:val="none"/>
              </w:rPr>
              <w:t>032.263</w:t>
            </w:r>
          </w:p>
        </w:tc>
        <w:tc>
          <w:tcPr>
            <w:tcW w:w="2620" w:type="dxa"/>
            <w:tcBorders>
              <w:right w:val="single" w:color="000000" w:sz="10" w:space="0"/>
            </w:tcBorders>
            <w:vAlign w:val="top"/>
          </w:tcPr>
          <w:p>
            <w:pPr>
              <w:spacing w:before="51" w:line="197" w:lineRule="auto"/>
              <w:ind w:left="98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5</w:t>
            </w:r>
            <w:r>
              <w:rPr>
                <w:rFonts w:ascii="Times New Roman" w:hAnsi="Times New Roman" w:eastAsia="Times New Roman" w:cs="Times New Roman"/>
                <w:color w:val="auto"/>
                <w:spacing w:val="5"/>
                <w:sz w:val="18"/>
                <w:szCs w:val="18"/>
                <w:highlight w:val="none"/>
              </w:rPr>
              <w:t>0</w:t>
            </w:r>
            <w:r>
              <w:rPr>
                <w:rFonts w:ascii="Times New Roman" w:hAnsi="Times New Roman" w:eastAsia="Times New Roman" w:cs="Times New Roman"/>
                <w:color w:val="auto"/>
                <w:spacing w:val="3"/>
                <w:sz w:val="18"/>
                <w:szCs w:val="18"/>
                <w:highlight w:val="none"/>
              </w:rPr>
              <w:t>56.626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85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w:t>
            </w:r>
            <w:r>
              <w:rPr>
                <w:rFonts w:ascii="Times New Roman" w:hAnsi="Times New Roman" w:eastAsia="Times New Roman" w:cs="Times New Roman"/>
                <w:color w:val="auto"/>
                <w:spacing w:val="3"/>
                <w:sz w:val="18"/>
                <w:szCs w:val="18"/>
                <w:highlight w:val="none"/>
              </w:rPr>
              <w:t>7</w:t>
            </w:r>
          </w:p>
        </w:tc>
        <w:tc>
          <w:tcPr>
            <w:tcW w:w="2605" w:type="dxa"/>
            <w:vAlign w:val="top"/>
          </w:tcPr>
          <w:p>
            <w:pPr>
              <w:spacing w:before="50" w:line="197" w:lineRule="auto"/>
              <w:ind w:left="96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4"/>
                <w:sz w:val="18"/>
                <w:szCs w:val="18"/>
                <w:highlight w:val="none"/>
              </w:rPr>
              <w:t>006.072</w:t>
            </w:r>
          </w:p>
        </w:tc>
        <w:tc>
          <w:tcPr>
            <w:tcW w:w="2620" w:type="dxa"/>
            <w:tcBorders>
              <w:right w:val="single" w:color="000000" w:sz="10" w:space="0"/>
            </w:tcBorders>
            <w:vAlign w:val="top"/>
          </w:tcPr>
          <w:p>
            <w:pPr>
              <w:spacing w:before="50" w:line="197" w:lineRule="auto"/>
              <w:ind w:left="97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4656. 15</w:t>
            </w:r>
            <w:r>
              <w:rPr>
                <w:rFonts w:ascii="Times New Roman" w:hAnsi="Times New Roman" w:eastAsia="Times New Roman" w:cs="Times New Roman"/>
                <w:color w:val="auto"/>
                <w:sz w:val="18"/>
                <w:szCs w:val="18"/>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85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w:t>
            </w:r>
            <w:r>
              <w:rPr>
                <w:rFonts w:ascii="Times New Roman" w:hAnsi="Times New Roman" w:eastAsia="Times New Roman" w:cs="Times New Roman"/>
                <w:color w:val="auto"/>
                <w:spacing w:val="3"/>
                <w:sz w:val="18"/>
                <w:szCs w:val="18"/>
                <w:highlight w:val="none"/>
              </w:rPr>
              <w:t>8</w:t>
            </w:r>
          </w:p>
        </w:tc>
        <w:tc>
          <w:tcPr>
            <w:tcW w:w="2605" w:type="dxa"/>
            <w:vAlign w:val="top"/>
          </w:tcPr>
          <w:p>
            <w:pPr>
              <w:spacing w:before="49"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1974.824</w:t>
            </w:r>
          </w:p>
        </w:tc>
        <w:tc>
          <w:tcPr>
            <w:tcW w:w="2620" w:type="dxa"/>
            <w:tcBorders>
              <w:right w:val="single" w:color="000000" w:sz="10" w:space="0"/>
            </w:tcBorders>
            <w:vAlign w:val="top"/>
          </w:tcPr>
          <w:p>
            <w:pPr>
              <w:spacing w:before="49" w:line="197" w:lineRule="auto"/>
              <w:ind w:left="97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7"/>
                <w:sz w:val="18"/>
                <w:szCs w:val="18"/>
                <w:highlight w:val="none"/>
              </w:rPr>
              <w:t>4</w:t>
            </w:r>
            <w:r>
              <w:rPr>
                <w:rFonts w:ascii="Times New Roman" w:hAnsi="Times New Roman" w:eastAsia="Times New Roman" w:cs="Times New Roman"/>
                <w:color w:val="auto"/>
                <w:spacing w:val="4"/>
                <w:sz w:val="18"/>
                <w:szCs w:val="18"/>
                <w:highlight w:val="none"/>
              </w:rPr>
              <w:t>280.632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85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w:t>
            </w:r>
            <w:r>
              <w:rPr>
                <w:rFonts w:ascii="Times New Roman" w:hAnsi="Times New Roman" w:eastAsia="Times New Roman" w:cs="Times New Roman"/>
                <w:color w:val="auto"/>
                <w:spacing w:val="3"/>
                <w:sz w:val="18"/>
                <w:szCs w:val="18"/>
                <w:highlight w:val="none"/>
              </w:rPr>
              <w:t>9</w:t>
            </w:r>
          </w:p>
        </w:tc>
        <w:tc>
          <w:tcPr>
            <w:tcW w:w="2605" w:type="dxa"/>
            <w:vAlign w:val="top"/>
          </w:tcPr>
          <w:p>
            <w:pPr>
              <w:spacing w:before="50"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3"/>
                <w:sz w:val="18"/>
                <w:szCs w:val="18"/>
                <w:highlight w:val="none"/>
              </w:rPr>
              <w:t>1939. 17</w:t>
            </w:r>
            <w:r>
              <w:rPr>
                <w:rFonts w:ascii="Times New Roman" w:hAnsi="Times New Roman" w:eastAsia="Times New Roman" w:cs="Times New Roman"/>
                <w:color w:val="auto"/>
                <w:spacing w:val="-2"/>
                <w:sz w:val="18"/>
                <w:szCs w:val="18"/>
                <w:highlight w:val="none"/>
              </w:rPr>
              <w:t>2</w:t>
            </w:r>
          </w:p>
        </w:tc>
        <w:tc>
          <w:tcPr>
            <w:tcW w:w="2620" w:type="dxa"/>
            <w:tcBorders>
              <w:right w:val="single" w:color="000000" w:sz="10" w:space="0"/>
            </w:tcBorders>
            <w:vAlign w:val="top"/>
          </w:tcPr>
          <w:p>
            <w:pPr>
              <w:spacing w:before="50"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3931.93</w:t>
            </w:r>
            <w:r>
              <w:rPr>
                <w:rFonts w:ascii="Times New Roman" w:hAnsi="Times New Roman" w:eastAsia="Times New Roman" w:cs="Times New Roman"/>
                <w:color w:val="auto"/>
                <w:spacing w:val="2"/>
                <w:sz w:val="18"/>
                <w:szCs w:val="18"/>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9" w:line="197" w:lineRule="auto"/>
              <w:ind w:left="185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3</w:t>
            </w:r>
            <w:r>
              <w:rPr>
                <w:rFonts w:ascii="Times New Roman" w:hAnsi="Times New Roman" w:eastAsia="Times New Roman" w:cs="Times New Roman"/>
                <w:color w:val="auto"/>
                <w:spacing w:val="1"/>
                <w:sz w:val="18"/>
                <w:szCs w:val="18"/>
                <w:highlight w:val="none"/>
              </w:rPr>
              <w:t>0</w:t>
            </w:r>
          </w:p>
        </w:tc>
        <w:tc>
          <w:tcPr>
            <w:tcW w:w="2605" w:type="dxa"/>
            <w:vAlign w:val="top"/>
          </w:tcPr>
          <w:p>
            <w:pPr>
              <w:spacing w:before="49"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1899.755</w:t>
            </w:r>
          </w:p>
        </w:tc>
        <w:tc>
          <w:tcPr>
            <w:tcW w:w="2620" w:type="dxa"/>
            <w:tcBorders>
              <w:right w:val="single" w:color="000000" w:sz="10" w:space="0"/>
            </w:tcBorders>
            <w:vAlign w:val="top"/>
          </w:tcPr>
          <w:p>
            <w:pPr>
              <w:spacing w:before="50"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3610.50</w:t>
            </w:r>
            <w:r>
              <w:rPr>
                <w:rFonts w:ascii="Times New Roman" w:hAnsi="Times New Roman" w:eastAsia="Times New Roman" w:cs="Times New Roman"/>
                <w:color w:val="auto"/>
                <w:spacing w:val="2"/>
                <w:sz w:val="18"/>
                <w:szCs w:val="18"/>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1" w:line="197" w:lineRule="auto"/>
              <w:ind w:left="185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3</w:t>
            </w:r>
            <w:r>
              <w:rPr>
                <w:rFonts w:ascii="Times New Roman" w:hAnsi="Times New Roman" w:eastAsia="Times New Roman" w:cs="Times New Roman"/>
                <w:color w:val="auto"/>
                <w:spacing w:val="1"/>
                <w:sz w:val="18"/>
                <w:szCs w:val="18"/>
                <w:highlight w:val="none"/>
              </w:rPr>
              <w:t>1</w:t>
            </w:r>
          </w:p>
        </w:tc>
        <w:tc>
          <w:tcPr>
            <w:tcW w:w="2605" w:type="dxa"/>
            <w:vAlign w:val="top"/>
          </w:tcPr>
          <w:p>
            <w:pPr>
              <w:spacing w:before="51"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3"/>
                <w:sz w:val="18"/>
                <w:szCs w:val="18"/>
                <w:highlight w:val="none"/>
              </w:rPr>
              <w:t>1857. 19</w:t>
            </w:r>
            <w:r>
              <w:rPr>
                <w:rFonts w:ascii="Times New Roman" w:hAnsi="Times New Roman" w:eastAsia="Times New Roman" w:cs="Times New Roman"/>
                <w:color w:val="auto"/>
                <w:spacing w:val="-2"/>
                <w:sz w:val="18"/>
                <w:szCs w:val="18"/>
                <w:highlight w:val="none"/>
              </w:rPr>
              <w:t>0</w:t>
            </w:r>
          </w:p>
        </w:tc>
        <w:tc>
          <w:tcPr>
            <w:tcW w:w="2620" w:type="dxa"/>
            <w:tcBorders>
              <w:right w:val="single" w:color="000000" w:sz="10" w:space="0"/>
            </w:tcBorders>
            <w:vAlign w:val="top"/>
          </w:tcPr>
          <w:p>
            <w:pPr>
              <w:spacing w:before="51"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3315.80</w:t>
            </w:r>
            <w:r>
              <w:rPr>
                <w:rFonts w:ascii="Times New Roman" w:hAnsi="Times New Roman" w:eastAsia="Times New Roman" w:cs="Times New Roman"/>
                <w:color w:val="auto"/>
                <w:spacing w:val="2"/>
                <w:sz w:val="18"/>
                <w:szCs w:val="18"/>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50" w:line="197" w:lineRule="auto"/>
              <w:ind w:left="185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3</w:t>
            </w:r>
            <w:r>
              <w:rPr>
                <w:rFonts w:ascii="Times New Roman" w:hAnsi="Times New Roman" w:eastAsia="Times New Roman" w:cs="Times New Roman"/>
                <w:color w:val="auto"/>
                <w:spacing w:val="1"/>
                <w:sz w:val="18"/>
                <w:szCs w:val="18"/>
                <w:highlight w:val="none"/>
              </w:rPr>
              <w:t>2</w:t>
            </w:r>
          </w:p>
        </w:tc>
        <w:tc>
          <w:tcPr>
            <w:tcW w:w="2605" w:type="dxa"/>
            <w:vAlign w:val="top"/>
          </w:tcPr>
          <w:p>
            <w:pPr>
              <w:spacing w:before="50" w:line="197" w:lineRule="auto"/>
              <w:ind w:left="98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1812.060</w:t>
            </w:r>
          </w:p>
        </w:tc>
        <w:tc>
          <w:tcPr>
            <w:tcW w:w="2620" w:type="dxa"/>
            <w:tcBorders>
              <w:right w:val="single" w:color="000000" w:sz="10" w:space="0"/>
            </w:tcBorders>
            <w:vAlign w:val="top"/>
          </w:tcPr>
          <w:p>
            <w:pPr>
              <w:spacing w:before="50" w:line="197" w:lineRule="auto"/>
              <w:ind w:left="97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3046.65</w:t>
            </w:r>
            <w:r>
              <w:rPr>
                <w:rFonts w:ascii="Times New Roman" w:hAnsi="Times New Roman" w:eastAsia="Times New Roman" w:cs="Times New Roman"/>
                <w:color w:val="auto"/>
                <w:spacing w:val="2"/>
                <w:sz w:val="18"/>
                <w:szCs w:val="18"/>
                <w:highlight w:val="none"/>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3902" w:type="dxa"/>
            <w:tcBorders>
              <w:left w:val="single" w:color="000000" w:sz="10" w:space="0"/>
            </w:tcBorders>
            <w:vAlign w:val="top"/>
          </w:tcPr>
          <w:p>
            <w:pPr>
              <w:spacing w:before="49" w:line="197" w:lineRule="auto"/>
              <w:ind w:left="185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3</w:t>
            </w:r>
            <w:r>
              <w:rPr>
                <w:rFonts w:ascii="Times New Roman" w:hAnsi="Times New Roman" w:eastAsia="Times New Roman" w:cs="Times New Roman"/>
                <w:color w:val="auto"/>
                <w:spacing w:val="1"/>
                <w:sz w:val="18"/>
                <w:szCs w:val="18"/>
                <w:highlight w:val="none"/>
              </w:rPr>
              <w:t>3</w:t>
            </w:r>
          </w:p>
        </w:tc>
        <w:tc>
          <w:tcPr>
            <w:tcW w:w="2605" w:type="dxa"/>
            <w:vAlign w:val="top"/>
          </w:tcPr>
          <w:p>
            <w:pPr>
              <w:spacing w:before="49" w:line="197" w:lineRule="auto"/>
              <w:ind w:left="98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1764.</w:t>
            </w:r>
            <w:r>
              <w:rPr>
                <w:rFonts w:ascii="Times New Roman" w:hAnsi="Times New Roman" w:eastAsia="Times New Roman" w:cs="Times New Roman"/>
                <w:color w:val="auto"/>
                <w:spacing w:val="1"/>
                <w:sz w:val="18"/>
                <w:szCs w:val="18"/>
                <w:highlight w:val="none"/>
              </w:rPr>
              <w:t>911</w:t>
            </w:r>
          </w:p>
        </w:tc>
        <w:tc>
          <w:tcPr>
            <w:tcW w:w="2620" w:type="dxa"/>
            <w:tcBorders>
              <w:right w:val="single" w:color="000000" w:sz="10" w:space="0"/>
            </w:tcBorders>
            <w:vAlign w:val="top"/>
          </w:tcPr>
          <w:p>
            <w:pPr>
              <w:spacing w:before="49" w:line="197" w:lineRule="auto"/>
              <w:ind w:left="97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4"/>
                <w:sz w:val="18"/>
                <w:szCs w:val="18"/>
                <w:highlight w:val="none"/>
              </w:rPr>
              <w:t>801.491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 w:hRule="atLeast"/>
        </w:trPr>
        <w:tc>
          <w:tcPr>
            <w:tcW w:w="3902" w:type="dxa"/>
            <w:tcBorders>
              <w:left w:val="single" w:color="000000" w:sz="10" w:space="0"/>
            </w:tcBorders>
            <w:vAlign w:val="top"/>
          </w:tcPr>
          <w:p>
            <w:pPr>
              <w:spacing w:before="69" w:line="183" w:lineRule="auto"/>
              <w:ind w:left="185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4</w:t>
            </w:r>
          </w:p>
        </w:tc>
        <w:tc>
          <w:tcPr>
            <w:tcW w:w="2605" w:type="dxa"/>
            <w:vAlign w:val="top"/>
          </w:tcPr>
          <w:p>
            <w:pPr>
              <w:spacing w:before="69" w:line="183"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1716 245</w:t>
            </w:r>
          </w:p>
        </w:tc>
        <w:tc>
          <w:tcPr>
            <w:tcW w:w="2620" w:type="dxa"/>
            <w:tcBorders>
              <w:right w:val="single" w:color="000000" w:sz="10" w:space="0"/>
            </w:tcBorders>
            <w:vAlign w:val="top"/>
          </w:tcPr>
          <w:p>
            <w:pPr>
              <w:spacing w:before="69" w:line="183" w:lineRule="auto"/>
              <w:ind w:left="97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578 561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3902" w:type="dxa"/>
            <w:tcBorders>
              <w:left w:val="single" w:color="000000" w:sz="10" w:space="0"/>
            </w:tcBorders>
            <w:vAlign w:val="top"/>
          </w:tcPr>
          <w:p>
            <w:pPr>
              <w:spacing w:before="61" w:line="197" w:lineRule="auto"/>
              <w:ind w:left="185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5</w:t>
            </w:r>
          </w:p>
        </w:tc>
        <w:tc>
          <w:tcPr>
            <w:tcW w:w="2605" w:type="dxa"/>
            <w:vAlign w:val="top"/>
          </w:tcPr>
          <w:p>
            <w:pPr>
              <w:spacing w:before="61" w:line="197"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1666.519</w:t>
            </w:r>
          </w:p>
        </w:tc>
        <w:tc>
          <w:tcPr>
            <w:tcW w:w="2620" w:type="dxa"/>
            <w:tcBorders>
              <w:right w:val="single" w:color="000000" w:sz="10" w:space="0"/>
            </w:tcBorders>
            <w:vAlign w:val="top"/>
          </w:tcPr>
          <w:p>
            <w:pPr>
              <w:spacing w:before="61" w:line="197" w:lineRule="auto"/>
              <w:ind w:left="97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376.054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3" w:line="197" w:lineRule="auto"/>
              <w:ind w:left="185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6</w:t>
            </w:r>
          </w:p>
        </w:tc>
        <w:tc>
          <w:tcPr>
            <w:tcW w:w="2605" w:type="dxa"/>
            <w:vAlign w:val="top"/>
          </w:tcPr>
          <w:p>
            <w:pPr>
              <w:spacing w:before="43" w:line="197"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1616. 14</w:t>
            </w:r>
            <w:r>
              <w:rPr>
                <w:rFonts w:ascii="Times New Roman" w:hAnsi="Times New Roman" w:eastAsia="Times New Roman" w:cs="Times New Roman"/>
                <w:color w:val="auto"/>
                <w:spacing w:val="-2"/>
                <w:sz w:val="17"/>
                <w:szCs w:val="17"/>
                <w:highlight w:val="none"/>
              </w:rPr>
              <w:t>1</w:t>
            </w:r>
          </w:p>
        </w:tc>
        <w:tc>
          <w:tcPr>
            <w:tcW w:w="2620" w:type="dxa"/>
            <w:tcBorders>
              <w:right w:val="single" w:color="000000" w:sz="10" w:space="0"/>
            </w:tcBorders>
            <w:vAlign w:val="top"/>
          </w:tcPr>
          <w:p>
            <w:pPr>
              <w:spacing w:before="43" w:line="197" w:lineRule="auto"/>
              <w:ind w:left="97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2192. 174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trPr>
        <w:tc>
          <w:tcPr>
            <w:tcW w:w="3902" w:type="dxa"/>
            <w:tcBorders>
              <w:left w:val="single" w:color="000000" w:sz="10" w:space="0"/>
            </w:tcBorders>
            <w:vAlign w:val="top"/>
          </w:tcPr>
          <w:p>
            <w:pPr>
              <w:spacing w:before="44" w:line="183" w:lineRule="auto"/>
              <w:ind w:left="185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7</w:t>
            </w:r>
          </w:p>
        </w:tc>
        <w:tc>
          <w:tcPr>
            <w:tcW w:w="2605" w:type="dxa"/>
            <w:vAlign w:val="top"/>
          </w:tcPr>
          <w:p>
            <w:pPr>
              <w:spacing w:before="44" w:line="183"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1565 476</w:t>
            </w:r>
          </w:p>
        </w:tc>
        <w:tc>
          <w:tcPr>
            <w:tcW w:w="2620" w:type="dxa"/>
            <w:tcBorders>
              <w:right w:val="single" w:color="000000" w:sz="10" w:space="0"/>
            </w:tcBorders>
            <w:vAlign w:val="top"/>
          </w:tcPr>
          <w:p>
            <w:pPr>
              <w:spacing w:before="44" w:line="183" w:lineRule="auto"/>
              <w:ind w:left="97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025 204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3902" w:type="dxa"/>
            <w:tcBorders>
              <w:left w:val="single" w:color="000000" w:sz="10" w:space="0"/>
            </w:tcBorders>
            <w:vAlign w:val="top"/>
          </w:tcPr>
          <w:p>
            <w:pPr>
              <w:spacing w:before="61" w:line="197" w:lineRule="auto"/>
              <w:ind w:left="185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8</w:t>
            </w:r>
          </w:p>
        </w:tc>
        <w:tc>
          <w:tcPr>
            <w:tcW w:w="2605" w:type="dxa"/>
            <w:vAlign w:val="top"/>
          </w:tcPr>
          <w:p>
            <w:pPr>
              <w:spacing w:before="62" w:line="197"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1514.843</w:t>
            </w:r>
          </w:p>
        </w:tc>
        <w:tc>
          <w:tcPr>
            <w:tcW w:w="2620" w:type="dxa"/>
            <w:tcBorders>
              <w:right w:val="single" w:color="000000" w:sz="10" w:space="0"/>
            </w:tcBorders>
            <w:vAlign w:val="top"/>
          </w:tcPr>
          <w:p>
            <w:pPr>
              <w:spacing w:before="61" w:line="197" w:lineRule="auto"/>
              <w:ind w:left="99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1873.529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3902" w:type="dxa"/>
            <w:tcBorders>
              <w:left w:val="single" w:color="000000" w:sz="10" w:space="0"/>
            </w:tcBorders>
            <w:vAlign w:val="top"/>
          </w:tcPr>
          <w:p>
            <w:pPr>
              <w:spacing w:before="46" w:line="182" w:lineRule="auto"/>
              <w:ind w:left="185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9</w:t>
            </w:r>
          </w:p>
        </w:tc>
        <w:tc>
          <w:tcPr>
            <w:tcW w:w="2605" w:type="dxa"/>
            <w:vAlign w:val="top"/>
          </w:tcPr>
          <w:p>
            <w:pPr>
              <w:spacing w:before="46" w:line="182"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1464 518</w:t>
            </w:r>
          </w:p>
        </w:tc>
        <w:tc>
          <w:tcPr>
            <w:tcW w:w="2620" w:type="dxa"/>
            <w:tcBorders>
              <w:right w:val="single" w:color="000000" w:sz="10" w:space="0"/>
            </w:tcBorders>
            <w:vAlign w:val="top"/>
          </w:tcPr>
          <w:p>
            <w:pPr>
              <w:spacing w:before="46" w:line="182" w:lineRule="auto"/>
              <w:ind w:left="99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1735 657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3902" w:type="dxa"/>
            <w:tcBorders>
              <w:left w:val="single" w:color="000000" w:sz="10" w:space="0"/>
            </w:tcBorders>
            <w:vAlign w:val="top"/>
          </w:tcPr>
          <w:p>
            <w:pPr>
              <w:spacing w:before="62" w:line="197" w:lineRule="auto"/>
              <w:ind w:left="18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40</w:t>
            </w:r>
          </w:p>
        </w:tc>
        <w:tc>
          <w:tcPr>
            <w:tcW w:w="2605" w:type="dxa"/>
            <w:vAlign w:val="top"/>
          </w:tcPr>
          <w:p>
            <w:pPr>
              <w:spacing w:before="62" w:line="200"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1414.736</w:t>
            </w:r>
          </w:p>
        </w:tc>
        <w:tc>
          <w:tcPr>
            <w:tcW w:w="2620" w:type="dxa"/>
            <w:tcBorders>
              <w:right w:val="single" w:color="000000" w:sz="10" w:space="0"/>
            </w:tcBorders>
            <w:vAlign w:val="top"/>
          </w:tcPr>
          <w:p>
            <w:pPr>
              <w:spacing w:before="62" w:line="197" w:lineRule="auto"/>
              <w:ind w:left="99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1610.223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4" w:line="197" w:lineRule="auto"/>
              <w:ind w:left="18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41</w:t>
            </w:r>
          </w:p>
        </w:tc>
        <w:tc>
          <w:tcPr>
            <w:tcW w:w="2605" w:type="dxa"/>
            <w:vAlign w:val="top"/>
          </w:tcPr>
          <w:p>
            <w:pPr>
              <w:spacing w:before="44" w:line="197"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1365.698</w:t>
            </w:r>
          </w:p>
        </w:tc>
        <w:tc>
          <w:tcPr>
            <w:tcW w:w="2620" w:type="dxa"/>
            <w:tcBorders>
              <w:right w:val="single" w:color="000000" w:sz="10" w:space="0"/>
            </w:tcBorders>
            <w:vAlign w:val="top"/>
          </w:tcPr>
          <w:p>
            <w:pPr>
              <w:spacing w:before="44" w:line="197" w:lineRule="auto"/>
              <w:ind w:left="99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1495.987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trPr>
        <w:tc>
          <w:tcPr>
            <w:tcW w:w="3902" w:type="dxa"/>
            <w:tcBorders>
              <w:left w:val="single" w:color="000000" w:sz="10" w:space="0"/>
            </w:tcBorders>
            <w:vAlign w:val="top"/>
          </w:tcPr>
          <w:p>
            <w:pPr>
              <w:spacing w:before="45" w:line="182" w:lineRule="auto"/>
              <w:ind w:left="18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42</w:t>
            </w:r>
          </w:p>
        </w:tc>
        <w:tc>
          <w:tcPr>
            <w:tcW w:w="2605" w:type="dxa"/>
            <w:vAlign w:val="top"/>
          </w:tcPr>
          <w:p>
            <w:pPr>
              <w:spacing w:before="45" w:line="182"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1317 568</w:t>
            </w:r>
          </w:p>
        </w:tc>
        <w:tc>
          <w:tcPr>
            <w:tcW w:w="2620" w:type="dxa"/>
            <w:tcBorders>
              <w:right w:val="single" w:color="000000" w:sz="10" w:space="0"/>
            </w:tcBorders>
            <w:vAlign w:val="top"/>
          </w:tcPr>
          <w:p>
            <w:pPr>
              <w:spacing w:before="45" w:line="182" w:lineRule="auto"/>
              <w:ind w:left="99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1391 828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3902" w:type="dxa"/>
            <w:tcBorders>
              <w:left w:val="single" w:color="000000" w:sz="10" w:space="0"/>
            </w:tcBorders>
            <w:vAlign w:val="top"/>
          </w:tcPr>
          <w:p>
            <w:pPr>
              <w:spacing w:before="62" w:line="197" w:lineRule="auto"/>
              <w:ind w:left="18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43</w:t>
            </w:r>
          </w:p>
        </w:tc>
        <w:tc>
          <w:tcPr>
            <w:tcW w:w="2605" w:type="dxa"/>
            <w:vAlign w:val="top"/>
          </w:tcPr>
          <w:p>
            <w:pPr>
              <w:spacing w:before="62" w:line="197"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1270.481</w:t>
            </w:r>
          </w:p>
        </w:tc>
        <w:tc>
          <w:tcPr>
            <w:tcW w:w="2620" w:type="dxa"/>
            <w:tcBorders>
              <w:right w:val="single" w:color="000000" w:sz="10" w:space="0"/>
            </w:tcBorders>
            <w:vAlign w:val="top"/>
          </w:tcPr>
          <w:p>
            <w:pPr>
              <w:spacing w:before="62" w:line="197" w:lineRule="auto"/>
              <w:ind w:left="99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1296.740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trPr>
        <w:tc>
          <w:tcPr>
            <w:tcW w:w="3902" w:type="dxa"/>
            <w:tcBorders>
              <w:left w:val="single" w:color="000000" w:sz="10" w:space="0"/>
            </w:tcBorders>
            <w:vAlign w:val="top"/>
          </w:tcPr>
          <w:p>
            <w:pPr>
              <w:spacing w:before="47" w:line="180" w:lineRule="auto"/>
              <w:ind w:left="18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44</w:t>
            </w:r>
          </w:p>
        </w:tc>
        <w:tc>
          <w:tcPr>
            <w:tcW w:w="2605" w:type="dxa"/>
            <w:vAlign w:val="top"/>
          </w:tcPr>
          <w:p>
            <w:pPr>
              <w:spacing w:before="47" w:line="180"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1224 545</w:t>
            </w:r>
          </w:p>
        </w:tc>
        <w:tc>
          <w:tcPr>
            <w:tcW w:w="2620" w:type="dxa"/>
            <w:tcBorders>
              <w:right w:val="single" w:color="000000" w:sz="10" w:space="0"/>
            </w:tcBorders>
            <w:vAlign w:val="top"/>
          </w:tcPr>
          <w:p>
            <w:pPr>
              <w:spacing w:before="47" w:line="180" w:lineRule="auto"/>
              <w:ind w:left="99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1209 818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3902" w:type="dxa"/>
            <w:tcBorders>
              <w:left w:val="single" w:color="000000" w:sz="10" w:space="0"/>
            </w:tcBorders>
            <w:vAlign w:val="top"/>
          </w:tcPr>
          <w:p>
            <w:pPr>
              <w:spacing w:before="64" w:line="197" w:lineRule="auto"/>
              <w:ind w:left="18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45</w:t>
            </w:r>
          </w:p>
        </w:tc>
        <w:tc>
          <w:tcPr>
            <w:tcW w:w="2605" w:type="dxa"/>
            <w:vAlign w:val="top"/>
          </w:tcPr>
          <w:p>
            <w:pPr>
              <w:spacing w:before="64" w:line="197" w:lineRule="auto"/>
              <w:ind w:left="98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179.844</w:t>
            </w:r>
          </w:p>
        </w:tc>
        <w:tc>
          <w:tcPr>
            <w:tcW w:w="2620" w:type="dxa"/>
            <w:tcBorders>
              <w:right w:val="single" w:color="000000" w:sz="10" w:space="0"/>
            </w:tcBorders>
            <w:vAlign w:val="top"/>
          </w:tcPr>
          <w:p>
            <w:pPr>
              <w:spacing w:before="64" w:line="197" w:lineRule="auto"/>
              <w:ind w:left="99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130.254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3902" w:type="dxa"/>
            <w:tcBorders>
              <w:left w:val="single" w:color="000000" w:sz="10" w:space="0"/>
            </w:tcBorders>
            <w:vAlign w:val="top"/>
          </w:tcPr>
          <w:p>
            <w:pPr>
              <w:spacing w:before="46" w:line="197" w:lineRule="auto"/>
              <w:ind w:left="18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46</w:t>
            </w:r>
          </w:p>
        </w:tc>
        <w:tc>
          <w:tcPr>
            <w:tcW w:w="2605" w:type="dxa"/>
            <w:vAlign w:val="top"/>
          </w:tcPr>
          <w:p>
            <w:pPr>
              <w:spacing w:before="46" w:line="197" w:lineRule="auto"/>
              <w:ind w:left="98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136.439</w:t>
            </w:r>
          </w:p>
        </w:tc>
        <w:tc>
          <w:tcPr>
            <w:tcW w:w="2620" w:type="dxa"/>
            <w:tcBorders>
              <w:right w:val="single" w:color="000000" w:sz="10" w:space="0"/>
            </w:tcBorders>
            <w:vAlign w:val="top"/>
          </w:tcPr>
          <w:p>
            <w:pPr>
              <w:spacing w:before="46" w:line="197" w:lineRule="auto"/>
              <w:ind w:left="99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1057.325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trPr>
        <w:tc>
          <w:tcPr>
            <w:tcW w:w="3902" w:type="dxa"/>
            <w:tcBorders>
              <w:left w:val="single" w:color="000000" w:sz="10" w:space="0"/>
            </w:tcBorders>
            <w:vAlign w:val="top"/>
          </w:tcPr>
          <w:p>
            <w:pPr>
              <w:spacing w:before="47" w:line="180" w:lineRule="auto"/>
              <w:ind w:left="18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47</w:t>
            </w:r>
          </w:p>
        </w:tc>
        <w:tc>
          <w:tcPr>
            <w:tcW w:w="2605" w:type="dxa"/>
            <w:vAlign w:val="top"/>
          </w:tcPr>
          <w:p>
            <w:pPr>
              <w:spacing w:before="47" w:line="180"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1094 375</w:t>
            </w:r>
          </w:p>
        </w:tc>
        <w:tc>
          <w:tcPr>
            <w:tcW w:w="2620" w:type="dxa"/>
            <w:tcBorders>
              <w:right w:val="single" w:color="000000" w:sz="10" w:space="0"/>
            </w:tcBorders>
            <w:vAlign w:val="top"/>
          </w:tcPr>
          <w:p>
            <w:pPr>
              <w:spacing w:before="47" w:line="180" w:lineRule="auto"/>
              <w:ind w:left="10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990 38</w:t>
            </w:r>
            <w:r>
              <w:rPr>
                <w:rFonts w:ascii="Times New Roman" w:hAnsi="Times New Roman" w:eastAsia="Times New Roman" w:cs="Times New Roman"/>
                <w:color w:val="auto"/>
                <w:spacing w:val="3"/>
                <w:sz w:val="17"/>
                <w:szCs w:val="17"/>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3902" w:type="dxa"/>
            <w:tcBorders>
              <w:left w:val="single" w:color="000000" w:sz="10" w:space="0"/>
            </w:tcBorders>
            <w:vAlign w:val="top"/>
          </w:tcPr>
          <w:p>
            <w:pPr>
              <w:spacing w:before="64" w:line="197" w:lineRule="auto"/>
              <w:ind w:left="18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48</w:t>
            </w:r>
          </w:p>
        </w:tc>
        <w:tc>
          <w:tcPr>
            <w:tcW w:w="2605" w:type="dxa"/>
            <w:vAlign w:val="top"/>
          </w:tcPr>
          <w:p>
            <w:pPr>
              <w:spacing w:before="64" w:line="197"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1053.679</w:t>
            </w:r>
          </w:p>
        </w:tc>
        <w:tc>
          <w:tcPr>
            <w:tcW w:w="2620" w:type="dxa"/>
            <w:tcBorders>
              <w:right w:val="single" w:color="000000" w:sz="10" w:space="0"/>
            </w:tcBorders>
            <w:vAlign w:val="top"/>
          </w:tcPr>
          <w:p>
            <w:pPr>
              <w:spacing w:before="64" w:line="197" w:lineRule="auto"/>
              <w:ind w:left="10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928.85</w:t>
            </w:r>
            <w:r>
              <w:rPr>
                <w:rFonts w:ascii="Times New Roman" w:hAnsi="Times New Roman" w:eastAsia="Times New Roman" w:cs="Times New Roman"/>
                <w:color w:val="auto"/>
                <w:spacing w:val="3"/>
                <w:sz w:val="17"/>
                <w:szCs w:val="17"/>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trPr>
        <w:tc>
          <w:tcPr>
            <w:tcW w:w="3902" w:type="dxa"/>
            <w:tcBorders>
              <w:left w:val="single" w:color="000000" w:sz="10" w:space="0"/>
            </w:tcBorders>
            <w:vAlign w:val="top"/>
          </w:tcPr>
          <w:p>
            <w:pPr>
              <w:spacing w:before="49" w:line="178" w:lineRule="auto"/>
              <w:ind w:left="18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49</w:t>
            </w:r>
          </w:p>
        </w:tc>
        <w:tc>
          <w:tcPr>
            <w:tcW w:w="2605" w:type="dxa"/>
            <w:vAlign w:val="top"/>
          </w:tcPr>
          <w:p>
            <w:pPr>
              <w:spacing w:before="49" w:line="178" w:lineRule="auto"/>
              <w:ind w:left="9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1014 365</w:t>
            </w:r>
          </w:p>
        </w:tc>
        <w:tc>
          <w:tcPr>
            <w:tcW w:w="2620" w:type="dxa"/>
            <w:tcBorders>
              <w:right w:val="single" w:color="000000" w:sz="10" w:space="0"/>
            </w:tcBorders>
            <w:vAlign w:val="top"/>
          </w:tcPr>
          <w:p>
            <w:pPr>
              <w:spacing w:before="49" w:line="178" w:lineRule="auto"/>
              <w:ind w:left="102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8</w:t>
            </w:r>
            <w:r>
              <w:rPr>
                <w:rFonts w:ascii="Times New Roman" w:hAnsi="Times New Roman" w:eastAsia="Times New Roman" w:cs="Times New Roman"/>
                <w:color w:val="auto"/>
                <w:spacing w:val="3"/>
                <w:sz w:val="17"/>
                <w:szCs w:val="17"/>
                <w:highlight w:val="none"/>
              </w:rPr>
              <w:t>72 218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3902" w:type="dxa"/>
            <w:tcBorders>
              <w:left w:val="single" w:color="000000" w:sz="10" w:space="0"/>
            </w:tcBorders>
            <w:vAlign w:val="top"/>
          </w:tcPr>
          <w:p>
            <w:pPr>
              <w:spacing w:before="65" w:line="197" w:lineRule="auto"/>
              <w:ind w:left="185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50</w:t>
            </w:r>
          </w:p>
        </w:tc>
        <w:tc>
          <w:tcPr>
            <w:tcW w:w="2605" w:type="dxa"/>
            <w:vAlign w:val="top"/>
          </w:tcPr>
          <w:p>
            <w:pPr>
              <w:spacing w:before="65" w:line="197" w:lineRule="auto"/>
              <w:ind w:left="101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976.43</w:t>
            </w:r>
            <w:r>
              <w:rPr>
                <w:rFonts w:ascii="Times New Roman" w:hAnsi="Times New Roman" w:eastAsia="Times New Roman" w:cs="Times New Roman"/>
                <w:color w:val="auto"/>
                <w:spacing w:val="3"/>
                <w:sz w:val="17"/>
                <w:szCs w:val="17"/>
                <w:highlight w:val="none"/>
              </w:rPr>
              <w:t>7</w:t>
            </w:r>
          </w:p>
        </w:tc>
        <w:tc>
          <w:tcPr>
            <w:tcW w:w="2620" w:type="dxa"/>
            <w:tcBorders>
              <w:right w:val="single" w:color="000000" w:sz="10" w:space="0"/>
            </w:tcBorders>
            <w:vAlign w:val="top"/>
          </w:tcPr>
          <w:p>
            <w:pPr>
              <w:spacing w:before="66" w:line="197" w:lineRule="auto"/>
              <w:ind w:left="102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8</w:t>
            </w:r>
            <w:r>
              <w:rPr>
                <w:rFonts w:ascii="Times New Roman" w:hAnsi="Times New Roman" w:eastAsia="Times New Roman" w:cs="Times New Roman"/>
                <w:color w:val="auto"/>
                <w:spacing w:val="3"/>
                <w:sz w:val="17"/>
                <w:szCs w:val="17"/>
                <w:highlight w:val="none"/>
              </w:rPr>
              <w:t>20.015</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29" w:name="_Toc3528"/>
      <w:r>
        <w:rPr>
          <w:rFonts w:hint="eastAsia" w:ascii="Times New Roman" w:hAnsi="Times New Roman" w:eastAsia="宋体" w:cs="Times New Roman"/>
          <w:snapToGrid/>
          <w:kern w:val="0"/>
          <w:sz w:val="24"/>
          <w:szCs w:val="24"/>
          <w:highlight w:val="none"/>
          <w:lang w:val="en-US" w:eastAsia="zh-CN" w:bidi="ar"/>
        </w:rPr>
        <w:t>2)工频磁感应强度计算结果</w:t>
      </w:r>
      <w:bookmarkEnd w:id="129"/>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工频磁感应强度计算结果见表 6. 1-6 及经过居民区和非居民区工频磁感应强度见图 6. 1-6 和图 6. 1-7。</w:t>
      </w:r>
    </w:p>
    <w:p>
      <w:pPr>
        <w:spacing w:before="218" w:line="222" w:lineRule="auto"/>
        <w:ind w:left="2978"/>
        <w:rPr>
          <w:rFonts w:ascii="黑体" w:hAnsi="黑体" w:eastAsia="黑体" w:cs="黑体"/>
          <w:color w:val="auto"/>
          <w:sz w:val="20"/>
          <w:szCs w:val="20"/>
          <w:highlight w:val="none"/>
        </w:rPr>
      </w:pPr>
      <w:r>
        <w:rPr>
          <w:rFonts w:ascii="黑体" w:hAnsi="黑体" w:eastAsia="黑体" w:cs="黑体"/>
          <w:color w:val="auto"/>
          <w:spacing w:val="2"/>
          <w:sz w:val="20"/>
          <w:szCs w:val="20"/>
          <w:highlight w:val="none"/>
        </w:rPr>
        <w:t xml:space="preserve">表 </w:t>
      </w:r>
      <w:r>
        <w:rPr>
          <w:rFonts w:ascii="Times New Roman" w:hAnsi="Times New Roman" w:eastAsia="Times New Roman" w:cs="Times New Roman"/>
          <w:color w:val="auto"/>
          <w:spacing w:val="2"/>
          <w:sz w:val="20"/>
          <w:szCs w:val="20"/>
          <w:highlight w:val="none"/>
        </w:rPr>
        <w:t xml:space="preserve">6. 1-6    </w:t>
      </w:r>
      <w:r>
        <w:rPr>
          <w:rFonts w:ascii="黑体" w:hAnsi="黑体" w:eastAsia="黑体" w:cs="黑体"/>
          <w:color w:val="auto"/>
          <w:spacing w:val="2"/>
          <w:sz w:val="20"/>
          <w:szCs w:val="20"/>
          <w:highlight w:val="none"/>
        </w:rPr>
        <w:t>工频磁</w:t>
      </w:r>
      <w:r>
        <w:rPr>
          <w:rFonts w:ascii="黑体" w:hAnsi="黑体" w:eastAsia="黑体" w:cs="黑体"/>
          <w:color w:val="auto"/>
          <w:spacing w:val="1"/>
          <w:sz w:val="20"/>
          <w:szCs w:val="20"/>
          <w:highlight w:val="none"/>
        </w:rPr>
        <w:t>感应强度预测结果</w:t>
      </w:r>
    </w:p>
    <w:tbl>
      <w:tblPr>
        <w:tblStyle w:val="20"/>
        <w:tblW w:w="912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
        <w:gridCol w:w="3599"/>
        <w:gridCol w:w="1"/>
        <w:gridCol w:w="2754"/>
        <w:gridCol w:w="1"/>
        <w:gridCol w:w="2769"/>
        <w:gridCol w:w="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62" w:hRule="atLeast"/>
        </w:trPr>
        <w:tc>
          <w:tcPr>
            <w:tcW w:w="3600" w:type="dxa"/>
            <w:gridSpan w:val="2"/>
            <w:tcBorders>
              <w:left w:val="single" w:color="000000" w:sz="10" w:space="0"/>
            </w:tcBorders>
            <w:vAlign w:val="top"/>
          </w:tcPr>
          <w:p>
            <w:pPr>
              <w:spacing w:before="50" w:line="230" w:lineRule="auto"/>
              <w:ind w:left="1258"/>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导线对地高度</w:t>
            </w:r>
          </w:p>
        </w:tc>
        <w:tc>
          <w:tcPr>
            <w:tcW w:w="2755" w:type="dxa"/>
            <w:gridSpan w:val="2"/>
            <w:vAlign w:val="top"/>
          </w:tcPr>
          <w:p>
            <w:pPr>
              <w:spacing w:before="81" w:line="197" w:lineRule="auto"/>
              <w:ind w:left="1223"/>
              <w:rPr>
                <w:rFonts w:ascii="Times New Roman" w:hAnsi="Times New Roman" w:eastAsia="Times New Roman" w:cs="Times New Roman"/>
                <w:color w:val="auto"/>
                <w:sz w:val="17"/>
                <w:szCs w:val="17"/>
                <w:highlight w:val="none"/>
              </w:rPr>
            </w:pPr>
            <w:r>
              <w:rPr>
                <w:rFonts w:hint="eastAsia" w:ascii="Times New Roman" w:hAnsi="Times New Roman" w:eastAsia="宋体" w:cs="Times New Roman"/>
                <w:color w:val="auto"/>
                <w:spacing w:val="5"/>
                <w:sz w:val="17"/>
                <w:szCs w:val="17"/>
                <w:highlight w:val="none"/>
                <w:lang w:val="en-US" w:eastAsia="zh-CN"/>
              </w:rPr>
              <w:t>33</w:t>
            </w:r>
            <w:r>
              <w:rPr>
                <w:rFonts w:ascii="Times New Roman" w:hAnsi="Times New Roman" w:eastAsia="Times New Roman" w:cs="Times New Roman"/>
                <w:color w:val="auto"/>
                <w:sz w:val="17"/>
                <w:szCs w:val="17"/>
                <w:highlight w:val="none"/>
              </w:rPr>
              <w:t>m</w:t>
            </w:r>
          </w:p>
        </w:tc>
        <w:tc>
          <w:tcPr>
            <w:tcW w:w="2770" w:type="dxa"/>
            <w:gridSpan w:val="2"/>
            <w:tcBorders>
              <w:right w:val="single" w:color="000000" w:sz="10" w:space="0"/>
            </w:tcBorders>
            <w:vAlign w:val="top"/>
          </w:tcPr>
          <w:p>
            <w:pPr>
              <w:spacing w:before="81" w:line="197" w:lineRule="auto"/>
              <w:ind w:left="1249"/>
              <w:rPr>
                <w:rFonts w:hint="default" w:ascii="Times New Roman" w:hAnsi="Times New Roman" w:eastAsia="宋体" w:cs="Times New Roman"/>
                <w:color w:val="auto"/>
                <w:sz w:val="17"/>
                <w:szCs w:val="17"/>
                <w:highlight w:val="none"/>
                <w:lang w:val="en-US" w:eastAsia="zh-CN"/>
              </w:rPr>
            </w:pPr>
            <w:r>
              <w:rPr>
                <w:rFonts w:hint="eastAsia" w:ascii="Times New Roman" w:hAnsi="Times New Roman" w:eastAsia="宋体" w:cs="Times New Roman"/>
                <w:color w:val="auto"/>
                <w:sz w:val="17"/>
                <w:szCs w:val="17"/>
                <w:highlight w:val="none"/>
                <w:lang w:val="en-US" w:eastAsia="zh-CN"/>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38" w:hRule="atLeast"/>
        </w:trPr>
        <w:tc>
          <w:tcPr>
            <w:tcW w:w="3600" w:type="dxa"/>
            <w:gridSpan w:val="2"/>
            <w:tcBorders>
              <w:left w:val="single" w:color="000000" w:sz="10" w:space="0"/>
            </w:tcBorders>
            <w:vAlign w:val="top"/>
          </w:tcPr>
          <w:p>
            <w:pPr>
              <w:spacing w:before="28" w:line="228" w:lineRule="auto"/>
              <w:ind w:left="1435"/>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预测高</w:t>
            </w:r>
            <w:r>
              <w:rPr>
                <w:rFonts w:ascii="宋体" w:hAnsi="宋体" w:eastAsia="宋体" w:cs="宋体"/>
                <w:color w:val="auto"/>
                <w:spacing w:val="7"/>
                <w:sz w:val="17"/>
                <w:szCs w:val="17"/>
                <w:highlight w:val="none"/>
              </w:rPr>
              <w:t>度</w:t>
            </w:r>
          </w:p>
        </w:tc>
        <w:tc>
          <w:tcPr>
            <w:tcW w:w="2755" w:type="dxa"/>
            <w:gridSpan w:val="2"/>
            <w:vAlign w:val="top"/>
          </w:tcPr>
          <w:p>
            <w:pPr>
              <w:spacing w:before="58" w:line="200" w:lineRule="auto"/>
              <w:ind w:left="121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w:t>
            </w:r>
            <w:r>
              <w:rPr>
                <w:rFonts w:ascii="Times New Roman" w:hAnsi="Times New Roman" w:eastAsia="Times New Roman" w:cs="Times New Roman"/>
                <w:color w:val="auto"/>
                <w:sz w:val="17"/>
                <w:szCs w:val="17"/>
                <w:highlight w:val="none"/>
              </w:rPr>
              <w:t>.5m</w:t>
            </w:r>
          </w:p>
        </w:tc>
        <w:tc>
          <w:tcPr>
            <w:tcW w:w="2770" w:type="dxa"/>
            <w:gridSpan w:val="2"/>
            <w:tcBorders>
              <w:right w:val="single" w:color="000000" w:sz="10" w:space="0"/>
            </w:tcBorders>
            <w:vAlign w:val="top"/>
          </w:tcPr>
          <w:p>
            <w:pPr>
              <w:spacing w:before="58" w:line="200" w:lineRule="auto"/>
              <w:ind w:left="122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w:t>
            </w:r>
            <w:r>
              <w:rPr>
                <w:rFonts w:ascii="Times New Roman" w:hAnsi="Times New Roman" w:eastAsia="Times New Roman" w:cs="Times New Roman"/>
                <w:color w:val="auto"/>
                <w:sz w:val="17"/>
                <w:szCs w:val="17"/>
                <w:highlight w:val="none"/>
              </w:rPr>
              <w:t>.5m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38" w:hRule="atLeast"/>
        </w:trPr>
        <w:tc>
          <w:tcPr>
            <w:tcW w:w="3600" w:type="dxa"/>
            <w:gridSpan w:val="2"/>
            <w:tcBorders>
              <w:left w:val="single" w:color="000000" w:sz="10" w:space="0"/>
            </w:tcBorders>
            <w:vAlign w:val="top"/>
          </w:tcPr>
          <w:p>
            <w:pPr>
              <w:spacing w:before="27" w:line="224" w:lineRule="auto"/>
              <w:ind w:left="967"/>
              <w:rPr>
                <w:rFonts w:ascii="Times New Roman" w:hAnsi="Times New Roman" w:eastAsia="Times New Roman" w:cs="Times New Roman"/>
                <w:color w:val="auto"/>
                <w:sz w:val="17"/>
                <w:szCs w:val="17"/>
                <w:highlight w:val="none"/>
              </w:rPr>
            </w:pPr>
            <w:r>
              <w:rPr>
                <w:rFonts w:ascii="宋体" w:hAnsi="宋体" w:eastAsia="宋体" w:cs="宋体"/>
                <w:color w:val="auto"/>
                <w:spacing w:val="-1"/>
                <w:sz w:val="17"/>
                <w:szCs w:val="17"/>
                <w:highlight w:val="none"/>
              </w:rPr>
              <w:t>边导线</w:t>
            </w:r>
            <w:r>
              <w:rPr>
                <w:rFonts w:ascii="宋体" w:hAnsi="宋体" w:eastAsia="宋体" w:cs="宋体"/>
                <w:color w:val="auto"/>
                <w:sz w:val="17"/>
                <w:szCs w:val="17"/>
                <w:highlight w:val="none"/>
              </w:rPr>
              <w:t xml:space="preserve">正投影处， </w:t>
            </w:r>
            <w:r>
              <w:rPr>
                <w:rFonts w:ascii="Times New Roman" w:hAnsi="Times New Roman" w:eastAsia="Times New Roman" w:cs="Times New Roman"/>
                <w:color w:val="auto"/>
                <w:sz w:val="17"/>
                <w:szCs w:val="17"/>
                <w:highlight w:val="none"/>
              </w:rPr>
              <w:t>µT</w:t>
            </w:r>
          </w:p>
        </w:tc>
        <w:tc>
          <w:tcPr>
            <w:tcW w:w="2755" w:type="dxa"/>
            <w:gridSpan w:val="2"/>
            <w:vAlign w:val="top"/>
          </w:tcPr>
          <w:p>
            <w:pPr>
              <w:spacing w:before="46" w:line="200" w:lineRule="auto"/>
              <w:ind w:left="119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14.25</w:t>
            </w:r>
          </w:p>
        </w:tc>
        <w:tc>
          <w:tcPr>
            <w:tcW w:w="2770" w:type="dxa"/>
            <w:gridSpan w:val="2"/>
            <w:tcBorders>
              <w:right w:val="single" w:color="000000" w:sz="10" w:space="0"/>
            </w:tcBorders>
            <w:vAlign w:val="top"/>
          </w:tcPr>
          <w:p>
            <w:pPr>
              <w:spacing w:before="46" w:line="197" w:lineRule="auto"/>
              <w:ind w:left="114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6.799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37" w:hRule="atLeast"/>
        </w:trPr>
        <w:tc>
          <w:tcPr>
            <w:tcW w:w="3600" w:type="dxa"/>
            <w:gridSpan w:val="2"/>
            <w:tcBorders>
              <w:left w:val="single" w:color="000000" w:sz="10" w:space="0"/>
            </w:tcBorders>
            <w:vAlign w:val="top"/>
          </w:tcPr>
          <w:p>
            <w:pPr>
              <w:spacing w:before="29" w:line="221" w:lineRule="auto"/>
              <w:ind w:left="919"/>
              <w:rPr>
                <w:rFonts w:ascii="Times New Roman" w:hAnsi="Times New Roman" w:eastAsia="Times New Roman" w:cs="Times New Roman"/>
                <w:color w:val="auto"/>
                <w:sz w:val="17"/>
                <w:szCs w:val="17"/>
                <w:highlight w:val="none"/>
              </w:rPr>
            </w:pPr>
            <w:r>
              <w:rPr>
                <w:rFonts w:ascii="宋体" w:hAnsi="宋体" w:eastAsia="宋体" w:cs="宋体"/>
                <w:color w:val="auto"/>
                <w:spacing w:val="-4"/>
                <w:sz w:val="17"/>
                <w:szCs w:val="17"/>
                <w:highlight w:val="none"/>
              </w:rPr>
              <w:t>边导线外</w:t>
            </w:r>
            <w:r>
              <w:rPr>
                <w:rFonts w:ascii="宋体" w:hAnsi="宋体" w:eastAsia="宋体" w:cs="宋体"/>
                <w:color w:val="auto"/>
                <w:spacing w:val="-3"/>
                <w:sz w:val="17"/>
                <w:szCs w:val="17"/>
                <w:highlight w:val="none"/>
              </w:rPr>
              <w:t xml:space="preserve"> </w:t>
            </w:r>
            <w:r>
              <w:rPr>
                <w:rFonts w:ascii="Times New Roman" w:hAnsi="Times New Roman" w:eastAsia="Times New Roman" w:cs="Times New Roman"/>
                <w:color w:val="auto"/>
                <w:spacing w:val="-2"/>
                <w:sz w:val="17"/>
                <w:szCs w:val="17"/>
                <w:highlight w:val="none"/>
              </w:rPr>
              <w:t xml:space="preserve">6.0m </w:t>
            </w:r>
            <w:r>
              <w:rPr>
                <w:rFonts w:ascii="宋体" w:hAnsi="宋体" w:eastAsia="宋体" w:cs="宋体"/>
                <w:color w:val="auto"/>
                <w:spacing w:val="-2"/>
                <w:sz w:val="17"/>
                <w:szCs w:val="17"/>
                <w:highlight w:val="none"/>
              </w:rPr>
              <w:t xml:space="preserve">处， </w:t>
            </w:r>
            <w:r>
              <w:rPr>
                <w:rFonts w:ascii="Times New Roman" w:hAnsi="Times New Roman" w:eastAsia="Times New Roman" w:cs="Times New Roman"/>
                <w:color w:val="auto"/>
                <w:spacing w:val="-2"/>
                <w:sz w:val="17"/>
                <w:szCs w:val="17"/>
                <w:highlight w:val="none"/>
              </w:rPr>
              <w:t>µT</w:t>
            </w:r>
          </w:p>
        </w:tc>
        <w:tc>
          <w:tcPr>
            <w:tcW w:w="2755" w:type="dxa"/>
            <w:gridSpan w:val="2"/>
            <w:vAlign w:val="top"/>
          </w:tcPr>
          <w:p>
            <w:pPr>
              <w:spacing w:before="45" w:line="200"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hint="eastAsia" w:ascii="Times New Roman" w:hAnsi="Times New Roman" w:eastAsia="宋体" w:cs="Times New Roman"/>
                <w:color w:val="auto"/>
                <w:spacing w:val="1"/>
                <w:sz w:val="17"/>
                <w:szCs w:val="17"/>
                <w:highlight w:val="none"/>
                <w:lang w:eastAsia="zh-CN"/>
              </w:rPr>
              <w:t>13.735</w:t>
            </w:r>
            <w:r>
              <w:rPr>
                <w:rFonts w:ascii="Times New Roman" w:hAnsi="Times New Roman" w:eastAsia="Times New Roman" w:cs="Times New Roman"/>
                <w:color w:val="auto"/>
                <w:spacing w:val="1"/>
                <w:sz w:val="17"/>
                <w:szCs w:val="17"/>
                <w:highlight w:val="none"/>
              </w:rPr>
              <w:t>5</w:t>
            </w:r>
          </w:p>
        </w:tc>
        <w:tc>
          <w:tcPr>
            <w:tcW w:w="2770" w:type="dxa"/>
            <w:gridSpan w:val="2"/>
            <w:tcBorders>
              <w:right w:val="single" w:color="000000" w:sz="10" w:space="0"/>
            </w:tcBorders>
            <w:vAlign w:val="top"/>
          </w:tcPr>
          <w:p>
            <w:pPr>
              <w:spacing w:before="45" w:line="197" w:lineRule="auto"/>
              <w:ind w:left="114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7.241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38" w:hRule="atLeast"/>
        </w:trPr>
        <w:tc>
          <w:tcPr>
            <w:tcW w:w="3600" w:type="dxa"/>
            <w:gridSpan w:val="2"/>
            <w:tcBorders>
              <w:left w:val="single" w:color="000000" w:sz="10" w:space="0"/>
            </w:tcBorders>
            <w:vAlign w:val="top"/>
          </w:tcPr>
          <w:p>
            <w:pPr>
              <w:spacing w:before="29" w:line="224" w:lineRule="auto"/>
              <w:ind w:left="1330"/>
              <w:rPr>
                <w:rFonts w:ascii="Times New Roman" w:hAnsi="Times New Roman" w:eastAsia="Times New Roman" w:cs="Times New Roman"/>
                <w:color w:val="auto"/>
                <w:sz w:val="17"/>
                <w:szCs w:val="17"/>
                <w:highlight w:val="none"/>
              </w:rPr>
            </w:pPr>
            <w:r>
              <w:rPr>
                <w:rFonts w:ascii="宋体" w:hAnsi="宋体" w:eastAsia="宋体" w:cs="宋体"/>
                <w:color w:val="auto"/>
                <w:spacing w:val="-10"/>
                <w:sz w:val="17"/>
                <w:szCs w:val="17"/>
                <w:highlight w:val="none"/>
              </w:rPr>
              <w:t>最</w:t>
            </w:r>
            <w:r>
              <w:rPr>
                <w:rFonts w:ascii="宋体" w:hAnsi="宋体" w:eastAsia="宋体" w:cs="宋体"/>
                <w:color w:val="auto"/>
                <w:spacing w:val="-6"/>
                <w:sz w:val="17"/>
                <w:szCs w:val="17"/>
                <w:highlight w:val="none"/>
              </w:rPr>
              <w:t xml:space="preserve">大值， </w:t>
            </w:r>
            <w:r>
              <w:rPr>
                <w:rFonts w:ascii="Times New Roman" w:hAnsi="Times New Roman" w:eastAsia="Times New Roman" w:cs="Times New Roman"/>
                <w:color w:val="auto"/>
                <w:spacing w:val="-6"/>
                <w:sz w:val="17"/>
                <w:szCs w:val="17"/>
                <w:highlight w:val="none"/>
              </w:rPr>
              <w:t>µT</w:t>
            </w:r>
          </w:p>
        </w:tc>
        <w:tc>
          <w:tcPr>
            <w:tcW w:w="2755" w:type="dxa"/>
            <w:gridSpan w:val="2"/>
            <w:vAlign w:val="top"/>
          </w:tcPr>
          <w:p>
            <w:pPr>
              <w:spacing w:before="46" w:line="200"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4.484</w:t>
            </w:r>
          </w:p>
        </w:tc>
        <w:tc>
          <w:tcPr>
            <w:tcW w:w="2770" w:type="dxa"/>
            <w:gridSpan w:val="2"/>
            <w:tcBorders>
              <w:right w:val="single" w:color="000000" w:sz="10" w:space="0"/>
            </w:tcBorders>
            <w:vAlign w:val="top"/>
          </w:tcPr>
          <w:p>
            <w:pPr>
              <w:spacing w:before="46" w:line="197" w:lineRule="auto"/>
              <w:ind w:left="129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37" w:hRule="atLeast"/>
        </w:trPr>
        <w:tc>
          <w:tcPr>
            <w:tcW w:w="3600" w:type="dxa"/>
            <w:gridSpan w:val="2"/>
            <w:tcBorders>
              <w:left w:val="single" w:color="000000" w:sz="10" w:space="0"/>
            </w:tcBorders>
            <w:vAlign w:val="top"/>
          </w:tcPr>
          <w:p>
            <w:pPr>
              <w:spacing w:line="237" w:lineRule="exact"/>
              <w:ind w:left="406"/>
              <w:rPr>
                <w:rFonts w:ascii="Times New Roman" w:hAnsi="Times New Roman" w:eastAsia="Times New Roman" w:cs="Times New Roman"/>
                <w:color w:val="auto"/>
                <w:sz w:val="17"/>
                <w:szCs w:val="17"/>
                <w:highlight w:val="none"/>
              </w:rPr>
            </w:pPr>
            <w:r>
              <w:rPr>
                <w:rFonts w:ascii="宋体" w:hAnsi="宋体" w:eastAsia="宋体" w:cs="宋体"/>
                <w:color w:val="auto"/>
                <w:spacing w:val="6"/>
                <w:position w:val="2"/>
                <w:sz w:val="17"/>
                <w:szCs w:val="17"/>
                <w:highlight w:val="none"/>
              </w:rPr>
              <w:t>最大值点位置</w:t>
            </w:r>
            <w:r>
              <w:rPr>
                <w:rFonts w:ascii="Times New Roman" w:hAnsi="Times New Roman" w:eastAsia="Times New Roman" w:cs="Times New Roman"/>
                <w:color w:val="auto"/>
                <w:spacing w:val="6"/>
                <w:position w:val="2"/>
                <w:sz w:val="17"/>
                <w:szCs w:val="17"/>
                <w:highlight w:val="none"/>
              </w:rPr>
              <w:t>(</w:t>
            </w:r>
            <w:r>
              <w:rPr>
                <w:rFonts w:ascii="宋体" w:hAnsi="宋体" w:eastAsia="宋体" w:cs="宋体"/>
                <w:color w:val="auto"/>
                <w:spacing w:val="6"/>
                <w:position w:val="2"/>
                <w:sz w:val="17"/>
                <w:szCs w:val="17"/>
                <w:highlight w:val="none"/>
              </w:rPr>
              <w:t>与计算原点距离</w:t>
            </w:r>
            <w:r>
              <w:rPr>
                <w:rFonts w:ascii="Times New Roman" w:hAnsi="Times New Roman" w:eastAsia="Times New Roman" w:cs="Times New Roman"/>
                <w:color w:val="auto"/>
                <w:spacing w:val="6"/>
                <w:position w:val="2"/>
                <w:sz w:val="17"/>
                <w:szCs w:val="17"/>
                <w:highlight w:val="none"/>
              </w:rPr>
              <w:t xml:space="preserve">) </w:t>
            </w:r>
            <w:r>
              <w:rPr>
                <w:rFonts w:ascii="宋体" w:hAnsi="宋体" w:eastAsia="宋体" w:cs="宋体"/>
                <w:color w:val="auto"/>
                <w:spacing w:val="6"/>
                <w:position w:val="2"/>
                <w:sz w:val="17"/>
                <w:szCs w:val="17"/>
                <w:highlight w:val="none"/>
              </w:rPr>
              <w:t>，</w:t>
            </w:r>
            <w:r>
              <w:rPr>
                <w:rFonts w:ascii="Times New Roman" w:hAnsi="Times New Roman" w:eastAsia="Times New Roman" w:cs="Times New Roman"/>
                <w:color w:val="auto"/>
                <w:position w:val="2"/>
                <w:sz w:val="17"/>
                <w:szCs w:val="17"/>
                <w:highlight w:val="none"/>
              </w:rPr>
              <w:t>m</w:t>
            </w:r>
          </w:p>
        </w:tc>
        <w:tc>
          <w:tcPr>
            <w:tcW w:w="2755" w:type="dxa"/>
            <w:gridSpan w:val="2"/>
            <w:vAlign w:val="top"/>
          </w:tcPr>
          <w:p>
            <w:pPr>
              <w:spacing w:before="47" w:line="197" w:lineRule="auto"/>
              <w:ind w:left="13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16</w:t>
            </w:r>
          </w:p>
        </w:tc>
        <w:tc>
          <w:tcPr>
            <w:tcW w:w="2770" w:type="dxa"/>
            <w:gridSpan w:val="2"/>
            <w:tcBorders>
              <w:right w:val="single" w:color="000000" w:sz="10" w:space="0"/>
            </w:tcBorders>
            <w:vAlign w:val="top"/>
          </w:tcPr>
          <w:p>
            <w:pPr>
              <w:spacing w:before="47" w:line="197" w:lineRule="auto"/>
              <w:ind w:left="131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38" w:hRule="atLeast"/>
        </w:trPr>
        <w:tc>
          <w:tcPr>
            <w:tcW w:w="3600" w:type="dxa"/>
            <w:gridSpan w:val="2"/>
            <w:tcBorders>
              <w:left w:val="single" w:color="000000" w:sz="10" w:space="0"/>
            </w:tcBorders>
            <w:vAlign w:val="top"/>
          </w:tcPr>
          <w:p>
            <w:pPr>
              <w:spacing w:before="31" w:line="224" w:lineRule="auto"/>
              <w:ind w:left="1186"/>
              <w:rPr>
                <w:rFonts w:ascii="宋体" w:hAnsi="宋体" w:eastAsia="宋体" w:cs="宋体"/>
                <w:color w:val="auto"/>
                <w:sz w:val="17"/>
                <w:szCs w:val="17"/>
                <w:highlight w:val="none"/>
              </w:rPr>
            </w:pPr>
            <w:r>
              <w:rPr>
                <w:rFonts w:ascii="宋体" w:hAnsi="宋体" w:eastAsia="宋体" w:cs="宋体"/>
                <w:color w:val="auto"/>
                <w:spacing w:val="4"/>
                <w:sz w:val="17"/>
                <w:szCs w:val="17"/>
                <w:highlight w:val="none"/>
              </w:rPr>
              <w:t>水平距离 (</w:t>
            </w:r>
            <w:r>
              <w:rPr>
                <w:rFonts w:ascii="Times New Roman" w:hAnsi="Times New Roman" w:eastAsia="Times New Roman" w:cs="Times New Roman"/>
                <w:color w:val="auto"/>
                <w:sz w:val="17"/>
                <w:szCs w:val="17"/>
                <w:highlight w:val="none"/>
              </w:rPr>
              <w:t>m</w:t>
            </w:r>
            <w:r>
              <w:rPr>
                <w:rFonts w:ascii="Times New Roman" w:hAnsi="Times New Roman" w:eastAsia="Times New Roman" w:cs="Times New Roman"/>
                <w:color w:val="auto"/>
                <w:spacing w:val="4"/>
                <w:sz w:val="17"/>
                <w:szCs w:val="17"/>
                <w:highlight w:val="none"/>
              </w:rPr>
              <w:t xml:space="preserve"> </w:t>
            </w:r>
            <w:r>
              <w:rPr>
                <w:rFonts w:ascii="宋体" w:hAnsi="宋体" w:eastAsia="宋体" w:cs="宋体"/>
                <w:color w:val="auto"/>
                <w:spacing w:val="3"/>
                <w:sz w:val="17"/>
                <w:szCs w:val="17"/>
                <w:highlight w:val="none"/>
              </w:rPr>
              <w:t>)</w:t>
            </w:r>
          </w:p>
        </w:tc>
        <w:tc>
          <w:tcPr>
            <w:tcW w:w="2755" w:type="dxa"/>
            <w:gridSpan w:val="2"/>
            <w:vAlign w:val="top"/>
          </w:tcPr>
          <w:p>
            <w:pPr>
              <w:spacing w:before="31" w:line="224" w:lineRule="auto"/>
              <w:ind w:left="196"/>
              <w:rPr>
                <w:rFonts w:ascii="宋体" w:hAnsi="宋体" w:eastAsia="宋体" w:cs="宋体"/>
                <w:color w:val="auto"/>
                <w:sz w:val="17"/>
                <w:szCs w:val="17"/>
                <w:highlight w:val="none"/>
              </w:rPr>
            </w:pPr>
            <w:r>
              <w:rPr>
                <w:rFonts w:ascii="宋体" w:hAnsi="宋体" w:eastAsia="宋体" w:cs="宋体"/>
                <w:color w:val="auto"/>
                <w:spacing w:val="10"/>
                <w:sz w:val="17"/>
                <w:szCs w:val="17"/>
                <w:highlight w:val="none"/>
              </w:rPr>
              <w:t>磁</w:t>
            </w:r>
            <w:r>
              <w:rPr>
                <w:rFonts w:ascii="宋体" w:hAnsi="宋体" w:eastAsia="宋体" w:cs="宋体"/>
                <w:color w:val="auto"/>
                <w:spacing w:val="8"/>
                <w:sz w:val="17"/>
                <w:szCs w:val="17"/>
                <w:highlight w:val="none"/>
              </w:rPr>
              <w:t>感应强度近似综合值 (</w:t>
            </w:r>
            <w:r>
              <w:rPr>
                <w:rFonts w:ascii="Times New Roman" w:hAnsi="Times New Roman" w:eastAsia="Times New Roman" w:cs="Times New Roman"/>
                <w:color w:val="auto"/>
                <w:spacing w:val="8"/>
                <w:sz w:val="17"/>
                <w:szCs w:val="17"/>
                <w:highlight w:val="none"/>
              </w:rPr>
              <w:t>µ</w:t>
            </w:r>
            <w:r>
              <w:rPr>
                <w:rFonts w:ascii="Times New Roman" w:hAnsi="Times New Roman" w:eastAsia="Times New Roman" w:cs="Times New Roman"/>
                <w:color w:val="auto"/>
                <w:sz w:val="17"/>
                <w:szCs w:val="17"/>
                <w:highlight w:val="none"/>
              </w:rPr>
              <w:t>T</w:t>
            </w:r>
            <w:r>
              <w:rPr>
                <w:rFonts w:ascii="宋体" w:hAnsi="宋体" w:eastAsia="宋体" w:cs="宋体"/>
                <w:color w:val="auto"/>
                <w:spacing w:val="8"/>
                <w:sz w:val="17"/>
                <w:szCs w:val="17"/>
                <w:highlight w:val="none"/>
              </w:rPr>
              <w:t>)</w:t>
            </w:r>
          </w:p>
        </w:tc>
        <w:tc>
          <w:tcPr>
            <w:tcW w:w="2770" w:type="dxa"/>
            <w:gridSpan w:val="2"/>
            <w:tcBorders>
              <w:right w:val="single" w:color="000000" w:sz="10" w:space="0"/>
            </w:tcBorders>
            <w:vAlign w:val="top"/>
          </w:tcPr>
          <w:p>
            <w:pPr>
              <w:spacing w:before="31" w:line="224" w:lineRule="auto"/>
              <w:ind w:left="203"/>
              <w:rPr>
                <w:rFonts w:ascii="宋体" w:hAnsi="宋体" w:eastAsia="宋体" w:cs="宋体"/>
                <w:color w:val="auto"/>
                <w:sz w:val="17"/>
                <w:szCs w:val="17"/>
                <w:highlight w:val="none"/>
              </w:rPr>
            </w:pPr>
            <w:r>
              <w:rPr>
                <w:rFonts w:ascii="宋体" w:hAnsi="宋体" w:eastAsia="宋体" w:cs="宋体"/>
                <w:color w:val="auto"/>
                <w:spacing w:val="10"/>
                <w:sz w:val="17"/>
                <w:szCs w:val="17"/>
                <w:highlight w:val="none"/>
              </w:rPr>
              <w:t>磁</w:t>
            </w:r>
            <w:r>
              <w:rPr>
                <w:rFonts w:ascii="宋体" w:hAnsi="宋体" w:eastAsia="宋体" w:cs="宋体"/>
                <w:color w:val="auto"/>
                <w:spacing w:val="8"/>
                <w:sz w:val="17"/>
                <w:szCs w:val="17"/>
                <w:highlight w:val="none"/>
              </w:rPr>
              <w:t>感应强度近似综合值 (</w:t>
            </w:r>
            <w:r>
              <w:rPr>
                <w:rFonts w:ascii="Times New Roman" w:hAnsi="Times New Roman" w:eastAsia="Times New Roman" w:cs="Times New Roman"/>
                <w:color w:val="auto"/>
                <w:spacing w:val="8"/>
                <w:sz w:val="17"/>
                <w:szCs w:val="17"/>
                <w:highlight w:val="none"/>
              </w:rPr>
              <w:t>µ</w:t>
            </w:r>
            <w:r>
              <w:rPr>
                <w:rFonts w:ascii="Times New Roman" w:hAnsi="Times New Roman" w:eastAsia="Times New Roman" w:cs="Times New Roman"/>
                <w:color w:val="auto"/>
                <w:sz w:val="17"/>
                <w:szCs w:val="17"/>
                <w:highlight w:val="none"/>
              </w:rPr>
              <w:t>T</w:t>
            </w:r>
            <w:r>
              <w:rPr>
                <w:rFonts w:ascii="宋体" w:hAnsi="宋体" w:eastAsia="宋体" w:cs="宋体"/>
                <w:color w:val="auto"/>
                <w:spacing w:val="8"/>
                <w:sz w:val="17"/>
                <w:szCs w:val="17"/>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0" w:line="197" w:lineRule="auto"/>
              <w:ind w:left="175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0</w:t>
            </w:r>
          </w:p>
        </w:tc>
        <w:tc>
          <w:tcPr>
            <w:tcW w:w="2755" w:type="dxa"/>
            <w:gridSpan w:val="2"/>
            <w:vAlign w:val="top"/>
          </w:tcPr>
          <w:p>
            <w:pPr>
              <w:spacing w:before="50" w:line="197"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0.558</w:t>
            </w:r>
          </w:p>
        </w:tc>
        <w:tc>
          <w:tcPr>
            <w:tcW w:w="2770" w:type="dxa"/>
            <w:gridSpan w:val="2"/>
            <w:tcBorders>
              <w:right w:val="single" w:color="000000" w:sz="10" w:space="0"/>
            </w:tcBorders>
            <w:vAlign w:val="top"/>
          </w:tcPr>
          <w:p>
            <w:pPr>
              <w:spacing w:before="50" w:line="197" w:lineRule="auto"/>
              <w:ind w:left="113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3.746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9" w:line="197" w:lineRule="auto"/>
              <w:ind w:left="176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1</w:t>
            </w:r>
          </w:p>
        </w:tc>
        <w:tc>
          <w:tcPr>
            <w:tcW w:w="2755" w:type="dxa"/>
            <w:gridSpan w:val="2"/>
            <w:vAlign w:val="top"/>
          </w:tcPr>
          <w:p>
            <w:pPr>
              <w:spacing w:before="49" w:line="197" w:lineRule="auto"/>
              <w:ind w:left="118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9.91</w:t>
            </w:r>
            <w:r>
              <w:rPr>
                <w:rFonts w:ascii="Times New Roman" w:hAnsi="Times New Roman" w:eastAsia="Times New Roman" w:cs="Times New Roman"/>
                <w:color w:val="auto"/>
                <w:spacing w:val="2"/>
                <w:sz w:val="17"/>
                <w:szCs w:val="17"/>
                <w:highlight w:val="none"/>
              </w:rPr>
              <w:t>7</w:t>
            </w:r>
          </w:p>
        </w:tc>
        <w:tc>
          <w:tcPr>
            <w:tcW w:w="2770" w:type="dxa"/>
            <w:gridSpan w:val="2"/>
            <w:tcBorders>
              <w:right w:val="single" w:color="000000" w:sz="10" w:space="0"/>
            </w:tcBorders>
            <w:vAlign w:val="top"/>
          </w:tcPr>
          <w:p>
            <w:pPr>
              <w:spacing w:before="49" w:line="197" w:lineRule="auto"/>
              <w:ind w:left="113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0.823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8" w:line="197" w:lineRule="auto"/>
              <w:ind w:left="174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2</w:t>
            </w:r>
          </w:p>
        </w:tc>
        <w:tc>
          <w:tcPr>
            <w:tcW w:w="2755" w:type="dxa"/>
            <w:gridSpan w:val="2"/>
            <w:vAlign w:val="top"/>
          </w:tcPr>
          <w:p>
            <w:pPr>
              <w:spacing w:before="48" w:line="197" w:lineRule="auto"/>
              <w:ind w:left="118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9.35</w:t>
            </w:r>
            <w:r>
              <w:rPr>
                <w:rFonts w:ascii="Times New Roman" w:hAnsi="Times New Roman" w:eastAsia="Times New Roman" w:cs="Times New Roman"/>
                <w:color w:val="auto"/>
                <w:spacing w:val="2"/>
                <w:sz w:val="17"/>
                <w:szCs w:val="17"/>
                <w:highlight w:val="none"/>
              </w:rPr>
              <w:t>6</w:t>
            </w:r>
          </w:p>
        </w:tc>
        <w:tc>
          <w:tcPr>
            <w:tcW w:w="2770" w:type="dxa"/>
            <w:gridSpan w:val="2"/>
            <w:tcBorders>
              <w:right w:val="single" w:color="000000" w:sz="10" w:space="0"/>
            </w:tcBorders>
            <w:vAlign w:val="top"/>
          </w:tcPr>
          <w:p>
            <w:pPr>
              <w:spacing w:before="48" w:line="197" w:lineRule="auto"/>
              <w:ind w:left="113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7.708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9" w:line="197" w:lineRule="auto"/>
              <w:ind w:left="17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3</w:t>
            </w:r>
          </w:p>
        </w:tc>
        <w:tc>
          <w:tcPr>
            <w:tcW w:w="2755" w:type="dxa"/>
            <w:gridSpan w:val="2"/>
            <w:vAlign w:val="top"/>
          </w:tcPr>
          <w:p>
            <w:pPr>
              <w:spacing w:before="49" w:line="197" w:lineRule="auto"/>
              <w:ind w:left="118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8.905</w:t>
            </w:r>
          </w:p>
        </w:tc>
        <w:tc>
          <w:tcPr>
            <w:tcW w:w="2770" w:type="dxa"/>
            <w:gridSpan w:val="2"/>
            <w:tcBorders>
              <w:right w:val="single" w:color="000000" w:sz="10" w:space="0"/>
            </w:tcBorders>
            <w:vAlign w:val="top"/>
          </w:tcPr>
          <w:p>
            <w:pPr>
              <w:spacing w:before="49" w:line="197" w:lineRule="auto"/>
              <w:ind w:left="113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4.565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8" w:line="197" w:lineRule="auto"/>
              <w:ind w:left="174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4</w:t>
            </w:r>
          </w:p>
        </w:tc>
        <w:tc>
          <w:tcPr>
            <w:tcW w:w="2755" w:type="dxa"/>
            <w:gridSpan w:val="2"/>
            <w:vAlign w:val="top"/>
          </w:tcPr>
          <w:p>
            <w:pPr>
              <w:spacing w:before="48" w:line="197" w:lineRule="auto"/>
              <w:ind w:left="118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8.590</w:t>
            </w:r>
          </w:p>
        </w:tc>
        <w:tc>
          <w:tcPr>
            <w:tcW w:w="2770" w:type="dxa"/>
            <w:gridSpan w:val="2"/>
            <w:tcBorders>
              <w:right w:val="single" w:color="000000" w:sz="10" w:space="0"/>
            </w:tcBorders>
            <w:vAlign w:val="top"/>
          </w:tcPr>
          <w:p>
            <w:pPr>
              <w:spacing w:before="48" w:line="197" w:lineRule="auto"/>
              <w:ind w:left="113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1.608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2" w:line="194" w:lineRule="auto"/>
              <w:ind w:left="17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5</w:t>
            </w:r>
          </w:p>
        </w:tc>
        <w:tc>
          <w:tcPr>
            <w:tcW w:w="2755" w:type="dxa"/>
            <w:gridSpan w:val="2"/>
            <w:vAlign w:val="top"/>
          </w:tcPr>
          <w:p>
            <w:pPr>
              <w:spacing w:before="50" w:line="197" w:lineRule="auto"/>
              <w:ind w:left="118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8.437</w:t>
            </w:r>
          </w:p>
        </w:tc>
        <w:tc>
          <w:tcPr>
            <w:tcW w:w="2770" w:type="dxa"/>
            <w:gridSpan w:val="2"/>
            <w:tcBorders>
              <w:right w:val="single" w:color="000000" w:sz="10" w:space="0"/>
            </w:tcBorders>
            <w:vAlign w:val="top"/>
          </w:tcPr>
          <w:p>
            <w:pPr>
              <w:spacing w:before="49" w:line="197" w:lineRule="auto"/>
              <w:ind w:left="113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29</w:t>
            </w:r>
            <w:r>
              <w:rPr>
                <w:rFonts w:ascii="Times New Roman" w:hAnsi="Times New Roman" w:eastAsia="Times New Roman" w:cs="Times New Roman"/>
                <w:color w:val="auto"/>
                <w:spacing w:val="-3"/>
                <w:sz w:val="17"/>
                <w:szCs w:val="17"/>
                <w:highlight w:val="none"/>
              </w:rPr>
              <w:t>.</w:t>
            </w:r>
            <w:r>
              <w:rPr>
                <w:rFonts w:ascii="Times New Roman" w:hAnsi="Times New Roman" w:eastAsia="Times New Roman" w:cs="Times New Roman"/>
                <w:color w:val="auto"/>
                <w:spacing w:val="-2"/>
                <w:sz w:val="17"/>
                <w:szCs w:val="17"/>
                <w:highlight w:val="none"/>
              </w:rPr>
              <w:t xml:space="preserve"> 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8" w:line="197" w:lineRule="auto"/>
              <w:ind w:left="17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6</w:t>
            </w:r>
          </w:p>
        </w:tc>
        <w:tc>
          <w:tcPr>
            <w:tcW w:w="2755" w:type="dxa"/>
            <w:gridSpan w:val="2"/>
            <w:vAlign w:val="top"/>
          </w:tcPr>
          <w:p>
            <w:pPr>
              <w:spacing w:before="49" w:line="197" w:lineRule="auto"/>
              <w:ind w:left="118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8.460</w:t>
            </w:r>
          </w:p>
        </w:tc>
        <w:tc>
          <w:tcPr>
            <w:tcW w:w="2770" w:type="dxa"/>
            <w:gridSpan w:val="2"/>
            <w:tcBorders>
              <w:right w:val="single" w:color="000000" w:sz="10" w:space="0"/>
            </w:tcBorders>
            <w:vAlign w:val="top"/>
          </w:tcPr>
          <w:p>
            <w:pPr>
              <w:spacing w:before="48" w:line="197" w:lineRule="auto"/>
              <w:ind w:left="113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27.337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2" w:line="194" w:lineRule="auto"/>
              <w:ind w:left="175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7</w:t>
            </w:r>
          </w:p>
        </w:tc>
        <w:tc>
          <w:tcPr>
            <w:tcW w:w="2755" w:type="dxa"/>
            <w:gridSpan w:val="2"/>
            <w:vAlign w:val="top"/>
          </w:tcPr>
          <w:p>
            <w:pPr>
              <w:spacing w:before="50" w:line="197" w:lineRule="auto"/>
              <w:ind w:left="118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8.659</w:t>
            </w:r>
          </w:p>
        </w:tc>
        <w:tc>
          <w:tcPr>
            <w:tcW w:w="2770" w:type="dxa"/>
            <w:gridSpan w:val="2"/>
            <w:tcBorders>
              <w:right w:val="single" w:color="000000" w:sz="10" w:space="0"/>
            </w:tcBorders>
            <w:vAlign w:val="top"/>
          </w:tcPr>
          <w:p>
            <w:pPr>
              <w:spacing w:before="50" w:line="197" w:lineRule="auto"/>
              <w:ind w:left="113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26.576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1" w:hRule="atLeast"/>
        </w:trPr>
        <w:tc>
          <w:tcPr>
            <w:tcW w:w="3600" w:type="dxa"/>
            <w:gridSpan w:val="2"/>
            <w:tcBorders>
              <w:left w:val="single" w:color="000000" w:sz="10" w:space="0"/>
            </w:tcBorders>
            <w:vAlign w:val="top"/>
          </w:tcPr>
          <w:p>
            <w:pPr>
              <w:spacing w:before="49" w:line="197" w:lineRule="auto"/>
              <w:ind w:left="175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8</w:t>
            </w:r>
          </w:p>
        </w:tc>
        <w:tc>
          <w:tcPr>
            <w:tcW w:w="2755" w:type="dxa"/>
            <w:gridSpan w:val="2"/>
            <w:vAlign w:val="top"/>
          </w:tcPr>
          <w:p>
            <w:pPr>
              <w:spacing w:before="49" w:line="197" w:lineRule="auto"/>
              <w:ind w:left="118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9.02</w:t>
            </w:r>
            <w:r>
              <w:rPr>
                <w:rFonts w:ascii="Times New Roman" w:hAnsi="Times New Roman" w:eastAsia="Times New Roman" w:cs="Times New Roman"/>
                <w:color w:val="auto"/>
                <w:spacing w:val="2"/>
                <w:sz w:val="17"/>
                <w:szCs w:val="17"/>
                <w:highlight w:val="none"/>
              </w:rPr>
              <w:t>2</w:t>
            </w:r>
          </w:p>
        </w:tc>
        <w:tc>
          <w:tcPr>
            <w:tcW w:w="2770" w:type="dxa"/>
            <w:gridSpan w:val="2"/>
            <w:tcBorders>
              <w:right w:val="single" w:color="000000" w:sz="10" w:space="0"/>
            </w:tcBorders>
            <w:vAlign w:val="top"/>
          </w:tcPr>
          <w:p>
            <w:pPr>
              <w:spacing w:before="49" w:line="197" w:lineRule="auto"/>
              <w:ind w:left="113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26.961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9" w:line="197" w:lineRule="auto"/>
              <w:ind w:left="17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9</w:t>
            </w:r>
          </w:p>
        </w:tc>
        <w:tc>
          <w:tcPr>
            <w:tcW w:w="2755" w:type="dxa"/>
            <w:gridSpan w:val="2"/>
            <w:vAlign w:val="top"/>
          </w:tcPr>
          <w:p>
            <w:pPr>
              <w:spacing w:before="49" w:line="197" w:lineRule="auto"/>
              <w:ind w:left="118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9.52</w:t>
            </w:r>
            <w:r>
              <w:rPr>
                <w:rFonts w:ascii="Times New Roman" w:hAnsi="Times New Roman" w:eastAsia="Times New Roman" w:cs="Times New Roman"/>
                <w:color w:val="auto"/>
                <w:spacing w:val="2"/>
                <w:sz w:val="17"/>
                <w:szCs w:val="17"/>
                <w:highlight w:val="none"/>
              </w:rPr>
              <w:t>6</w:t>
            </w:r>
          </w:p>
        </w:tc>
        <w:tc>
          <w:tcPr>
            <w:tcW w:w="2770" w:type="dxa"/>
            <w:gridSpan w:val="2"/>
            <w:tcBorders>
              <w:right w:val="single" w:color="000000" w:sz="10" w:space="0"/>
            </w:tcBorders>
            <w:vAlign w:val="top"/>
          </w:tcPr>
          <w:p>
            <w:pPr>
              <w:spacing w:before="49" w:line="197" w:lineRule="auto"/>
              <w:ind w:left="113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28.444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0" w:line="197" w:lineRule="auto"/>
              <w:ind w:left="17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10</w:t>
            </w:r>
          </w:p>
        </w:tc>
        <w:tc>
          <w:tcPr>
            <w:tcW w:w="2755" w:type="dxa"/>
            <w:gridSpan w:val="2"/>
            <w:vAlign w:val="top"/>
          </w:tcPr>
          <w:p>
            <w:pPr>
              <w:spacing w:before="51" w:line="197"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1</w:t>
            </w:r>
            <w:r>
              <w:rPr>
                <w:rFonts w:ascii="Times New Roman" w:hAnsi="Times New Roman" w:eastAsia="Times New Roman" w:cs="Times New Roman"/>
                <w:color w:val="auto"/>
                <w:spacing w:val="-5"/>
                <w:sz w:val="17"/>
                <w:szCs w:val="17"/>
                <w:highlight w:val="none"/>
              </w:rPr>
              <w:t>0. 142</w:t>
            </w:r>
          </w:p>
        </w:tc>
        <w:tc>
          <w:tcPr>
            <w:tcW w:w="2770" w:type="dxa"/>
            <w:gridSpan w:val="2"/>
            <w:tcBorders>
              <w:right w:val="single" w:color="000000" w:sz="10" w:space="0"/>
            </w:tcBorders>
            <w:vAlign w:val="top"/>
          </w:tcPr>
          <w:p>
            <w:pPr>
              <w:spacing w:before="51" w:line="197" w:lineRule="auto"/>
              <w:ind w:left="113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0.819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9" w:line="197" w:lineRule="auto"/>
              <w:ind w:left="172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1</w:t>
            </w:r>
            <w:r>
              <w:rPr>
                <w:rFonts w:ascii="Times New Roman" w:hAnsi="Times New Roman" w:eastAsia="Times New Roman" w:cs="Times New Roman"/>
                <w:color w:val="auto"/>
                <w:spacing w:val="-7"/>
                <w:sz w:val="17"/>
                <w:szCs w:val="17"/>
                <w:highlight w:val="none"/>
              </w:rPr>
              <w:t>1</w:t>
            </w:r>
          </w:p>
        </w:tc>
        <w:tc>
          <w:tcPr>
            <w:tcW w:w="2755" w:type="dxa"/>
            <w:gridSpan w:val="2"/>
            <w:vAlign w:val="top"/>
          </w:tcPr>
          <w:p>
            <w:pPr>
              <w:spacing w:before="50" w:line="197"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0.842</w:t>
            </w:r>
          </w:p>
        </w:tc>
        <w:tc>
          <w:tcPr>
            <w:tcW w:w="2770" w:type="dxa"/>
            <w:gridSpan w:val="2"/>
            <w:tcBorders>
              <w:right w:val="single" w:color="000000" w:sz="10" w:space="0"/>
            </w:tcBorders>
            <w:vAlign w:val="top"/>
          </w:tcPr>
          <w:p>
            <w:pPr>
              <w:spacing w:before="50" w:line="197" w:lineRule="auto"/>
              <w:ind w:left="113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3.806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1" w:line="197" w:lineRule="auto"/>
              <w:ind w:left="17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12</w:t>
            </w:r>
          </w:p>
        </w:tc>
        <w:tc>
          <w:tcPr>
            <w:tcW w:w="2755" w:type="dxa"/>
            <w:gridSpan w:val="2"/>
            <w:vAlign w:val="top"/>
          </w:tcPr>
          <w:p>
            <w:pPr>
              <w:spacing w:before="51" w:line="197"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w:t>
            </w:r>
            <w:r>
              <w:rPr>
                <w:rFonts w:ascii="Times New Roman" w:hAnsi="Times New Roman" w:eastAsia="Times New Roman" w:cs="Times New Roman"/>
                <w:color w:val="auto"/>
                <w:sz w:val="17"/>
                <w:szCs w:val="17"/>
                <w:highlight w:val="none"/>
              </w:rPr>
              <w:t>1.599</w:t>
            </w:r>
          </w:p>
        </w:tc>
        <w:tc>
          <w:tcPr>
            <w:tcW w:w="2770" w:type="dxa"/>
            <w:gridSpan w:val="2"/>
            <w:tcBorders>
              <w:right w:val="single" w:color="000000" w:sz="10" w:space="0"/>
            </w:tcBorders>
            <w:vAlign w:val="top"/>
          </w:tcPr>
          <w:p>
            <w:pPr>
              <w:spacing w:before="51" w:line="197" w:lineRule="auto"/>
              <w:ind w:left="113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3</w:t>
            </w:r>
            <w:r>
              <w:rPr>
                <w:rFonts w:ascii="Times New Roman" w:hAnsi="Times New Roman" w:eastAsia="Times New Roman" w:cs="Times New Roman"/>
                <w:color w:val="auto"/>
                <w:spacing w:val="-3"/>
                <w:sz w:val="17"/>
                <w:szCs w:val="17"/>
                <w:highlight w:val="none"/>
              </w:rPr>
              <w:t>7. 125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0" w:line="197" w:lineRule="auto"/>
              <w:ind w:left="17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13</w:t>
            </w:r>
          </w:p>
        </w:tc>
        <w:tc>
          <w:tcPr>
            <w:tcW w:w="2755" w:type="dxa"/>
            <w:gridSpan w:val="2"/>
            <w:vAlign w:val="top"/>
          </w:tcPr>
          <w:p>
            <w:pPr>
              <w:spacing w:before="50" w:line="198"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2.391</w:t>
            </w:r>
          </w:p>
        </w:tc>
        <w:tc>
          <w:tcPr>
            <w:tcW w:w="2770" w:type="dxa"/>
            <w:gridSpan w:val="2"/>
            <w:tcBorders>
              <w:right w:val="single" w:color="000000" w:sz="10" w:space="0"/>
            </w:tcBorders>
            <w:vAlign w:val="top"/>
          </w:tcPr>
          <w:p>
            <w:pPr>
              <w:spacing w:before="50" w:line="197" w:lineRule="auto"/>
              <w:ind w:left="113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0.528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9" w:line="197" w:lineRule="auto"/>
              <w:ind w:left="17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14</w:t>
            </w:r>
          </w:p>
        </w:tc>
        <w:tc>
          <w:tcPr>
            <w:tcW w:w="2755" w:type="dxa"/>
            <w:gridSpan w:val="2"/>
            <w:vAlign w:val="top"/>
          </w:tcPr>
          <w:p>
            <w:pPr>
              <w:spacing w:before="49" w:line="197"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1</w:t>
            </w:r>
            <w:r>
              <w:rPr>
                <w:rFonts w:ascii="Times New Roman" w:hAnsi="Times New Roman" w:eastAsia="Times New Roman" w:cs="Times New Roman"/>
                <w:color w:val="auto"/>
                <w:spacing w:val="-5"/>
                <w:sz w:val="17"/>
                <w:szCs w:val="17"/>
                <w:highlight w:val="none"/>
              </w:rPr>
              <w:t>3. 199</w:t>
            </w:r>
          </w:p>
        </w:tc>
        <w:tc>
          <w:tcPr>
            <w:tcW w:w="2770" w:type="dxa"/>
            <w:gridSpan w:val="2"/>
            <w:tcBorders>
              <w:right w:val="single" w:color="000000" w:sz="10" w:space="0"/>
            </w:tcBorders>
            <w:vAlign w:val="top"/>
          </w:tcPr>
          <w:p>
            <w:pPr>
              <w:spacing w:before="49" w:line="197" w:lineRule="auto"/>
              <w:ind w:left="113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3.808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0" w:line="197" w:lineRule="auto"/>
              <w:ind w:left="17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15</w:t>
            </w:r>
          </w:p>
        </w:tc>
        <w:tc>
          <w:tcPr>
            <w:tcW w:w="2755" w:type="dxa"/>
            <w:gridSpan w:val="2"/>
            <w:vAlign w:val="top"/>
          </w:tcPr>
          <w:p>
            <w:pPr>
              <w:spacing w:before="50" w:line="198"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4.007</w:t>
            </w:r>
          </w:p>
        </w:tc>
        <w:tc>
          <w:tcPr>
            <w:tcW w:w="2770" w:type="dxa"/>
            <w:gridSpan w:val="2"/>
            <w:tcBorders>
              <w:right w:val="single" w:color="000000" w:sz="10" w:space="0"/>
            </w:tcBorders>
            <w:vAlign w:val="top"/>
          </w:tcPr>
          <w:p>
            <w:pPr>
              <w:spacing w:before="50" w:line="197" w:lineRule="auto"/>
              <w:ind w:left="113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6.797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9" w:line="197" w:lineRule="auto"/>
              <w:ind w:left="17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16</w:t>
            </w:r>
          </w:p>
        </w:tc>
        <w:tc>
          <w:tcPr>
            <w:tcW w:w="2755" w:type="dxa"/>
            <w:gridSpan w:val="2"/>
            <w:vAlign w:val="top"/>
          </w:tcPr>
          <w:p>
            <w:pPr>
              <w:spacing w:before="49" w:line="199"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4.484</w:t>
            </w:r>
          </w:p>
        </w:tc>
        <w:tc>
          <w:tcPr>
            <w:tcW w:w="2770" w:type="dxa"/>
            <w:gridSpan w:val="2"/>
            <w:tcBorders>
              <w:right w:val="single" w:color="000000" w:sz="10" w:space="0"/>
            </w:tcBorders>
            <w:vAlign w:val="top"/>
          </w:tcPr>
          <w:p>
            <w:pPr>
              <w:spacing w:before="49" w:line="197" w:lineRule="auto"/>
              <w:ind w:left="113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3"/>
                <w:sz w:val="17"/>
                <w:szCs w:val="17"/>
                <w:highlight w:val="none"/>
              </w:rPr>
              <w:t>8. 117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0" w:line="197" w:lineRule="auto"/>
              <w:ind w:left="17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17</w:t>
            </w:r>
          </w:p>
        </w:tc>
        <w:tc>
          <w:tcPr>
            <w:tcW w:w="2755" w:type="dxa"/>
            <w:gridSpan w:val="2"/>
            <w:vAlign w:val="top"/>
          </w:tcPr>
          <w:p>
            <w:pPr>
              <w:spacing w:before="50" w:line="198"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4.205</w:t>
            </w:r>
          </w:p>
        </w:tc>
        <w:tc>
          <w:tcPr>
            <w:tcW w:w="2770" w:type="dxa"/>
            <w:gridSpan w:val="2"/>
            <w:tcBorders>
              <w:right w:val="single" w:color="000000" w:sz="10" w:space="0"/>
            </w:tcBorders>
            <w:vAlign w:val="top"/>
          </w:tcPr>
          <w:p>
            <w:pPr>
              <w:spacing w:before="51" w:line="197" w:lineRule="auto"/>
              <w:ind w:left="113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6.210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9" w:line="197" w:lineRule="auto"/>
              <w:ind w:left="17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18</w:t>
            </w:r>
          </w:p>
        </w:tc>
        <w:tc>
          <w:tcPr>
            <w:tcW w:w="2755" w:type="dxa"/>
            <w:gridSpan w:val="2"/>
            <w:vAlign w:val="top"/>
          </w:tcPr>
          <w:p>
            <w:pPr>
              <w:spacing w:before="50" w:line="197"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3.915</w:t>
            </w:r>
          </w:p>
        </w:tc>
        <w:tc>
          <w:tcPr>
            <w:tcW w:w="2770" w:type="dxa"/>
            <w:gridSpan w:val="2"/>
            <w:tcBorders>
              <w:right w:val="single" w:color="000000" w:sz="10" w:space="0"/>
            </w:tcBorders>
            <w:vAlign w:val="top"/>
          </w:tcPr>
          <w:p>
            <w:pPr>
              <w:spacing w:before="49" w:line="199" w:lineRule="auto"/>
              <w:ind w:left="113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3"/>
                <w:sz w:val="17"/>
                <w:szCs w:val="17"/>
                <w:highlight w:val="none"/>
              </w:rPr>
              <w:t>4. 112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1" w:line="197" w:lineRule="auto"/>
              <w:ind w:left="17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19</w:t>
            </w:r>
          </w:p>
        </w:tc>
        <w:tc>
          <w:tcPr>
            <w:tcW w:w="2755" w:type="dxa"/>
            <w:gridSpan w:val="2"/>
            <w:vAlign w:val="top"/>
          </w:tcPr>
          <w:p>
            <w:pPr>
              <w:spacing w:before="51" w:line="197"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3.616</w:t>
            </w:r>
          </w:p>
        </w:tc>
        <w:tc>
          <w:tcPr>
            <w:tcW w:w="2770" w:type="dxa"/>
            <w:gridSpan w:val="2"/>
            <w:tcBorders>
              <w:right w:val="single" w:color="000000" w:sz="10" w:space="0"/>
            </w:tcBorders>
            <w:vAlign w:val="top"/>
          </w:tcPr>
          <w:p>
            <w:pPr>
              <w:spacing w:before="51" w:line="197" w:lineRule="auto"/>
              <w:ind w:left="113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1.878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0" w:line="197" w:lineRule="auto"/>
              <w:ind w:left="17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w:t>
            </w:r>
            <w:r>
              <w:rPr>
                <w:rFonts w:ascii="Times New Roman" w:hAnsi="Times New Roman" w:eastAsia="Times New Roman" w:cs="Times New Roman"/>
                <w:color w:val="auto"/>
                <w:spacing w:val="3"/>
                <w:sz w:val="17"/>
                <w:szCs w:val="17"/>
                <w:highlight w:val="none"/>
              </w:rPr>
              <w:t>0</w:t>
            </w:r>
          </w:p>
        </w:tc>
        <w:tc>
          <w:tcPr>
            <w:tcW w:w="2755" w:type="dxa"/>
            <w:gridSpan w:val="2"/>
            <w:vAlign w:val="top"/>
          </w:tcPr>
          <w:p>
            <w:pPr>
              <w:spacing w:before="50" w:line="197"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3.309</w:t>
            </w:r>
          </w:p>
        </w:tc>
        <w:tc>
          <w:tcPr>
            <w:tcW w:w="2770" w:type="dxa"/>
            <w:gridSpan w:val="2"/>
            <w:tcBorders>
              <w:right w:val="single" w:color="000000" w:sz="10" w:space="0"/>
            </w:tcBorders>
            <w:vAlign w:val="top"/>
          </w:tcPr>
          <w:p>
            <w:pPr>
              <w:spacing w:before="50" w:line="197" w:lineRule="auto"/>
              <w:ind w:left="113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9.566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9" w:line="197" w:lineRule="auto"/>
              <w:ind w:left="17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w:t>
            </w:r>
            <w:r>
              <w:rPr>
                <w:rFonts w:ascii="Times New Roman" w:hAnsi="Times New Roman" w:eastAsia="Times New Roman" w:cs="Times New Roman"/>
                <w:color w:val="auto"/>
                <w:spacing w:val="3"/>
                <w:sz w:val="17"/>
                <w:szCs w:val="17"/>
                <w:highlight w:val="none"/>
              </w:rPr>
              <w:t>1</w:t>
            </w:r>
          </w:p>
        </w:tc>
        <w:tc>
          <w:tcPr>
            <w:tcW w:w="2755" w:type="dxa"/>
            <w:gridSpan w:val="2"/>
            <w:vAlign w:val="top"/>
          </w:tcPr>
          <w:p>
            <w:pPr>
              <w:spacing w:before="49" w:line="199"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hint="eastAsia" w:ascii="Times New Roman" w:hAnsi="Times New Roman" w:eastAsia="宋体" w:cs="Times New Roman"/>
                <w:color w:val="auto"/>
                <w:spacing w:val="1"/>
                <w:sz w:val="17"/>
                <w:szCs w:val="17"/>
                <w:highlight w:val="none"/>
                <w:lang w:eastAsia="zh-CN"/>
              </w:rPr>
              <w:t>13.735</w:t>
            </w:r>
            <w:r>
              <w:rPr>
                <w:rFonts w:ascii="Times New Roman" w:hAnsi="Times New Roman" w:eastAsia="Times New Roman" w:cs="Times New Roman"/>
                <w:color w:val="auto"/>
                <w:spacing w:val="1"/>
                <w:sz w:val="17"/>
                <w:szCs w:val="17"/>
                <w:highlight w:val="none"/>
              </w:rPr>
              <w:t>5</w:t>
            </w:r>
          </w:p>
        </w:tc>
        <w:tc>
          <w:tcPr>
            <w:tcW w:w="2770" w:type="dxa"/>
            <w:gridSpan w:val="2"/>
            <w:tcBorders>
              <w:right w:val="single" w:color="000000" w:sz="10" w:space="0"/>
            </w:tcBorders>
            <w:vAlign w:val="top"/>
          </w:tcPr>
          <w:p>
            <w:pPr>
              <w:spacing w:before="49" w:line="197" w:lineRule="auto"/>
              <w:ind w:left="113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7.233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0" w:line="197" w:lineRule="auto"/>
              <w:ind w:left="17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w:t>
            </w:r>
            <w:r>
              <w:rPr>
                <w:rFonts w:ascii="Times New Roman" w:hAnsi="Times New Roman" w:eastAsia="Times New Roman" w:cs="Times New Roman"/>
                <w:color w:val="auto"/>
                <w:spacing w:val="3"/>
                <w:sz w:val="17"/>
                <w:szCs w:val="17"/>
                <w:highlight w:val="none"/>
              </w:rPr>
              <w:t>2</w:t>
            </w:r>
          </w:p>
        </w:tc>
        <w:tc>
          <w:tcPr>
            <w:tcW w:w="2755" w:type="dxa"/>
            <w:gridSpan w:val="2"/>
            <w:vAlign w:val="top"/>
          </w:tcPr>
          <w:p>
            <w:pPr>
              <w:spacing w:before="50" w:line="198"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2.677</w:t>
            </w:r>
          </w:p>
        </w:tc>
        <w:tc>
          <w:tcPr>
            <w:tcW w:w="2770" w:type="dxa"/>
            <w:gridSpan w:val="2"/>
            <w:tcBorders>
              <w:right w:val="single" w:color="000000" w:sz="10" w:space="0"/>
            </w:tcBorders>
            <w:vAlign w:val="top"/>
          </w:tcPr>
          <w:p>
            <w:pPr>
              <w:spacing w:before="51" w:line="197" w:lineRule="auto"/>
              <w:ind w:left="113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4.930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9" w:line="197" w:lineRule="auto"/>
              <w:ind w:left="17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w:t>
            </w:r>
            <w:r>
              <w:rPr>
                <w:rFonts w:ascii="Times New Roman" w:hAnsi="Times New Roman" w:eastAsia="Times New Roman" w:cs="Times New Roman"/>
                <w:color w:val="auto"/>
                <w:spacing w:val="3"/>
                <w:sz w:val="17"/>
                <w:szCs w:val="17"/>
                <w:highlight w:val="none"/>
              </w:rPr>
              <w:t>3</w:t>
            </w:r>
          </w:p>
        </w:tc>
        <w:tc>
          <w:tcPr>
            <w:tcW w:w="2755" w:type="dxa"/>
            <w:gridSpan w:val="2"/>
            <w:vAlign w:val="top"/>
          </w:tcPr>
          <w:p>
            <w:pPr>
              <w:spacing w:before="49" w:line="199"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2.355</w:t>
            </w:r>
          </w:p>
        </w:tc>
        <w:tc>
          <w:tcPr>
            <w:tcW w:w="2770" w:type="dxa"/>
            <w:gridSpan w:val="2"/>
            <w:tcBorders>
              <w:right w:val="single" w:color="000000" w:sz="10" w:space="0"/>
            </w:tcBorders>
            <w:vAlign w:val="top"/>
          </w:tcPr>
          <w:p>
            <w:pPr>
              <w:spacing w:before="50" w:line="197" w:lineRule="auto"/>
              <w:ind w:left="113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2.696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1" w:line="197" w:lineRule="auto"/>
              <w:ind w:left="17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w:t>
            </w:r>
            <w:r>
              <w:rPr>
                <w:rFonts w:ascii="Times New Roman" w:hAnsi="Times New Roman" w:eastAsia="Times New Roman" w:cs="Times New Roman"/>
                <w:color w:val="auto"/>
                <w:spacing w:val="3"/>
                <w:sz w:val="17"/>
                <w:szCs w:val="17"/>
                <w:highlight w:val="none"/>
              </w:rPr>
              <w:t>4</w:t>
            </w:r>
          </w:p>
        </w:tc>
        <w:tc>
          <w:tcPr>
            <w:tcW w:w="2755" w:type="dxa"/>
            <w:gridSpan w:val="2"/>
            <w:vAlign w:val="top"/>
          </w:tcPr>
          <w:p>
            <w:pPr>
              <w:spacing w:before="51" w:line="197"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2.030</w:t>
            </w:r>
          </w:p>
        </w:tc>
        <w:tc>
          <w:tcPr>
            <w:tcW w:w="2770" w:type="dxa"/>
            <w:gridSpan w:val="2"/>
            <w:tcBorders>
              <w:right w:val="single" w:color="000000" w:sz="10" w:space="0"/>
            </w:tcBorders>
            <w:vAlign w:val="top"/>
          </w:tcPr>
          <w:p>
            <w:pPr>
              <w:spacing w:before="51" w:line="197" w:lineRule="auto"/>
              <w:ind w:left="113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0.561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0" w:line="197" w:lineRule="auto"/>
              <w:ind w:left="17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w:t>
            </w:r>
            <w:r>
              <w:rPr>
                <w:rFonts w:ascii="Times New Roman" w:hAnsi="Times New Roman" w:eastAsia="Times New Roman" w:cs="Times New Roman"/>
                <w:color w:val="auto"/>
                <w:spacing w:val="3"/>
                <w:sz w:val="17"/>
                <w:szCs w:val="17"/>
                <w:highlight w:val="none"/>
              </w:rPr>
              <w:t>5</w:t>
            </w:r>
          </w:p>
        </w:tc>
        <w:tc>
          <w:tcPr>
            <w:tcW w:w="2755" w:type="dxa"/>
            <w:gridSpan w:val="2"/>
            <w:vAlign w:val="top"/>
          </w:tcPr>
          <w:p>
            <w:pPr>
              <w:spacing w:before="49" w:line="199"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w:t>
            </w:r>
            <w:r>
              <w:rPr>
                <w:rFonts w:ascii="Times New Roman" w:hAnsi="Times New Roman" w:eastAsia="Times New Roman" w:cs="Times New Roman"/>
                <w:color w:val="auto"/>
                <w:sz w:val="17"/>
                <w:szCs w:val="17"/>
                <w:highlight w:val="none"/>
              </w:rPr>
              <w:t>1.705</w:t>
            </w:r>
          </w:p>
        </w:tc>
        <w:tc>
          <w:tcPr>
            <w:tcW w:w="2770" w:type="dxa"/>
            <w:gridSpan w:val="2"/>
            <w:tcBorders>
              <w:right w:val="single" w:color="000000" w:sz="10" w:space="0"/>
            </w:tcBorders>
            <w:vAlign w:val="top"/>
          </w:tcPr>
          <w:p>
            <w:pPr>
              <w:spacing w:before="50" w:line="197" w:lineRule="auto"/>
              <w:ind w:left="113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28.543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49" w:line="197" w:lineRule="auto"/>
              <w:ind w:left="17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w:t>
            </w:r>
            <w:r>
              <w:rPr>
                <w:rFonts w:ascii="Times New Roman" w:hAnsi="Times New Roman" w:eastAsia="Times New Roman" w:cs="Times New Roman"/>
                <w:color w:val="auto"/>
                <w:spacing w:val="3"/>
                <w:sz w:val="17"/>
                <w:szCs w:val="17"/>
                <w:highlight w:val="none"/>
              </w:rPr>
              <w:t>6</w:t>
            </w:r>
          </w:p>
        </w:tc>
        <w:tc>
          <w:tcPr>
            <w:tcW w:w="2755" w:type="dxa"/>
            <w:gridSpan w:val="2"/>
            <w:vAlign w:val="top"/>
          </w:tcPr>
          <w:p>
            <w:pPr>
              <w:spacing w:before="49" w:line="200"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w:t>
            </w:r>
            <w:r>
              <w:rPr>
                <w:rFonts w:ascii="Times New Roman" w:hAnsi="Times New Roman" w:eastAsia="Times New Roman" w:cs="Times New Roman"/>
                <w:color w:val="auto"/>
                <w:sz w:val="17"/>
                <w:szCs w:val="17"/>
                <w:highlight w:val="none"/>
              </w:rPr>
              <w:t>1.381</w:t>
            </w:r>
          </w:p>
        </w:tc>
        <w:tc>
          <w:tcPr>
            <w:tcW w:w="2770" w:type="dxa"/>
            <w:gridSpan w:val="2"/>
            <w:tcBorders>
              <w:right w:val="single" w:color="000000" w:sz="10" w:space="0"/>
            </w:tcBorders>
            <w:vAlign w:val="top"/>
          </w:tcPr>
          <w:p>
            <w:pPr>
              <w:spacing w:before="49" w:line="197" w:lineRule="auto"/>
              <w:ind w:left="113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26.652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12" w:hRule="atLeast"/>
        </w:trPr>
        <w:tc>
          <w:tcPr>
            <w:tcW w:w="3600" w:type="dxa"/>
            <w:gridSpan w:val="2"/>
            <w:tcBorders>
              <w:left w:val="single" w:color="000000" w:sz="10" w:space="0"/>
            </w:tcBorders>
            <w:vAlign w:val="top"/>
          </w:tcPr>
          <w:p>
            <w:pPr>
              <w:spacing w:before="50" w:line="197" w:lineRule="auto"/>
              <w:ind w:left="17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w:t>
            </w:r>
            <w:r>
              <w:rPr>
                <w:rFonts w:ascii="Times New Roman" w:hAnsi="Times New Roman" w:eastAsia="Times New Roman" w:cs="Times New Roman"/>
                <w:color w:val="auto"/>
                <w:spacing w:val="3"/>
                <w:sz w:val="17"/>
                <w:szCs w:val="17"/>
                <w:highlight w:val="none"/>
              </w:rPr>
              <w:t>7</w:t>
            </w:r>
          </w:p>
        </w:tc>
        <w:tc>
          <w:tcPr>
            <w:tcW w:w="2755" w:type="dxa"/>
            <w:gridSpan w:val="2"/>
            <w:vAlign w:val="top"/>
          </w:tcPr>
          <w:p>
            <w:pPr>
              <w:spacing w:before="50" w:line="198"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w:t>
            </w:r>
            <w:r>
              <w:rPr>
                <w:rFonts w:ascii="Times New Roman" w:hAnsi="Times New Roman" w:eastAsia="Times New Roman" w:cs="Times New Roman"/>
                <w:color w:val="auto"/>
                <w:sz w:val="17"/>
                <w:szCs w:val="17"/>
                <w:highlight w:val="none"/>
              </w:rPr>
              <w:t>1.058</w:t>
            </w:r>
          </w:p>
        </w:tc>
        <w:tc>
          <w:tcPr>
            <w:tcW w:w="2770" w:type="dxa"/>
            <w:gridSpan w:val="2"/>
            <w:tcBorders>
              <w:right w:val="single" w:color="000000" w:sz="10" w:space="0"/>
            </w:tcBorders>
            <w:vAlign w:val="top"/>
          </w:tcPr>
          <w:p>
            <w:pPr>
              <w:spacing w:before="50" w:line="198" w:lineRule="auto"/>
              <w:ind w:left="113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24.893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34" w:hRule="atLeast"/>
        </w:trPr>
        <w:tc>
          <w:tcPr>
            <w:tcW w:w="3600" w:type="dxa"/>
            <w:gridSpan w:val="2"/>
            <w:tcBorders>
              <w:left w:val="single" w:color="000000" w:sz="10" w:space="0"/>
            </w:tcBorders>
            <w:vAlign w:val="top"/>
          </w:tcPr>
          <w:p>
            <w:pPr>
              <w:spacing w:before="49" w:line="197" w:lineRule="auto"/>
              <w:ind w:left="17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w:t>
            </w:r>
            <w:r>
              <w:rPr>
                <w:rFonts w:ascii="Times New Roman" w:hAnsi="Times New Roman" w:eastAsia="Times New Roman" w:cs="Times New Roman"/>
                <w:color w:val="auto"/>
                <w:spacing w:val="3"/>
                <w:sz w:val="17"/>
                <w:szCs w:val="17"/>
                <w:highlight w:val="none"/>
              </w:rPr>
              <w:t>8</w:t>
            </w:r>
          </w:p>
        </w:tc>
        <w:tc>
          <w:tcPr>
            <w:tcW w:w="2755" w:type="dxa"/>
            <w:gridSpan w:val="2"/>
            <w:vAlign w:val="top"/>
          </w:tcPr>
          <w:p>
            <w:pPr>
              <w:spacing w:before="49" w:line="197"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0.737</w:t>
            </w:r>
          </w:p>
        </w:tc>
        <w:tc>
          <w:tcPr>
            <w:tcW w:w="2770" w:type="dxa"/>
            <w:gridSpan w:val="2"/>
            <w:tcBorders>
              <w:right w:val="single" w:color="000000" w:sz="10" w:space="0"/>
            </w:tcBorders>
            <w:vAlign w:val="top"/>
          </w:tcPr>
          <w:p>
            <w:pPr>
              <w:spacing w:before="49" w:line="197" w:lineRule="auto"/>
              <w:ind w:left="113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23.264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19" w:hRule="atLeast"/>
        </w:trPr>
        <w:tc>
          <w:tcPr>
            <w:tcW w:w="3600" w:type="dxa"/>
            <w:gridSpan w:val="2"/>
            <w:tcBorders>
              <w:left w:val="single" w:color="000000" w:sz="10" w:space="0"/>
            </w:tcBorders>
            <w:vAlign w:val="top"/>
          </w:tcPr>
          <w:p>
            <w:pPr>
              <w:spacing w:before="69" w:line="183" w:lineRule="auto"/>
              <w:ind w:left="17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w:t>
            </w:r>
            <w:r>
              <w:rPr>
                <w:rFonts w:ascii="Times New Roman" w:hAnsi="Times New Roman" w:eastAsia="Times New Roman" w:cs="Times New Roman"/>
                <w:color w:val="auto"/>
                <w:spacing w:val="3"/>
                <w:sz w:val="17"/>
                <w:szCs w:val="17"/>
                <w:highlight w:val="none"/>
              </w:rPr>
              <w:t>9</w:t>
            </w:r>
          </w:p>
        </w:tc>
        <w:tc>
          <w:tcPr>
            <w:tcW w:w="2755" w:type="dxa"/>
            <w:gridSpan w:val="2"/>
            <w:vAlign w:val="top"/>
          </w:tcPr>
          <w:p>
            <w:pPr>
              <w:spacing w:before="69" w:line="183"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0 421</w:t>
            </w:r>
          </w:p>
        </w:tc>
        <w:tc>
          <w:tcPr>
            <w:tcW w:w="2770" w:type="dxa"/>
            <w:gridSpan w:val="2"/>
            <w:tcBorders>
              <w:right w:val="single" w:color="000000" w:sz="10" w:space="0"/>
            </w:tcBorders>
            <w:vAlign w:val="top"/>
          </w:tcPr>
          <w:p>
            <w:pPr>
              <w:spacing w:before="69" w:line="183" w:lineRule="auto"/>
              <w:ind w:left="113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21 760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29" w:hRule="atLeast"/>
        </w:trPr>
        <w:tc>
          <w:tcPr>
            <w:tcW w:w="3600" w:type="dxa"/>
            <w:gridSpan w:val="2"/>
            <w:tcBorders>
              <w:left w:val="single" w:color="000000" w:sz="10" w:space="0"/>
            </w:tcBorders>
            <w:vAlign w:val="top"/>
          </w:tcPr>
          <w:p>
            <w:pPr>
              <w:spacing w:before="61" w:line="197" w:lineRule="auto"/>
              <w:ind w:left="171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0</w:t>
            </w:r>
          </w:p>
        </w:tc>
        <w:tc>
          <w:tcPr>
            <w:tcW w:w="2755" w:type="dxa"/>
            <w:gridSpan w:val="2"/>
            <w:vAlign w:val="top"/>
          </w:tcPr>
          <w:p>
            <w:pPr>
              <w:spacing w:before="61" w:line="197" w:lineRule="auto"/>
              <w:ind w:left="11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1</w:t>
            </w:r>
            <w:r>
              <w:rPr>
                <w:rFonts w:ascii="Times New Roman" w:hAnsi="Times New Roman" w:eastAsia="Times New Roman" w:cs="Times New Roman"/>
                <w:color w:val="auto"/>
                <w:spacing w:val="-5"/>
                <w:sz w:val="17"/>
                <w:szCs w:val="17"/>
                <w:highlight w:val="none"/>
              </w:rPr>
              <w:t>0. 108</w:t>
            </w:r>
          </w:p>
        </w:tc>
        <w:tc>
          <w:tcPr>
            <w:tcW w:w="2770" w:type="dxa"/>
            <w:gridSpan w:val="2"/>
            <w:tcBorders>
              <w:right w:val="single" w:color="000000" w:sz="10" w:space="0"/>
            </w:tcBorders>
            <w:vAlign w:val="top"/>
          </w:tcPr>
          <w:p>
            <w:pPr>
              <w:spacing w:before="61" w:line="197" w:lineRule="auto"/>
              <w:ind w:left="113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20.375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12" w:hRule="atLeast"/>
        </w:trPr>
        <w:tc>
          <w:tcPr>
            <w:tcW w:w="3600" w:type="dxa"/>
            <w:gridSpan w:val="2"/>
            <w:tcBorders>
              <w:left w:val="single" w:color="000000" w:sz="10" w:space="0"/>
            </w:tcBorders>
            <w:vAlign w:val="top"/>
          </w:tcPr>
          <w:p>
            <w:pPr>
              <w:spacing w:before="43" w:line="197" w:lineRule="auto"/>
              <w:ind w:left="171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1</w:t>
            </w:r>
          </w:p>
        </w:tc>
        <w:tc>
          <w:tcPr>
            <w:tcW w:w="2755" w:type="dxa"/>
            <w:gridSpan w:val="2"/>
            <w:vAlign w:val="top"/>
          </w:tcPr>
          <w:p>
            <w:pPr>
              <w:spacing w:before="43" w:line="197" w:lineRule="auto"/>
              <w:ind w:left="118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9.80</w:t>
            </w:r>
            <w:r>
              <w:rPr>
                <w:rFonts w:ascii="Times New Roman" w:hAnsi="Times New Roman" w:eastAsia="Times New Roman" w:cs="Times New Roman"/>
                <w:color w:val="auto"/>
                <w:spacing w:val="2"/>
                <w:sz w:val="17"/>
                <w:szCs w:val="17"/>
                <w:highlight w:val="none"/>
              </w:rPr>
              <w:t>2</w:t>
            </w:r>
          </w:p>
        </w:tc>
        <w:tc>
          <w:tcPr>
            <w:tcW w:w="2770" w:type="dxa"/>
            <w:gridSpan w:val="2"/>
            <w:tcBorders>
              <w:right w:val="single" w:color="000000" w:sz="10" w:space="0"/>
            </w:tcBorders>
            <w:vAlign w:val="top"/>
          </w:tcPr>
          <w:p>
            <w:pPr>
              <w:spacing w:before="43" w:line="197"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1</w:t>
            </w:r>
            <w:r>
              <w:rPr>
                <w:rFonts w:ascii="Times New Roman" w:hAnsi="Times New Roman" w:eastAsia="Times New Roman" w:cs="Times New Roman"/>
                <w:color w:val="auto"/>
                <w:spacing w:val="-5"/>
                <w:sz w:val="17"/>
                <w:szCs w:val="17"/>
                <w:highlight w:val="none"/>
              </w:rPr>
              <w:t>9. 101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94" w:hRule="atLeast"/>
        </w:trPr>
        <w:tc>
          <w:tcPr>
            <w:tcW w:w="3600" w:type="dxa"/>
            <w:gridSpan w:val="2"/>
            <w:tcBorders>
              <w:left w:val="single" w:color="000000" w:sz="10" w:space="0"/>
            </w:tcBorders>
            <w:vAlign w:val="top"/>
          </w:tcPr>
          <w:p>
            <w:pPr>
              <w:spacing w:before="44" w:line="183" w:lineRule="auto"/>
              <w:ind w:left="171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2</w:t>
            </w:r>
          </w:p>
        </w:tc>
        <w:tc>
          <w:tcPr>
            <w:tcW w:w="2755" w:type="dxa"/>
            <w:gridSpan w:val="2"/>
            <w:vAlign w:val="top"/>
          </w:tcPr>
          <w:p>
            <w:pPr>
              <w:spacing w:before="44" w:line="183" w:lineRule="auto"/>
              <w:ind w:left="118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9 50</w:t>
            </w:r>
            <w:r>
              <w:rPr>
                <w:rFonts w:ascii="Times New Roman" w:hAnsi="Times New Roman" w:eastAsia="Times New Roman" w:cs="Times New Roman"/>
                <w:color w:val="auto"/>
                <w:spacing w:val="2"/>
                <w:sz w:val="17"/>
                <w:szCs w:val="17"/>
                <w:highlight w:val="none"/>
              </w:rPr>
              <w:t>1</w:t>
            </w:r>
          </w:p>
        </w:tc>
        <w:tc>
          <w:tcPr>
            <w:tcW w:w="2770" w:type="dxa"/>
            <w:gridSpan w:val="2"/>
            <w:tcBorders>
              <w:right w:val="single" w:color="000000" w:sz="10" w:space="0"/>
            </w:tcBorders>
            <w:vAlign w:val="top"/>
          </w:tcPr>
          <w:p>
            <w:pPr>
              <w:spacing w:before="44" w:line="183"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7 930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29" w:hRule="atLeast"/>
        </w:trPr>
        <w:tc>
          <w:tcPr>
            <w:tcW w:w="3600" w:type="dxa"/>
            <w:gridSpan w:val="2"/>
            <w:tcBorders>
              <w:left w:val="single" w:color="000000" w:sz="10" w:space="0"/>
            </w:tcBorders>
            <w:vAlign w:val="top"/>
          </w:tcPr>
          <w:p>
            <w:pPr>
              <w:spacing w:before="61" w:line="197" w:lineRule="auto"/>
              <w:ind w:left="171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3</w:t>
            </w:r>
          </w:p>
        </w:tc>
        <w:tc>
          <w:tcPr>
            <w:tcW w:w="2755" w:type="dxa"/>
            <w:gridSpan w:val="2"/>
            <w:vAlign w:val="top"/>
          </w:tcPr>
          <w:p>
            <w:pPr>
              <w:spacing w:before="61" w:line="197" w:lineRule="auto"/>
              <w:ind w:left="118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9.20</w:t>
            </w:r>
            <w:r>
              <w:rPr>
                <w:rFonts w:ascii="Times New Roman" w:hAnsi="Times New Roman" w:eastAsia="Times New Roman" w:cs="Times New Roman"/>
                <w:color w:val="auto"/>
                <w:spacing w:val="2"/>
                <w:sz w:val="17"/>
                <w:szCs w:val="17"/>
                <w:highlight w:val="none"/>
              </w:rPr>
              <w:t>7</w:t>
            </w:r>
          </w:p>
        </w:tc>
        <w:tc>
          <w:tcPr>
            <w:tcW w:w="2770" w:type="dxa"/>
            <w:gridSpan w:val="2"/>
            <w:tcBorders>
              <w:right w:val="single" w:color="000000" w:sz="10" w:space="0"/>
            </w:tcBorders>
            <w:vAlign w:val="top"/>
          </w:tcPr>
          <w:p>
            <w:pPr>
              <w:spacing w:before="62" w:line="197"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6.853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95" w:hRule="atLeast"/>
        </w:trPr>
        <w:tc>
          <w:tcPr>
            <w:tcW w:w="3600" w:type="dxa"/>
            <w:gridSpan w:val="2"/>
            <w:tcBorders>
              <w:left w:val="single" w:color="000000" w:sz="10" w:space="0"/>
            </w:tcBorders>
            <w:vAlign w:val="top"/>
          </w:tcPr>
          <w:p>
            <w:pPr>
              <w:spacing w:before="46" w:line="182" w:lineRule="auto"/>
              <w:ind w:left="171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4</w:t>
            </w:r>
          </w:p>
        </w:tc>
        <w:tc>
          <w:tcPr>
            <w:tcW w:w="2755" w:type="dxa"/>
            <w:gridSpan w:val="2"/>
            <w:vAlign w:val="top"/>
          </w:tcPr>
          <w:p>
            <w:pPr>
              <w:spacing w:before="46" w:line="182" w:lineRule="auto"/>
              <w:ind w:left="118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8 920</w:t>
            </w:r>
          </w:p>
        </w:tc>
        <w:tc>
          <w:tcPr>
            <w:tcW w:w="2770" w:type="dxa"/>
            <w:gridSpan w:val="2"/>
            <w:tcBorders>
              <w:right w:val="single" w:color="000000" w:sz="10" w:space="0"/>
            </w:tcBorders>
            <w:vAlign w:val="top"/>
          </w:tcPr>
          <w:p>
            <w:pPr>
              <w:spacing w:before="46" w:line="182"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5 863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29" w:hRule="atLeast"/>
        </w:trPr>
        <w:tc>
          <w:tcPr>
            <w:tcW w:w="3600" w:type="dxa"/>
            <w:gridSpan w:val="2"/>
            <w:tcBorders>
              <w:left w:val="single" w:color="000000" w:sz="10" w:space="0"/>
            </w:tcBorders>
            <w:vAlign w:val="top"/>
          </w:tcPr>
          <w:p>
            <w:pPr>
              <w:spacing w:before="62" w:line="197" w:lineRule="auto"/>
              <w:ind w:left="171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5</w:t>
            </w:r>
          </w:p>
        </w:tc>
        <w:tc>
          <w:tcPr>
            <w:tcW w:w="2755" w:type="dxa"/>
            <w:gridSpan w:val="2"/>
            <w:vAlign w:val="top"/>
          </w:tcPr>
          <w:p>
            <w:pPr>
              <w:spacing w:before="62" w:line="197" w:lineRule="auto"/>
              <w:ind w:left="118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8.640</w:t>
            </w:r>
          </w:p>
        </w:tc>
        <w:tc>
          <w:tcPr>
            <w:tcW w:w="2770" w:type="dxa"/>
            <w:gridSpan w:val="2"/>
            <w:tcBorders>
              <w:right w:val="single" w:color="000000" w:sz="10" w:space="0"/>
            </w:tcBorders>
            <w:vAlign w:val="top"/>
          </w:tcPr>
          <w:p>
            <w:pPr>
              <w:spacing w:before="62" w:line="200"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4.952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12" w:hRule="atLeast"/>
        </w:trPr>
        <w:tc>
          <w:tcPr>
            <w:tcW w:w="3600" w:type="dxa"/>
            <w:gridSpan w:val="2"/>
            <w:tcBorders>
              <w:left w:val="single" w:color="000000" w:sz="10" w:space="0"/>
            </w:tcBorders>
            <w:vAlign w:val="top"/>
          </w:tcPr>
          <w:p>
            <w:pPr>
              <w:spacing w:before="44" w:line="197" w:lineRule="auto"/>
              <w:ind w:left="171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6</w:t>
            </w:r>
          </w:p>
        </w:tc>
        <w:tc>
          <w:tcPr>
            <w:tcW w:w="2755" w:type="dxa"/>
            <w:gridSpan w:val="2"/>
            <w:vAlign w:val="top"/>
          </w:tcPr>
          <w:p>
            <w:pPr>
              <w:spacing w:before="44" w:line="197" w:lineRule="auto"/>
              <w:ind w:left="118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8.368</w:t>
            </w:r>
          </w:p>
        </w:tc>
        <w:tc>
          <w:tcPr>
            <w:tcW w:w="2770" w:type="dxa"/>
            <w:gridSpan w:val="2"/>
            <w:tcBorders>
              <w:right w:val="single" w:color="000000" w:sz="10" w:space="0"/>
            </w:tcBorders>
            <w:vAlign w:val="top"/>
          </w:tcPr>
          <w:p>
            <w:pPr>
              <w:spacing w:before="44" w:line="200" w:lineRule="auto"/>
              <w:ind w:left="115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0"/>
                <w:sz w:val="17"/>
                <w:szCs w:val="17"/>
                <w:highlight w:val="none"/>
              </w:rPr>
              <w:t>1</w:t>
            </w:r>
            <w:r>
              <w:rPr>
                <w:rFonts w:ascii="Times New Roman" w:hAnsi="Times New Roman" w:eastAsia="Times New Roman" w:cs="Times New Roman"/>
                <w:color w:val="auto"/>
                <w:spacing w:val="-6"/>
                <w:sz w:val="17"/>
                <w:szCs w:val="17"/>
                <w:highlight w:val="none"/>
              </w:rPr>
              <w:t>4</w:t>
            </w:r>
            <w:r>
              <w:rPr>
                <w:rFonts w:ascii="Times New Roman" w:hAnsi="Times New Roman" w:eastAsia="Times New Roman" w:cs="Times New Roman"/>
                <w:color w:val="auto"/>
                <w:spacing w:val="-5"/>
                <w:sz w:val="17"/>
                <w:szCs w:val="17"/>
                <w:highlight w:val="none"/>
              </w:rPr>
              <w:t>. 112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94" w:hRule="atLeast"/>
        </w:trPr>
        <w:tc>
          <w:tcPr>
            <w:tcW w:w="3600" w:type="dxa"/>
            <w:gridSpan w:val="2"/>
            <w:tcBorders>
              <w:left w:val="single" w:color="000000" w:sz="10" w:space="0"/>
            </w:tcBorders>
            <w:vAlign w:val="top"/>
          </w:tcPr>
          <w:p>
            <w:pPr>
              <w:spacing w:before="45" w:line="182" w:lineRule="auto"/>
              <w:ind w:left="171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7</w:t>
            </w:r>
          </w:p>
        </w:tc>
        <w:tc>
          <w:tcPr>
            <w:tcW w:w="2755" w:type="dxa"/>
            <w:gridSpan w:val="2"/>
            <w:vAlign w:val="top"/>
          </w:tcPr>
          <w:p>
            <w:pPr>
              <w:spacing w:before="45" w:line="182" w:lineRule="auto"/>
              <w:ind w:left="118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8 103</w:t>
            </w:r>
          </w:p>
        </w:tc>
        <w:tc>
          <w:tcPr>
            <w:tcW w:w="2770" w:type="dxa"/>
            <w:gridSpan w:val="2"/>
            <w:tcBorders>
              <w:right w:val="single" w:color="000000" w:sz="10" w:space="0"/>
            </w:tcBorders>
            <w:vAlign w:val="top"/>
          </w:tcPr>
          <w:p>
            <w:pPr>
              <w:spacing w:before="45" w:line="182"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3 338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29" w:hRule="atLeast"/>
        </w:trPr>
        <w:tc>
          <w:tcPr>
            <w:tcW w:w="3600" w:type="dxa"/>
            <w:gridSpan w:val="2"/>
            <w:tcBorders>
              <w:left w:val="single" w:color="000000" w:sz="10" w:space="0"/>
            </w:tcBorders>
            <w:vAlign w:val="top"/>
          </w:tcPr>
          <w:p>
            <w:pPr>
              <w:spacing w:before="62" w:line="197" w:lineRule="auto"/>
              <w:ind w:left="171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8</w:t>
            </w:r>
          </w:p>
        </w:tc>
        <w:tc>
          <w:tcPr>
            <w:tcW w:w="2755" w:type="dxa"/>
            <w:gridSpan w:val="2"/>
            <w:vAlign w:val="top"/>
          </w:tcPr>
          <w:p>
            <w:pPr>
              <w:spacing w:before="62" w:line="197" w:lineRule="auto"/>
              <w:ind w:left="118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7.847</w:t>
            </w:r>
          </w:p>
        </w:tc>
        <w:tc>
          <w:tcPr>
            <w:tcW w:w="2770" w:type="dxa"/>
            <w:gridSpan w:val="2"/>
            <w:tcBorders>
              <w:right w:val="single" w:color="000000" w:sz="10" w:space="0"/>
            </w:tcBorders>
            <w:vAlign w:val="top"/>
          </w:tcPr>
          <w:p>
            <w:pPr>
              <w:spacing w:before="62" w:line="200"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2.623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95" w:hRule="atLeast"/>
        </w:trPr>
        <w:tc>
          <w:tcPr>
            <w:tcW w:w="3600" w:type="dxa"/>
            <w:gridSpan w:val="2"/>
            <w:tcBorders>
              <w:left w:val="single" w:color="000000" w:sz="10" w:space="0"/>
            </w:tcBorders>
            <w:vAlign w:val="top"/>
          </w:tcPr>
          <w:p>
            <w:pPr>
              <w:spacing w:before="47" w:line="181" w:lineRule="auto"/>
              <w:ind w:left="171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w:t>
            </w:r>
            <w:r>
              <w:rPr>
                <w:rFonts w:ascii="Times New Roman" w:hAnsi="Times New Roman" w:eastAsia="Times New Roman" w:cs="Times New Roman"/>
                <w:color w:val="auto"/>
                <w:spacing w:val="1"/>
                <w:sz w:val="17"/>
                <w:szCs w:val="17"/>
                <w:highlight w:val="none"/>
              </w:rPr>
              <w:t>9</w:t>
            </w:r>
          </w:p>
        </w:tc>
        <w:tc>
          <w:tcPr>
            <w:tcW w:w="2755" w:type="dxa"/>
            <w:gridSpan w:val="2"/>
            <w:vAlign w:val="top"/>
          </w:tcPr>
          <w:p>
            <w:pPr>
              <w:spacing w:before="47" w:line="181" w:lineRule="auto"/>
              <w:ind w:left="118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7 599</w:t>
            </w:r>
          </w:p>
        </w:tc>
        <w:tc>
          <w:tcPr>
            <w:tcW w:w="2770" w:type="dxa"/>
            <w:gridSpan w:val="2"/>
            <w:tcBorders>
              <w:right w:val="single" w:color="000000" w:sz="10" w:space="0"/>
            </w:tcBorders>
            <w:vAlign w:val="top"/>
          </w:tcPr>
          <w:p>
            <w:pPr>
              <w:spacing w:before="47" w:line="181" w:lineRule="auto"/>
              <w:ind w:left="115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w:t>
            </w:r>
            <w:r>
              <w:rPr>
                <w:rFonts w:ascii="Times New Roman" w:hAnsi="Times New Roman" w:eastAsia="Times New Roman" w:cs="Times New Roman"/>
                <w:color w:val="auto"/>
                <w:sz w:val="17"/>
                <w:szCs w:val="17"/>
                <w:highlight w:val="none"/>
              </w:rPr>
              <w:t>1 963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29" w:hRule="atLeast"/>
        </w:trPr>
        <w:tc>
          <w:tcPr>
            <w:tcW w:w="3600" w:type="dxa"/>
            <w:gridSpan w:val="2"/>
            <w:tcBorders>
              <w:left w:val="single" w:color="000000" w:sz="10" w:space="0"/>
            </w:tcBorders>
            <w:vAlign w:val="top"/>
          </w:tcPr>
          <w:p>
            <w:pPr>
              <w:spacing w:before="63" w:line="197" w:lineRule="auto"/>
              <w:ind w:left="170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40</w:t>
            </w:r>
          </w:p>
        </w:tc>
        <w:tc>
          <w:tcPr>
            <w:tcW w:w="2755" w:type="dxa"/>
            <w:gridSpan w:val="2"/>
            <w:vAlign w:val="top"/>
          </w:tcPr>
          <w:p>
            <w:pPr>
              <w:spacing w:before="63" w:line="197" w:lineRule="auto"/>
              <w:ind w:left="118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7.359</w:t>
            </w:r>
          </w:p>
        </w:tc>
        <w:tc>
          <w:tcPr>
            <w:tcW w:w="2770" w:type="dxa"/>
            <w:gridSpan w:val="2"/>
            <w:tcBorders>
              <w:right w:val="single" w:color="000000" w:sz="10" w:space="0"/>
            </w:tcBorders>
            <w:vAlign w:val="top"/>
          </w:tcPr>
          <w:p>
            <w:pPr>
              <w:spacing w:before="63" w:line="200" w:lineRule="auto"/>
              <w:ind w:left="115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w:t>
            </w:r>
            <w:r>
              <w:rPr>
                <w:rFonts w:ascii="Times New Roman" w:hAnsi="Times New Roman" w:eastAsia="Times New Roman" w:cs="Times New Roman"/>
                <w:color w:val="auto"/>
                <w:sz w:val="17"/>
                <w:szCs w:val="17"/>
                <w:highlight w:val="none"/>
              </w:rPr>
              <w:t>1.351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12" w:hRule="atLeast"/>
        </w:trPr>
        <w:tc>
          <w:tcPr>
            <w:tcW w:w="3600" w:type="dxa"/>
            <w:gridSpan w:val="2"/>
            <w:tcBorders>
              <w:left w:val="single" w:color="000000" w:sz="10" w:space="0"/>
            </w:tcBorders>
            <w:vAlign w:val="top"/>
          </w:tcPr>
          <w:p>
            <w:pPr>
              <w:spacing w:before="45" w:line="197" w:lineRule="auto"/>
              <w:ind w:left="170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41</w:t>
            </w:r>
          </w:p>
        </w:tc>
        <w:tc>
          <w:tcPr>
            <w:tcW w:w="2755" w:type="dxa"/>
            <w:gridSpan w:val="2"/>
            <w:vAlign w:val="top"/>
          </w:tcPr>
          <w:p>
            <w:pPr>
              <w:spacing w:before="45" w:line="197" w:lineRule="auto"/>
              <w:ind w:left="118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7</w:t>
            </w:r>
            <w:r>
              <w:rPr>
                <w:rFonts w:ascii="Times New Roman" w:hAnsi="Times New Roman" w:eastAsia="Times New Roman" w:cs="Times New Roman"/>
                <w:color w:val="auto"/>
                <w:spacing w:val="-4"/>
                <w:sz w:val="17"/>
                <w:szCs w:val="17"/>
                <w:highlight w:val="none"/>
              </w:rPr>
              <w:t>. 126</w:t>
            </w:r>
          </w:p>
        </w:tc>
        <w:tc>
          <w:tcPr>
            <w:tcW w:w="2770" w:type="dxa"/>
            <w:gridSpan w:val="2"/>
            <w:tcBorders>
              <w:right w:val="single" w:color="000000" w:sz="10" w:space="0"/>
            </w:tcBorders>
            <w:vAlign w:val="top"/>
          </w:tcPr>
          <w:p>
            <w:pPr>
              <w:spacing w:before="45" w:line="197"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0.783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94" w:hRule="atLeast"/>
        </w:trPr>
        <w:tc>
          <w:tcPr>
            <w:tcW w:w="3600" w:type="dxa"/>
            <w:gridSpan w:val="2"/>
            <w:tcBorders>
              <w:left w:val="single" w:color="000000" w:sz="10" w:space="0"/>
            </w:tcBorders>
            <w:vAlign w:val="top"/>
          </w:tcPr>
          <w:p>
            <w:pPr>
              <w:spacing w:before="46" w:line="181" w:lineRule="auto"/>
              <w:ind w:left="170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42</w:t>
            </w:r>
          </w:p>
        </w:tc>
        <w:tc>
          <w:tcPr>
            <w:tcW w:w="2755" w:type="dxa"/>
            <w:gridSpan w:val="2"/>
            <w:vAlign w:val="top"/>
          </w:tcPr>
          <w:p>
            <w:pPr>
              <w:spacing w:before="46" w:line="181" w:lineRule="auto"/>
              <w:ind w:left="118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6 90</w:t>
            </w:r>
            <w:r>
              <w:rPr>
                <w:rFonts w:ascii="Times New Roman" w:hAnsi="Times New Roman" w:eastAsia="Times New Roman" w:cs="Times New Roman"/>
                <w:color w:val="auto"/>
                <w:spacing w:val="2"/>
                <w:sz w:val="17"/>
                <w:szCs w:val="17"/>
                <w:highlight w:val="none"/>
              </w:rPr>
              <w:t>2</w:t>
            </w:r>
          </w:p>
        </w:tc>
        <w:tc>
          <w:tcPr>
            <w:tcW w:w="2770" w:type="dxa"/>
            <w:gridSpan w:val="2"/>
            <w:tcBorders>
              <w:right w:val="single" w:color="000000" w:sz="10" w:space="0"/>
            </w:tcBorders>
            <w:vAlign w:val="top"/>
          </w:tcPr>
          <w:p>
            <w:pPr>
              <w:spacing w:before="46" w:line="181" w:lineRule="auto"/>
              <w:ind w:left="115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0 256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29" w:hRule="atLeast"/>
        </w:trPr>
        <w:tc>
          <w:tcPr>
            <w:tcW w:w="3600" w:type="dxa"/>
            <w:gridSpan w:val="2"/>
            <w:tcBorders>
              <w:left w:val="single" w:color="000000" w:sz="10" w:space="0"/>
            </w:tcBorders>
            <w:vAlign w:val="top"/>
          </w:tcPr>
          <w:p>
            <w:pPr>
              <w:spacing w:before="63" w:line="197" w:lineRule="auto"/>
              <w:ind w:left="170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43</w:t>
            </w:r>
          </w:p>
        </w:tc>
        <w:tc>
          <w:tcPr>
            <w:tcW w:w="2755" w:type="dxa"/>
            <w:gridSpan w:val="2"/>
            <w:vAlign w:val="top"/>
          </w:tcPr>
          <w:p>
            <w:pPr>
              <w:spacing w:before="63" w:line="197" w:lineRule="auto"/>
              <w:ind w:left="118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6.68</w:t>
            </w:r>
            <w:r>
              <w:rPr>
                <w:rFonts w:ascii="Times New Roman" w:hAnsi="Times New Roman" w:eastAsia="Times New Roman" w:cs="Times New Roman"/>
                <w:color w:val="auto"/>
                <w:spacing w:val="2"/>
                <w:sz w:val="17"/>
                <w:szCs w:val="17"/>
                <w:highlight w:val="none"/>
              </w:rPr>
              <w:t>6</w:t>
            </w:r>
          </w:p>
        </w:tc>
        <w:tc>
          <w:tcPr>
            <w:tcW w:w="2770" w:type="dxa"/>
            <w:gridSpan w:val="2"/>
            <w:tcBorders>
              <w:right w:val="single" w:color="000000" w:sz="10" w:space="0"/>
            </w:tcBorders>
            <w:vAlign w:val="top"/>
          </w:tcPr>
          <w:p>
            <w:pPr>
              <w:spacing w:before="63" w:line="197" w:lineRule="auto"/>
              <w:ind w:left="118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9.76</w:t>
            </w:r>
            <w:r>
              <w:rPr>
                <w:rFonts w:ascii="Times New Roman" w:hAnsi="Times New Roman" w:eastAsia="Times New Roman" w:cs="Times New Roman"/>
                <w:color w:val="auto"/>
                <w:spacing w:val="2"/>
                <w:sz w:val="17"/>
                <w:szCs w:val="17"/>
                <w:highlight w:val="no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94" w:hRule="atLeast"/>
        </w:trPr>
        <w:tc>
          <w:tcPr>
            <w:tcW w:w="3600" w:type="dxa"/>
            <w:gridSpan w:val="2"/>
            <w:tcBorders>
              <w:left w:val="single" w:color="000000" w:sz="10" w:space="0"/>
            </w:tcBorders>
            <w:vAlign w:val="top"/>
          </w:tcPr>
          <w:p>
            <w:pPr>
              <w:spacing w:before="48" w:line="179" w:lineRule="auto"/>
              <w:ind w:left="170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44</w:t>
            </w:r>
          </w:p>
        </w:tc>
        <w:tc>
          <w:tcPr>
            <w:tcW w:w="2755" w:type="dxa"/>
            <w:gridSpan w:val="2"/>
            <w:vAlign w:val="top"/>
          </w:tcPr>
          <w:p>
            <w:pPr>
              <w:spacing w:before="48" w:line="179" w:lineRule="auto"/>
              <w:ind w:left="118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6 47</w:t>
            </w:r>
            <w:r>
              <w:rPr>
                <w:rFonts w:ascii="Times New Roman" w:hAnsi="Times New Roman" w:eastAsia="Times New Roman" w:cs="Times New Roman"/>
                <w:color w:val="auto"/>
                <w:spacing w:val="2"/>
                <w:sz w:val="17"/>
                <w:szCs w:val="17"/>
                <w:highlight w:val="none"/>
              </w:rPr>
              <w:t>7</w:t>
            </w:r>
          </w:p>
        </w:tc>
        <w:tc>
          <w:tcPr>
            <w:tcW w:w="2770" w:type="dxa"/>
            <w:gridSpan w:val="2"/>
            <w:tcBorders>
              <w:right w:val="single" w:color="000000" w:sz="10" w:space="0"/>
            </w:tcBorders>
            <w:vAlign w:val="top"/>
          </w:tcPr>
          <w:p>
            <w:pPr>
              <w:spacing w:before="48" w:line="179" w:lineRule="auto"/>
              <w:ind w:left="118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9 31</w:t>
            </w:r>
            <w:r>
              <w:rPr>
                <w:rFonts w:ascii="Times New Roman" w:hAnsi="Times New Roman" w:eastAsia="Times New Roman" w:cs="Times New Roman"/>
                <w:color w:val="auto"/>
                <w:spacing w:val="2"/>
                <w:sz w:val="17"/>
                <w:szCs w:val="17"/>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29" w:hRule="atLeast"/>
        </w:trPr>
        <w:tc>
          <w:tcPr>
            <w:tcW w:w="3600" w:type="dxa"/>
            <w:gridSpan w:val="2"/>
            <w:tcBorders>
              <w:left w:val="single" w:color="000000" w:sz="10" w:space="0"/>
            </w:tcBorders>
            <w:vAlign w:val="top"/>
          </w:tcPr>
          <w:p>
            <w:pPr>
              <w:spacing w:before="64" w:line="197" w:lineRule="auto"/>
              <w:ind w:left="170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45</w:t>
            </w:r>
          </w:p>
        </w:tc>
        <w:tc>
          <w:tcPr>
            <w:tcW w:w="2755" w:type="dxa"/>
            <w:gridSpan w:val="2"/>
            <w:vAlign w:val="top"/>
          </w:tcPr>
          <w:p>
            <w:pPr>
              <w:spacing w:before="65" w:line="197" w:lineRule="auto"/>
              <w:ind w:left="118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6.27</w:t>
            </w:r>
            <w:r>
              <w:rPr>
                <w:rFonts w:ascii="Times New Roman" w:hAnsi="Times New Roman" w:eastAsia="Times New Roman" w:cs="Times New Roman"/>
                <w:color w:val="auto"/>
                <w:spacing w:val="2"/>
                <w:sz w:val="17"/>
                <w:szCs w:val="17"/>
                <w:highlight w:val="none"/>
              </w:rPr>
              <w:t>6</w:t>
            </w:r>
          </w:p>
        </w:tc>
        <w:tc>
          <w:tcPr>
            <w:tcW w:w="2770" w:type="dxa"/>
            <w:gridSpan w:val="2"/>
            <w:tcBorders>
              <w:right w:val="single" w:color="000000" w:sz="10" w:space="0"/>
            </w:tcBorders>
            <w:vAlign w:val="top"/>
          </w:tcPr>
          <w:p>
            <w:pPr>
              <w:spacing w:before="65" w:line="197" w:lineRule="auto"/>
              <w:ind w:left="118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8.885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12" w:hRule="atLeast"/>
        </w:trPr>
        <w:tc>
          <w:tcPr>
            <w:tcW w:w="3600" w:type="dxa"/>
            <w:gridSpan w:val="2"/>
            <w:tcBorders>
              <w:left w:val="single" w:color="000000" w:sz="10" w:space="0"/>
            </w:tcBorders>
            <w:vAlign w:val="top"/>
          </w:tcPr>
          <w:p>
            <w:pPr>
              <w:spacing w:before="49" w:line="197" w:lineRule="auto"/>
              <w:ind w:left="170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46</w:t>
            </w:r>
          </w:p>
        </w:tc>
        <w:tc>
          <w:tcPr>
            <w:tcW w:w="2755" w:type="dxa"/>
            <w:gridSpan w:val="2"/>
            <w:vAlign w:val="top"/>
          </w:tcPr>
          <w:p>
            <w:pPr>
              <w:spacing w:before="49" w:line="197" w:lineRule="auto"/>
              <w:ind w:left="118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6.08</w:t>
            </w:r>
            <w:r>
              <w:rPr>
                <w:rFonts w:ascii="Times New Roman" w:hAnsi="Times New Roman" w:eastAsia="Times New Roman" w:cs="Times New Roman"/>
                <w:color w:val="auto"/>
                <w:spacing w:val="2"/>
                <w:sz w:val="17"/>
                <w:szCs w:val="17"/>
                <w:highlight w:val="none"/>
              </w:rPr>
              <w:t>2</w:t>
            </w:r>
          </w:p>
        </w:tc>
        <w:tc>
          <w:tcPr>
            <w:tcW w:w="2770" w:type="dxa"/>
            <w:gridSpan w:val="2"/>
            <w:tcBorders>
              <w:right w:val="single" w:color="000000" w:sz="10" w:space="0"/>
            </w:tcBorders>
            <w:vAlign w:val="top"/>
          </w:tcPr>
          <w:p>
            <w:pPr>
              <w:spacing w:before="49" w:line="197" w:lineRule="auto"/>
              <w:ind w:left="118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8.488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12" w:hRule="atLeast"/>
        </w:trPr>
        <w:tc>
          <w:tcPr>
            <w:tcW w:w="3600" w:type="dxa"/>
            <w:gridSpan w:val="2"/>
            <w:tcBorders>
              <w:left w:val="single" w:color="000000" w:sz="10" w:space="0"/>
            </w:tcBorders>
            <w:vAlign w:val="top"/>
          </w:tcPr>
          <w:p>
            <w:pPr>
              <w:spacing w:before="48" w:line="197" w:lineRule="auto"/>
              <w:ind w:left="170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47</w:t>
            </w:r>
          </w:p>
        </w:tc>
        <w:tc>
          <w:tcPr>
            <w:tcW w:w="2755" w:type="dxa"/>
            <w:gridSpan w:val="2"/>
            <w:vAlign w:val="top"/>
          </w:tcPr>
          <w:p>
            <w:pPr>
              <w:spacing w:before="48" w:line="197" w:lineRule="auto"/>
              <w:ind w:left="11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w:t>
            </w:r>
            <w:r>
              <w:rPr>
                <w:rFonts w:ascii="Times New Roman" w:hAnsi="Times New Roman" w:eastAsia="Times New Roman" w:cs="Times New Roman"/>
                <w:color w:val="auto"/>
                <w:spacing w:val="2"/>
                <w:sz w:val="17"/>
                <w:szCs w:val="17"/>
                <w:highlight w:val="none"/>
              </w:rPr>
              <w:t>895</w:t>
            </w:r>
          </w:p>
        </w:tc>
        <w:tc>
          <w:tcPr>
            <w:tcW w:w="2770" w:type="dxa"/>
            <w:gridSpan w:val="2"/>
            <w:tcBorders>
              <w:right w:val="single" w:color="000000" w:sz="10" w:space="0"/>
            </w:tcBorders>
            <w:vAlign w:val="top"/>
          </w:tcPr>
          <w:p>
            <w:pPr>
              <w:spacing w:before="48" w:line="197" w:lineRule="auto"/>
              <w:ind w:left="119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8</w:t>
            </w:r>
            <w:r>
              <w:rPr>
                <w:rFonts w:ascii="Times New Roman" w:hAnsi="Times New Roman" w:eastAsia="Times New Roman" w:cs="Times New Roman"/>
                <w:color w:val="auto"/>
                <w:spacing w:val="-6"/>
                <w:sz w:val="17"/>
                <w:szCs w:val="17"/>
                <w:highlight w:val="none"/>
              </w:rPr>
              <w:t>. 116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12" w:hRule="atLeast"/>
        </w:trPr>
        <w:tc>
          <w:tcPr>
            <w:tcW w:w="3600" w:type="dxa"/>
            <w:gridSpan w:val="2"/>
            <w:tcBorders>
              <w:left w:val="single" w:color="000000" w:sz="10" w:space="0"/>
            </w:tcBorders>
            <w:vAlign w:val="top"/>
          </w:tcPr>
          <w:p>
            <w:pPr>
              <w:spacing w:before="47" w:line="197" w:lineRule="auto"/>
              <w:ind w:left="170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48</w:t>
            </w:r>
          </w:p>
        </w:tc>
        <w:tc>
          <w:tcPr>
            <w:tcW w:w="2755" w:type="dxa"/>
            <w:gridSpan w:val="2"/>
            <w:vAlign w:val="top"/>
          </w:tcPr>
          <w:p>
            <w:pPr>
              <w:spacing w:before="47" w:line="197" w:lineRule="auto"/>
              <w:ind w:left="11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w:t>
            </w:r>
            <w:r>
              <w:rPr>
                <w:rFonts w:ascii="Times New Roman" w:hAnsi="Times New Roman" w:eastAsia="Times New Roman" w:cs="Times New Roman"/>
                <w:color w:val="auto"/>
                <w:spacing w:val="2"/>
                <w:sz w:val="17"/>
                <w:szCs w:val="17"/>
                <w:highlight w:val="none"/>
              </w:rPr>
              <w:t>715</w:t>
            </w:r>
          </w:p>
        </w:tc>
        <w:tc>
          <w:tcPr>
            <w:tcW w:w="2770" w:type="dxa"/>
            <w:gridSpan w:val="2"/>
            <w:tcBorders>
              <w:right w:val="single" w:color="000000" w:sz="10" w:space="0"/>
            </w:tcBorders>
            <w:vAlign w:val="top"/>
          </w:tcPr>
          <w:p>
            <w:pPr>
              <w:spacing w:before="47" w:line="197" w:lineRule="auto"/>
              <w:ind w:left="11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7.769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94" w:hRule="atLeast"/>
        </w:trPr>
        <w:tc>
          <w:tcPr>
            <w:tcW w:w="3600" w:type="dxa"/>
            <w:gridSpan w:val="2"/>
            <w:tcBorders>
              <w:left w:val="single" w:color="000000" w:sz="10" w:space="0"/>
            </w:tcBorders>
            <w:vAlign w:val="top"/>
          </w:tcPr>
          <w:p>
            <w:pPr>
              <w:spacing w:before="49" w:line="178" w:lineRule="auto"/>
              <w:ind w:left="170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49</w:t>
            </w:r>
          </w:p>
        </w:tc>
        <w:tc>
          <w:tcPr>
            <w:tcW w:w="2755" w:type="dxa"/>
            <w:gridSpan w:val="2"/>
            <w:vAlign w:val="top"/>
          </w:tcPr>
          <w:p>
            <w:pPr>
              <w:spacing w:before="49" w:line="178" w:lineRule="auto"/>
              <w:ind w:left="11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 xml:space="preserve"> </w:t>
            </w:r>
            <w:r>
              <w:rPr>
                <w:rFonts w:ascii="Times New Roman" w:hAnsi="Times New Roman" w:eastAsia="Times New Roman" w:cs="Times New Roman"/>
                <w:color w:val="auto"/>
                <w:spacing w:val="2"/>
                <w:sz w:val="17"/>
                <w:szCs w:val="17"/>
                <w:highlight w:val="none"/>
              </w:rPr>
              <w:t>542</w:t>
            </w:r>
          </w:p>
        </w:tc>
        <w:tc>
          <w:tcPr>
            <w:tcW w:w="2770" w:type="dxa"/>
            <w:gridSpan w:val="2"/>
            <w:tcBorders>
              <w:right w:val="single" w:color="000000" w:sz="10" w:space="0"/>
            </w:tcBorders>
            <w:vAlign w:val="top"/>
          </w:tcPr>
          <w:p>
            <w:pPr>
              <w:spacing w:before="49" w:line="178" w:lineRule="auto"/>
              <w:ind w:left="11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7 443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253" w:hRule="atLeast"/>
        </w:trPr>
        <w:tc>
          <w:tcPr>
            <w:tcW w:w="3600" w:type="dxa"/>
            <w:gridSpan w:val="2"/>
            <w:tcBorders>
              <w:left w:val="single" w:color="000000" w:sz="10" w:space="0"/>
            </w:tcBorders>
            <w:vAlign w:val="top"/>
          </w:tcPr>
          <w:p>
            <w:pPr>
              <w:spacing w:before="65" w:line="197" w:lineRule="auto"/>
              <w:ind w:left="171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50</w:t>
            </w:r>
          </w:p>
        </w:tc>
        <w:tc>
          <w:tcPr>
            <w:tcW w:w="2755" w:type="dxa"/>
            <w:gridSpan w:val="2"/>
            <w:vAlign w:val="top"/>
          </w:tcPr>
          <w:p>
            <w:pPr>
              <w:spacing w:before="66" w:line="197" w:lineRule="auto"/>
              <w:ind w:left="11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w:t>
            </w:r>
            <w:r>
              <w:rPr>
                <w:rFonts w:ascii="Times New Roman" w:hAnsi="Times New Roman" w:eastAsia="Times New Roman" w:cs="Times New Roman"/>
                <w:color w:val="auto"/>
                <w:spacing w:val="2"/>
                <w:sz w:val="17"/>
                <w:szCs w:val="17"/>
                <w:highlight w:val="none"/>
              </w:rPr>
              <w:t>375</w:t>
            </w:r>
          </w:p>
        </w:tc>
        <w:tc>
          <w:tcPr>
            <w:tcW w:w="2770" w:type="dxa"/>
            <w:gridSpan w:val="2"/>
            <w:tcBorders>
              <w:right w:val="single" w:color="000000" w:sz="10" w:space="0"/>
            </w:tcBorders>
            <w:vAlign w:val="top"/>
          </w:tcPr>
          <w:p>
            <w:pPr>
              <w:spacing w:before="65" w:line="197" w:lineRule="auto"/>
              <w:ind w:left="118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8"/>
                <w:sz w:val="17"/>
                <w:szCs w:val="17"/>
                <w:highlight w:val="none"/>
              </w:rPr>
              <w:t>7</w:t>
            </w:r>
            <w:r>
              <w:rPr>
                <w:rFonts w:ascii="Times New Roman" w:hAnsi="Times New Roman" w:eastAsia="Times New Roman" w:cs="Times New Roman"/>
                <w:color w:val="auto"/>
                <w:spacing w:val="-4"/>
                <w:sz w:val="17"/>
                <w:szCs w:val="17"/>
                <w:highlight w:val="none"/>
              </w:rPr>
              <w:t>. 137</w:t>
            </w:r>
          </w:p>
        </w:tc>
      </w:tr>
    </w:tbl>
    <w:p>
      <w:pPr>
        <w:spacing w:line="383" w:lineRule="auto"/>
        <w:rPr>
          <w:rFonts w:ascii="Arial"/>
          <w:color w:val="auto"/>
          <w:sz w:val="21"/>
          <w:highlight w:val="none"/>
        </w:rPr>
      </w:pPr>
    </w:p>
    <w:p>
      <w:pPr>
        <w:spacing w:line="4373" w:lineRule="exact"/>
        <w:ind w:firstLine="40"/>
        <w:textAlignment w:val="center"/>
        <w:rPr>
          <w:color w:val="0000FF"/>
          <w:highlight w:val="none"/>
        </w:rPr>
      </w:pPr>
      <w:r>
        <w:rPr>
          <w:color w:val="0000FF"/>
          <w:highlight w:val="none"/>
        </w:rPr>
        <w:drawing>
          <wp:inline distT="0" distB="0" distL="0" distR="0">
            <wp:extent cx="6050280" cy="2776220"/>
            <wp:effectExtent l="0" t="0" r="0" b="1270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70"/>
                    <a:stretch>
                      <a:fillRect/>
                    </a:stretch>
                  </pic:blipFill>
                  <pic:spPr>
                    <a:xfrm>
                      <a:off x="0" y="0"/>
                      <a:ext cx="6050280" cy="2776728"/>
                    </a:xfrm>
                    <a:prstGeom prst="rect">
                      <a:avLst/>
                    </a:prstGeom>
                  </pic:spPr>
                </pic:pic>
              </a:graphicData>
            </a:graphic>
          </wp:inline>
        </w:drawing>
      </w:r>
    </w:p>
    <w:p>
      <w:pPr>
        <w:spacing w:before="178" w:line="228" w:lineRule="auto"/>
        <w:ind w:left="1722"/>
        <w:rPr>
          <w:rFonts w:ascii="黑体" w:hAnsi="黑体" w:eastAsia="黑体" w:cs="黑体"/>
          <w:color w:val="auto"/>
          <w:sz w:val="20"/>
          <w:szCs w:val="20"/>
          <w:highlight w:val="none"/>
        </w:rPr>
      </w:pPr>
      <w:r>
        <w:rPr>
          <w:rFonts w:ascii="黑体" w:hAnsi="黑体" w:eastAsia="黑体" w:cs="黑体"/>
          <w:color w:val="auto"/>
          <w:spacing w:val="4"/>
          <w:sz w:val="20"/>
          <w:szCs w:val="20"/>
          <w:highlight w:val="none"/>
        </w:rPr>
        <w:t xml:space="preserve">图 </w:t>
      </w:r>
      <w:r>
        <w:rPr>
          <w:rFonts w:ascii="Times New Roman" w:hAnsi="Times New Roman" w:eastAsia="Times New Roman" w:cs="Times New Roman"/>
          <w:color w:val="auto"/>
          <w:spacing w:val="4"/>
          <w:sz w:val="20"/>
          <w:szCs w:val="20"/>
          <w:highlight w:val="none"/>
        </w:rPr>
        <w:t xml:space="preserve">6. 1-4 </w:t>
      </w:r>
      <w:r>
        <w:rPr>
          <w:rFonts w:ascii="Times New Roman" w:hAnsi="Times New Roman" w:eastAsia="Times New Roman" w:cs="Times New Roman"/>
          <w:color w:val="auto"/>
          <w:spacing w:val="3"/>
          <w:sz w:val="20"/>
          <w:szCs w:val="20"/>
          <w:highlight w:val="none"/>
        </w:rPr>
        <w:t xml:space="preserve"> </w:t>
      </w:r>
      <w:r>
        <w:rPr>
          <w:rFonts w:ascii="Times New Roman" w:hAnsi="Times New Roman" w:eastAsia="Times New Roman" w:cs="Times New Roman"/>
          <w:color w:val="auto"/>
          <w:spacing w:val="2"/>
          <w:sz w:val="20"/>
          <w:szCs w:val="20"/>
          <w:highlight w:val="none"/>
        </w:rPr>
        <w:t xml:space="preserve">  </w:t>
      </w:r>
      <w:r>
        <w:rPr>
          <w:rFonts w:ascii="黑体" w:hAnsi="黑体" w:eastAsia="黑体" w:cs="黑体"/>
          <w:color w:val="auto"/>
          <w:spacing w:val="2"/>
          <w:sz w:val="20"/>
          <w:szCs w:val="20"/>
          <w:highlight w:val="none"/>
        </w:rPr>
        <w:t>工频电场强度图 (居民区居民区导线对地高度</w:t>
      </w:r>
      <w:r>
        <w:rPr>
          <w:rFonts w:hint="eastAsia" w:ascii="黑体" w:hAnsi="黑体" w:eastAsia="黑体" w:cs="黑体"/>
          <w:color w:val="auto"/>
          <w:spacing w:val="2"/>
          <w:sz w:val="20"/>
          <w:szCs w:val="20"/>
          <w:highlight w:val="none"/>
          <w:lang w:val="en-US" w:eastAsia="zh-CN"/>
        </w:rPr>
        <w:t>33</w:t>
      </w:r>
      <w:r>
        <w:rPr>
          <w:rFonts w:ascii="Times New Roman" w:hAnsi="Times New Roman" w:eastAsia="Times New Roman" w:cs="Times New Roman"/>
          <w:color w:val="auto"/>
          <w:sz w:val="20"/>
          <w:szCs w:val="20"/>
          <w:highlight w:val="none"/>
        </w:rPr>
        <w:t>m</w:t>
      </w:r>
      <w:r>
        <w:rPr>
          <w:rFonts w:ascii="黑体" w:hAnsi="黑体" w:eastAsia="黑体" w:cs="黑体"/>
          <w:color w:val="auto"/>
          <w:spacing w:val="2"/>
          <w:sz w:val="20"/>
          <w:szCs w:val="20"/>
          <w:highlight w:val="none"/>
        </w:rPr>
        <w:t>)</w:t>
      </w:r>
    </w:p>
    <w:p>
      <w:pPr>
        <w:rPr>
          <w:color w:val="auto"/>
          <w:highlight w:val="none"/>
        </w:rPr>
        <w:sectPr>
          <w:headerReference r:id="rId23" w:type="default"/>
          <w:footerReference r:id="rId24" w:type="default"/>
          <w:pgSz w:w="11906" w:h="16839"/>
          <w:pgMar w:top="1212" w:right="959" w:bottom="1156" w:left="1377" w:header="970" w:footer="996" w:gutter="0"/>
          <w:pgBorders>
            <w:top w:val="none" w:sz="0" w:space="0"/>
            <w:left w:val="none" w:sz="0" w:space="0"/>
            <w:bottom w:val="none" w:sz="0" w:space="0"/>
            <w:right w:val="none" w:sz="0" w:space="0"/>
          </w:pgBorders>
          <w:pgNumType w:fmt="decimal"/>
          <w:cols w:space="720" w:num="1"/>
        </w:sectPr>
      </w:pPr>
    </w:p>
    <w:p>
      <w:pPr>
        <w:spacing w:before="174" w:line="4773" w:lineRule="exact"/>
        <w:textAlignment w:val="center"/>
        <w:rPr>
          <w:color w:val="0000FF"/>
          <w:highlight w:val="none"/>
        </w:rPr>
      </w:pPr>
      <w:r>
        <w:rPr>
          <w:color w:val="0000FF"/>
          <w:highlight w:val="none"/>
        </w:rPr>
        <w:drawing>
          <wp:inline distT="0" distB="0" distL="0" distR="0">
            <wp:extent cx="5807075" cy="3030855"/>
            <wp:effectExtent l="0" t="0" r="14605" b="1905"/>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71"/>
                    <a:stretch>
                      <a:fillRect/>
                    </a:stretch>
                  </pic:blipFill>
                  <pic:spPr>
                    <a:xfrm>
                      <a:off x="0" y="0"/>
                      <a:ext cx="5807075" cy="3030855"/>
                    </a:xfrm>
                    <a:prstGeom prst="rect">
                      <a:avLst/>
                    </a:prstGeom>
                  </pic:spPr>
                </pic:pic>
              </a:graphicData>
            </a:graphic>
          </wp:inline>
        </w:drawing>
      </w:r>
    </w:p>
    <w:p>
      <w:pPr>
        <w:spacing w:before="135" w:line="228" w:lineRule="auto"/>
        <w:ind w:left="1528"/>
        <w:rPr>
          <w:rFonts w:ascii="黑体" w:hAnsi="黑体" w:eastAsia="黑体" w:cs="黑体"/>
          <w:color w:val="0000FF"/>
          <w:sz w:val="20"/>
          <w:szCs w:val="20"/>
          <w:highlight w:val="none"/>
        </w:rPr>
      </w:pPr>
      <w:r>
        <w:rPr>
          <w:rFonts w:ascii="黑体" w:hAnsi="黑体" w:eastAsia="黑体" w:cs="黑体"/>
          <w:color w:val="0000FF"/>
          <w:spacing w:val="4"/>
          <w:sz w:val="20"/>
          <w:szCs w:val="20"/>
          <w:highlight w:val="none"/>
        </w:rPr>
        <w:t xml:space="preserve">图 </w:t>
      </w:r>
      <w:r>
        <w:rPr>
          <w:rFonts w:ascii="Times New Roman" w:hAnsi="Times New Roman" w:eastAsia="Times New Roman" w:cs="Times New Roman"/>
          <w:color w:val="0000FF"/>
          <w:spacing w:val="4"/>
          <w:sz w:val="20"/>
          <w:szCs w:val="20"/>
          <w:highlight w:val="none"/>
        </w:rPr>
        <w:t xml:space="preserve">6. 1-5    </w:t>
      </w:r>
      <w:r>
        <w:rPr>
          <w:rFonts w:ascii="黑体" w:hAnsi="黑体" w:eastAsia="黑体" w:cs="黑体"/>
          <w:color w:val="0000FF"/>
          <w:spacing w:val="4"/>
          <w:sz w:val="20"/>
          <w:szCs w:val="20"/>
          <w:highlight w:val="none"/>
        </w:rPr>
        <w:t>工频电</w:t>
      </w:r>
      <w:r>
        <w:rPr>
          <w:rFonts w:ascii="黑体" w:hAnsi="黑体" w:eastAsia="黑体" w:cs="黑体"/>
          <w:color w:val="0000FF"/>
          <w:spacing w:val="2"/>
          <w:sz w:val="20"/>
          <w:szCs w:val="20"/>
          <w:highlight w:val="none"/>
        </w:rPr>
        <w:t xml:space="preserve">场强度图 (非居民区居民区导线对地高度 </w:t>
      </w:r>
      <w:r>
        <w:rPr>
          <w:rFonts w:hint="eastAsia" w:ascii="黑体" w:hAnsi="黑体" w:eastAsia="黑体" w:cs="黑体"/>
          <w:color w:val="0000FF"/>
          <w:spacing w:val="2"/>
          <w:sz w:val="20"/>
          <w:szCs w:val="20"/>
          <w:highlight w:val="none"/>
          <w:lang w:val="en-US" w:eastAsia="zh-CN"/>
        </w:rPr>
        <w:t>21</w:t>
      </w:r>
      <w:r>
        <w:rPr>
          <w:rFonts w:ascii="Times New Roman" w:hAnsi="Times New Roman" w:eastAsia="Times New Roman" w:cs="Times New Roman"/>
          <w:color w:val="0000FF"/>
          <w:sz w:val="20"/>
          <w:szCs w:val="20"/>
          <w:highlight w:val="none"/>
        </w:rPr>
        <w:t>m</w:t>
      </w:r>
      <w:r>
        <w:rPr>
          <w:rFonts w:ascii="黑体" w:hAnsi="黑体" w:eastAsia="黑体" w:cs="黑体"/>
          <w:color w:val="0000FF"/>
          <w:spacing w:val="2"/>
          <w:sz w:val="20"/>
          <w:szCs w:val="20"/>
          <w:highlight w:val="none"/>
        </w:rPr>
        <w:t>)</w:t>
      </w:r>
    </w:p>
    <w:p>
      <w:pPr>
        <w:spacing w:line="241" w:lineRule="auto"/>
        <w:rPr>
          <w:rFonts w:ascii="Arial"/>
          <w:color w:val="0000FF"/>
          <w:sz w:val="21"/>
          <w:highlight w:val="none"/>
        </w:rPr>
      </w:pPr>
    </w:p>
    <w:p>
      <w:pPr>
        <w:spacing w:line="241" w:lineRule="auto"/>
        <w:rPr>
          <w:rFonts w:ascii="Arial"/>
          <w:color w:val="0000FF"/>
          <w:sz w:val="21"/>
          <w:highlight w:val="none"/>
        </w:rPr>
      </w:pPr>
    </w:p>
    <w:p>
      <w:pPr>
        <w:spacing w:line="4572" w:lineRule="exact"/>
        <w:ind w:firstLine="29"/>
        <w:textAlignment w:val="center"/>
        <w:rPr>
          <w:color w:val="0000FF"/>
          <w:highlight w:val="none"/>
        </w:rPr>
      </w:pPr>
      <w:r>
        <w:rPr>
          <w:color w:val="0000FF"/>
          <w:highlight w:val="none"/>
        </w:rPr>
        <w:drawing>
          <wp:inline distT="0" distB="0" distL="0" distR="0">
            <wp:extent cx="5753100" cy="2903220"/>
            <wp:effectExtent l="0" t="0" r="7620" b="762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72"/>
                    <a:stretch>
                      <a:fillRect/>
                    </a:stretch>
                  </pic:blipFill>
                  <pic:spPr>
                    <a:xfrm>
                      <a:off x="0" y="0"/>
                      <a:ext cx="5753100" cy="2903220"/>
                    </a:xfrm>
                    <a:prstGeom prst="rect">
                      <a:avLst/>
                    </a:prstGeom>
                  </pic:spPr>
                </pic:pic>
              </a:graphicData>
            </a:graphic>
          </wp:inline>
        </w:drawing>
      </w:r>
    </w:p>
    <w:p>
      <w:pPr>
        <w:spacing w:before="162" w:line="228" w:lineRule="auto"/>
        <w:ind w:left="1922"/>
        <w:rPr>
          <w:rFonts w:ascii="黑体" w:hAnsi="黑体" w:eastAsia="黑体" w:cs="黑体"/>
          <w:color w:val="0000FF"/>
          <w:sz w:val="20"/>
          <w:szCs w:val="20"/>
          <w:highlight w:val="none"/>
        </w:rPr>
      </w:pPr>
      <w:r>
        <w:rPr>
          <w:rFonts w:ascii="黑体" w:hAnsi="黑体" w:eastAsia="黑体" w:cs="黑体"/>
          <w:color w:val="0000FF"/>
          <w:spacing w:val="4"/>
          <w:sz w:val="20"/>
          <w:szCs w:val="20"/>
          <w:highlight w:val="none"/>
        </w:rPr>
        <w:t>图</w:t>
      </w:r>
      <w:r>
        <w:rPr>
          <w:rFonts w:ascii="黑体" w:hAnsi="黑体" w:eastAsia="黑体" w:cs="黑体"/>
          <w:color w:val="0000FF"/>
          <w:spacing w:val="3"/>
          <w:sz w:val="20"/>
          <w:szCs w:val="20"/>
          <w:highlight w:val="none"/>
        </w:rPr>
        <w:t xml:space="preserve"> </w:t>
      </w:r>
      <w:r>
        <w:rPr>
          <w:rFonts w:ascii="Times New Roman" w:hAnsi="Times New Roman" w:eastAsia="Times New Roman" w:cs="Times New Roman"/>
          <w:color w:val="0000FF"/>
          <w:spacing w:val="2"/>
          <w:sz w:val="20"/>
          <w:szCs w:val="20"/>
          <w:highlight w:val="none"/>
        </w:rPr>
        <w:t xml:space="preserve">6. 1-6    </w:t>
      </w:r>
      <w:r>
        <w:rPr>
          <w:rFonts w:ascii="黑体" w:hAnsi="黑体" w:eastAsia="黑体" w:cs="黑体"/>
          <w:color w:val="0000FF"/>
          <w:spacing w:val="2"/>
          <w:sz w:val="20"/>
          <w:szCs w:val="20"/>
          <w:highlight w:val="none"/>
        </w:rPr>
        <w:t>工频磁感应强度图 (居民区导线对地高度</w:t>
      </w:r>
      <w:r>
        <w:rPr>
          <w:rFonts w:hint="eastAsia" w:ascii="黑体" w:hAnsi="黑体" w:eastAsia="黑体" w:cs="黑体"/>
          <w:color w:val="0000FF"/>
          <w:spacing w:val="2"/>
          <w:sz w:val="20"/>
          <w:szCs w:val="20"/>
          <w:highlight w:val="none"/>
          <w:lang w:val="en-US" w:eastAsia="zh-CN"/>
        </w:rPr>
        <w:t>33</w:t>
      </w:r>
      <w:r>
        <w:rPr>
          <w:rFonts w:ascii="Times New Roman" w:hAnsi="Times New Roman" w:eastAsia="Times New Roman" w:cs="Times New Roman"/>
          <w:color w:val="0000FF"/>
          <w:sz w:val="20"/>
          <w:szCs w:val="20"/>
          <w:highlight w:val="none"/>
        </w:rPr>
        <w:t>m</w:t>
      </w:r>
      <w:r>
        <w:rPr>
          <w:rFonts w:ascii="黑体" w:hAnsi="黑体" w:eastAsia="黑体" w:cs="黑体"/>
          <w:color w:val="0000FF"/>
          <w:spacing w:val="2"/>
          <w:sz w:val="20"/>
          <w:szCs w:val="20"/>
          <w:highlight w:val="none"/>
        </w:rPr>
        <w:t>)</w:t>
      </w:r>
    </w:p>
    <w:p>
      <w:pPr>
        <w:rPr>
          <w:color w:val="0000FF"/>
          <w:highlight w:val="none"/>
        </w:rPr>
        <w:sectPr>
          <w:headerReference r:id="rId25" w:type="default"/>
          <w:footerReference r:id="rId26" w:type="default"/>
          <w:pgSz w:w="11906" w:h="16839"/>
          <w:pgMar w:top="1212" w:right="1372" w:bottom="1156" w:left="1388" w:header="970" w:footer="996" w:gutter="0"/>
          <w:pgBorders>
            <w:top w:val="none" w:sz="0" w:space="0"/>
            <w:left w:val="none" w:sz="0" w:space="0"/>
            <w:bottom w:val="none" w:sz="0" w:space="0"/>
            <w:right w:val="none" w:sz="0" w:space="0"/>
          </w:pgBorders>
          <w:pgNumType w:fmt="decimal"/>
          <w:cols w:space="720" w:num="1"/>
        </w:sectPr>
      </w:pPr>
    </w:p>
    <w:p>
      <w:pPr>
        <w:spacing w:before="174" w:line="4773" w:lineRule="exact"/>
        <w:ind w:firstLine="12"/>
        <w:textAlignment w:val="center"/>
        <w:rPr>
          <w:color w:val="0000FF"/>
          <w:highlight w:val="none"/>
        </w:rPr>
      </w:pPr>
      <w:r>
        <w:rPr>
          <w:color w:val="0000FF"/>
          <w:highlight w:val="none"/>
        </w:rPr>
        <w:drawing>
          <wp:inline distT="0" distB="0" distL="0" distR="0">
            <wp:extent cx="5807075" cy="3030855"/>
            <wp:effectExtent l="0" t="0" r="14605" b="1905"/>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73"/>
                    <a:stretch>
                      <a:fillRect/>
                    </a:stretch>
                  </pic:blipFill>
                  <pic:spPr>
                    <a:xfrm>
                      <a:off x="0" y="0"/>
                      <a:ext cx="5807075" cy="3030855"/>
                    </a:xfrm>
                    <a:prstGeom prst="rect">
                      <a:avLst/>
                    </a:prstGeom>
                  </pic:spPr>
                </pic:pic>
              </a:graphicData>
            </a:graphic>
          </wp:inline>
        </w:drawing>
      </w:r>
    </w:p>
    <w:p>
      <w:pPr>
        <w:spacing w:before="135" w:line="228" w:lineRule="auto"/>
        <w:ind w:left="1436"/>
        <w:rPr>
          <w:rFonts w:ascii="黑体" w:hAnsi="黑体" w:eastAsia="黑体" w:cs="黑体"/>
          <w:color w:val="auto"/>
          <w:sz w:val="20"/>
          <w:szCs w:val="20"/>
          <w:highlight w:val="none"/>
        </w:rPr>
      </w:pPr>
      <w:r>
        <w:rPr>
          <w:rFonts w:ascii="黑体" w:hAnsi="黑体" w:eastAsia="黑体" w:cs="黑体"/>
          <w:color w:val="auto"/>
          <w:spacing w:val="3"/>
          <w:sz w:val="20"/>
          <w:szCs w:val="20"/>
          <w:highlight w:val="none"/>
        </w:rPr>
        <w:t xml:space="preserve">图 </w:t>
      </w:r>
      <w:r>
        <w:rPr>
          <w:rFonts w:ascii="Times New Roman" w:hAnsi="Times New Roman" w:eastAsia="Times New Roman" w:cs="Times New Roman"/>
          <w:color w:val="auto"/>
          <w:spacing w:val="3"/>
          <w:sz w:val="20"/>
          <w:szCs w:val="20"/>
          <w:highlight w:val="none"/>
        </w:rPr>
        <w:t xml:space="preserve">6. 1-7    </w:t>
      </w:r>
      <w:r>
        <w:rPr>
          <w:rFonts w:ascii="黑体" w:hAnsi="黑体" w:eastAsia="黑体" w:cs="黑体"/>
          <w:color w:val="auto"/>
          <w:spacing w:val="3"/>
          <w:sz w:val="20"/>
          <w:szCs w:val="20"/>
          <w:highlight w:val="none"/>
        </w:rPr>
        <w:t>工频磁感应强度图 (非居民区居民区导线对地高度</w:t>
      </w:r>
      <w:r>
        <w:rPr>
          <w:rFonts w:hint="eastAsia" w:ascii="黑体" w:hAnsi="黑体" w:eastAsia="黑体" w:cs="黑体"/>
          <w:color w:val="auto"/>
          <w:spacing w:val="3"/>
          <w:sz w:val="20"/>
          <w:szCs w:val="20"/>
          <w:highlight w:val="none"/>
          <w:lang w:val="en-US" w:eastAsia="zh-CN"/>
        </w:rPr>
        <w:t>21</w:t>
      </w:r>
      <w:r>
        <w:rPr>
          <w:rFonts w:ascii="Times New Roman" w:hAnsi="Times New Roman" w:eastAsia="Times New Roman" w:cs="Times New Roman"/>
          <w:color w:val="auto"/>
          <w:sz w:val="20"/>
          <w:szCs w:val="20"/>
          <w:highlight w:val="none"/>
        </w:rPr>
        <w:t>m</w:t>
      </w:r>
      <w:r>
        <w:rPr>
          <w:rFonts w:ascii="黑体" w:hAnsi="黑体" w:eastAsia="黑体" w:cs="黑体"/>
          <w:color w:val="auto"/>
          <w:sz w:val="20"/>
          <w:szCs w:val="20"/>
          <w:highlight w:val="none"/>
        </w:rPr>
        <w:t>)</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3)控制线下草地、耕地、道路等场所工频电场强度小于10kV/m 所需最低线高。</w:t>
      </w:r>
    </w:p>
    <w:p>
      <w:pPr>
        <w:spacing w:line="279" w:lineRule="exact"/>
        <w:ind w:left="1532"/>
        <w:rPr>
          <w:rFonts w:ascii="黑体" w:hAnsi="黑体" w:eastAsia="黑体" w:cs="黑体"/>
          <w:color w:val="auto"/>
          <w:sz w:val="20"/>
          <w:szCs w:val="20"/>
          <w:highlight w:val="none"/>
        </w:rPr>
      </w:pPr>
      <w:r>
        <w:rPr>
          <w:rFonts w:ascii="黑体" w:hAnsi="黑体" w:eastAsia="黑体" w:cs="黑体"/>
          <w:color w:val="auto"/>
          <w:spacing w:val="6"/>
          <w:position w:val="1"/>
          <w:sz w:val="20"/>
          <w:szCs w:val="20"/>
          <w:highlight w:val="none"/>
        </w:rPr>
        <w:t xml:space="preserve">表 </w:t>
      </w:r>
      <w:r>
        <w:rPr>
          <w:rFonts w:ascii="Times New Roman" w:hAnsi="Times New Roman" w:eastAsia="Times New Roman" w:cs="Times New Roman"/>
          <w:color w:val="auto"/>
          <w:spacing w:val="6"/>
          <w:position w:val="1"/>
          <w:sz w:val="20"/>
          <w:szCs w:val="20"/>
          <w:highlight w:val="none"/>
        </w:rPr>
        <w:t>6.</w:t>
      </w:r>
      <w:r>
        <w:rPr>
          <w:rFonts w:ascii="Times New Roman" w:hAnsi="Times New Roman" w:eastAsia="Times New Roman" w:cs="Times New Roman"/>
          <w:color w:val="auto"/>
          <w:spacing w:val="3"/>
          <w:position w:val="1"/>
          <w:sz w:val="20"/>
          <w:szCs w:val="20"/>
          <w:highlight w:val="none"/>
        </w:rPr>
        <w:t xml:space="preserve"> 1-7    </w:t>
      </w:r>
      <w:r>
        <w:rPr>
          <w:rFonts w:ascii="黑体" w:hAnsi="黑体" w:eastAsia="黑体" w:cs="黑体"/>
          <w:color w:val="auto"/>
          <w:spacing w:val="3"/>
          <w:position w:val="1"/>
          <w:sz w:val="20"/>
          <w:szCs w:val="20"/>
          <w:highlight w:val="none"/>
        </w:rPr>
        <w:t xml:space="preserve">控制工频电场强度小于 </w:t>
      </w:r>
      <w:r>
        <w:rPr>
          <w:rFonts w:ascii="Times New Roman" w:hAnsi="Times New Roman" w:eastAsia="Times New Roman" w:cs="Times New Roman"/>
          <w:color w:val="auto"/>
          <w:spacing w:val="3"/>
          <w:position w:val="1"/>
          <w:sz w:val="20"/>
          <w:szCs w:val="20"/>
          <w:highlight w:val="none"/>
        </w:rPr>
        <w:t>10</w:t>
      </w:r>
      <w:r>
        <w:rPr>
          <w:rFonts w:ascii="Times New Roman" w:hAnsi="Times New Roman" w:eastAsia="Times New Roman" w:cs="Times New Roman"/>
          <w:color w:val="auto"/>
          <w:position w:val="1"/>
          <w:sz w:val="20"/>
          <w:szCs w:val="20"/>
          <w:highlight w:val="none"/>
        </w:rPr>
        <w:t>kV</w:t>
      </w:r>
      <w:r>
        <w:rPr>
          <w:rFonts w:ascii="Times New Roman" w:hAnsi="Times New Roman" w:eastAsia="Times New Roman" w:cs="Times New Roman"/>
          <w:color w:val="auto"/>
          <w:spacing w:val="3"/>
          <w:position w:val="1"/>
          <w:sz w:val="20"/>
          <w:szCs w:val="20"/>
          <w:highlight w:val="none"/>
        </w:rPr>
        <w:t>/</w:t>
      </w:r>
      <w:r>
        <w:rPr>
          <w:rFonts w:ascii="Times New Roman" w:hAnsi="Times New Roman" w:eastAsia="Times New Roman" w:cs="Times New Roman"/>
          <w:color w:val="auto"/>
          <w:position w:val="1"/>
          <w:sz w:val="20"/>
          <w:szCs w:val="20"/>
          <w:highlight w:val="none"/>
        </w:rPr>
        <w:t>m</w:t>
      </w:r>
      <w:r>
        <w:rPr>
          <w:rFonts w:ascii="Times New Roman" w:hAnsi="Times New Roman" w:eastAsia="Times New Roman" w:cs="Times New Roman"/>
          <w:color w:val="auto"/>
          <w:spacing w:val="3"/>
          <w:position w:val="1"/>
          <w:sz w:val="20"/>
          <w:szCs w:val="20"/>
          <w:highlight w:val="none"/>
        </w:rPr>
        <w:t xml:space="preserve"> </w:t>
      </w:r>
      <w:r>
        <w:rPr>
          <w:rFonts w:ascii="黑体" w:hAnsi="黑体" w:eastAsia="黑体" w:cs="黑体"/>
          <w:color w:val="auto"/>
          <w:spacing w:val="3"/>
          <w:position w:val="1"/>
          <w:sz w:val="20"/>
          <w:szCs w:val="20"/>
          <w:highlight w:val="none"/>
        </w:rPr>
        <w:t>所需最低线高及预测结果</w:t>
      </w:r>
    </w:p>
    <w:tbl>
      <w:tblPr>
        <w:tblStyle w:val="20"/>
        <w:tblW w:w="912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4"/>
        <w:gridCol w:w="23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6744" w:type="dxa"/>
            <w:tcBorders>
              <w:left w:val="single" w:color="000000" w:sz="10" w:space="0"/>
            </w:tcBorders>
            <w:vAlign w:val="top"/>
          </w:tcPr>
          <w:p>
            <w:pPr>
              <w:spacing w:before="16" w:line="229" w:lineRule="exact"/>
              <w:ind w:left="254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8"/>
                <w:position w:val="1"/>
                <w:sz w:val="18"/>
                <w:szCs w:val="18"/>
                <w:highlight w:val="none"/>
              </w:rPr>
              <w:t>10</w:t>
            </w:r>
            <w:r>
              <w:rPr>
                <w:rFonts w:ascii="Times New Roman" w:hAnsi="Times New Roman" w:eastAsia="Times New Roman" w:cs="Times New Roman"/>
                <w:color w:val="auto"/>
                <w:position w:val="1"/>
                <w:sz w:val="18"/>
                <w:szCs w:val="18"/>
                <w:highlight w:val="none"/>
              </w:rPr>
              <w:t>kV</w:t>
            </w:r>
            <w:r>
              <w:rPr>
                <w:rFonts w:ascii="Times New Roman" w:hAnsi="Times New Roman" w:eastAsia="Times New Roman" w:cs="Times New Roman"/>
                <w:color w:val="auto"/>
                <w:spacing w:val="8"/>
                <w:position w:val="1"/>
                <w:sz w:val="18"/>
                <w:szCs w:val="18"/>
                <w:highlight w:val="none"/>
              </w:rPr>
              <w:t>/</w:t>
            </w:r>
            <w:r>
              <w:rPr>
                <w:rFonts w:ascii="Times New Roman" w:hAnsi="Times New Roman" w:eastAsia="Times New Roman" w:cs="Times New Roman"/>
                <w:color w:val="auto"/>
                <w:position w:val="1"/>
                <w:sz w:val="18"/>
                <w:szCs w:val="18"/>
                <w:highlight w:val="none"/>
              </w:rPr>
              <w:t>m</w:t>
            </w:r>
            <w:r>
              <w:rPr>
                <w:rFonts w:ascii="Times New Roman" w:hAnsi="Times New Roman" w:eastAsia="Times New Roman" w:cs="Times New Roman"/>
                <w:color w:val="auto"/>
                <w:spacing w:val="8"/>
                <w:position w:val="1"/>
                <w:sz w:val="18"/>
                <w:szCs w:val="18"/>
                <w:highlight w:val="none"/>
              </w:rPr>
              <w:t xml:space="preserve"> </w:t>
            </w:r>
            <w:r>
              <w:rPr>
                <w:rFonts w:ascii="宋体" w:hAnsi="宋体" w:eastAsia="宋体" w:cs="宋体"/>
                <w:color w:val="auto"/>
                <w:spacing w:val="8"/>
                <w:position w:val="1"/>
                <w:sz w:val="18"/>
                <w:szCs w:val="18"/>
                <w:highlight w:val="none"/>
              </w:rPr>
              <w:t>最低线高</w:t>
            </w:r>
            <w:r>
              <w:rPr>
                <w:rFonts w:ascii="宋体" w:hAnsi="宋体" w:eastAsia="宋体" w:cs="宋体"/>
                <w:color w:val="auto"/>
                <w:spacing w:val="6"/>
                <w:position w:val="1"/>
                <w:sz w:val="18"/>
                <w:szCs w:val="18"/>
                <w:highlight w:val="none"/>
              </w:rPr>
              <w:t>，</w:t>
            </w:r>
            <w:r>
              <w:rPr>
                <w:rFonts w:ascii="Times New Roman" w:hAnsi="Times New Roman" w:eastAsia="Times New Roman" w:cs="Times New Roman"/>
                <w:color w:val="auto"/>
                <w:position w:val="1"/>
                <w:sz w:val="18"/>
                <w:szCs w:val="18"/>
                <w:highlight w:val="none"/>
              </w:rPr>
              <w:t>m</w:t>
            </w:r>
          </w:p>
        </w:tc>
        <w:tc>
          <w:tcPr>
            <w:tcW w:w="2385" w:type="dxa"/>
            <w:tcBorders>
              <w:right w:val="single" w:color="000000" w:sz="10" w:space="0"/>
            </w:tcBorders>
            <w:vAlign w:val="top"/>
          </w:tcPr>
          <w:p>
            <w:pPr>
              <w:spacing w:before="80" w:line="197" w:lineRule="auto"/>
              <w:ind w:left="1013"/>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11 3</w:t>
            </w:r>
            <w:r>
              <w:rPr>
                <w:rFonts w:ascii="Times New Roman" w:hAnsi="Times New Roman" w:eastAsia="Times New Roman" w:cs="Times New Roman"/>
                <w:color w:val="auto"/>
                <w:sz w:val="18"/>
                <w:szCs w:val="18"/>
                <w:highlight w:val="none"/>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6744" w:type="dxa"/>
            <w:tcBorders>
              <w:left w:val="single" w:color="000000" w:sz="10" w:space="0"/>
            </w:tcBorders>
            <w:vAlign w:val="top"/>
          </w:tcPr>
          <w:p>
            <w:pPr>
              <w:spacing w:before="8" w:line="242" w:lineRule="exact"/>
              <w:ind w:left="1817"/>
              <w:rPr>
                <w:rFonts w:ascii="Times New Roman" w:hAnsi="Times New Roman" w:eastAsia="Times New Roman" w:cs="Times New Roman"/>
                <w:color w:val="auto"/>
                <w:sz w:val="18"/>
                <w:szCs w:val="18"/>
                <w:highlight w:val="none"/>
              </w:rPr>
            </w:pPr>
            <w:r>
              <w:rPr>
                <w:rFonts w:ascii="宋体" w:hAnsi="宋体" w:eastAsia="宋体" w:cs="宋体"/>
                <w:color w:val="auto"/>
                <w:spacing w:val="14"/>
                <w:position w:val="1"/>
                <w:sz w:val="18"/>
                <w:szCs w:val="18"/>
                <w:highlight w:val="none"/>
              </w:rPr>
              <w:t>最</w:t>
            </w:r>
            <w:r>
              <w:rPr>
                <w:rFonts w:ascii="宋体" w:hAnsi="宋体" w:eastAsia="宋体" w:cs="宋体"/>
                <w:color w:val="auto"/>
                <w:spacing w:val="10"/>
                <w:position w:val="1"/>
                <w:sz w:val="18"/>
                <w:szCs w:val="18"/>
                <w:highlight w:val="none"/>
              </w:rPr>
              <w:t>低线高下工频电场强度最大值，</w:t>
            </w:r>
            <w:r>
              <w:rPr>
                <w:rFonts w:ascii="Times New Roman" w:hAnsi="Times New Roman" w:eastAsia="Times New Roman" w:cs="Times New Roman"/>
                <w:color w:val="auto"/>
                <w:position w:val="1"/>
                <w:sz w:val="18"/>
                <w:szCs w:val="18"/>
                <w:highlight w:val="none"/>
              </w:rPr>
              <w:t>kV</w:t>
            </w:r>
            <w:r>
              <w:rPr>
                <w:rFonts w:ascii="Times New Roman" w:hAnsi="Times New Roman" w:eastAsia="Times New Roman" w:cs="Times New Roman"/>
                <w:color w:val="auto"/>
                <w:spacing w:val="10"/>
                <w:position w:val="1"/>
                <w:sz w:val="18"/>
                <w:szCs w:val="18"/>
                <w:highlight w:val="none"/>
              </w:rPr>
              <w:t>/</w:t>
            </w:r>
            <w:r>
              <w:rPr>
                <w:rFonts w:ascii="Times New Roman" w:hAnsi="Times New Roman" w:eastAsia="Times New Roman" w:cs="Times New Roman"/>
                <w:color w:val="auto"/>
                <w:position w:val="1"/>
                <w:sz w:val="18"/>
                <w:szCs w:val="18"/>
                <w:highlight w:val="none"/>
              </w:rPr>
              <w:t>m</w:t>
            </w:r>
          </w:p>
        </w:tc>
        <w:tc>
          <w:tcPr>
            <w:tcW w:w="2385" w:type="dxa"/>
            <w:tcBorders>
              <w:right w:val="single" w:color="000000" w:sz="10" w:space="0"/>
            </w:tcBorders>
            <w:vAlign w:val="top"/>
          </w:tcPr>
          <w:p>
            <w:pPr>
              <w:spacing w:before="71" w:line="197" w:lineRule="auto"/>
              <w:ind w:left="997"/>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3"/>
                <w:sz w:val="18"/>
                <w:szCs w:val="18"/>
                <w:highlight w:val="none"/>
              </w:rPr>
              <w:t>9.95</w:t>
            </w:r>
            <w:r>
              <w:rPr>
                <w:rFonts w:ascii="Times New Roman" w:hAnsi="Times New Roman" w:eastAsia="Times New Roman" w:cs="Times New Roman"/>
                <w:color w:val="auto"/>
                <w:spacing w:val="2"/>
                <w:sz w:val="18"/>
                <w:szCs w:val="18"/>
                <w:highlight w:val="none"/>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6744" w:type="dxa"/>
            <w:tcBorders>
              <w:left w:val="single" w:color="000000" w:sz="10" w:space="0"/>
            </w:tcBorders>
            <w:vAlign w:val="top"/>
          </w:tcPr>
          <w:p>
            <w:pPr>
              <w:spacing w:line="236" w:lineRule="exact"/>
              <w:ind w:left="1442"/>
              <w:rPr>
                <w:rFonts w:ascii="Times New Roman" w:hAnsi="Times New Roman" w:eastAsia="Times New Roman" w:cs="Times New Roman"/>
                <w:color w:val="auto"/>
                <w:sz w:val="18"/>
                <w:szCs w:val="18"/>
                <w:highlight w:val="none"/>
              </w:rPr>
            </w:pPr>
            <w:r>
              <w:rPr>
                <w:rFonts w:ascii="宋体" w:hAnsi="宋体" w:eastAsia="宋体" w:cs="宋体"/>
                <w:color w:val="auto"/>
                <w:spacing w:val="7"/>
                <w:position w:val="2"/>
                <w:sz w:val="18"/>
                <w:szCs w:val="18"/>
                <w:highlight w:val="none"/>
              </w:rPr>
              <w:t>工频电场强度最大值点位置</w:t>
            </w:r>
            <w:r>
              <w:rPr>
                <w:rFonts w:ascii="Times New Roman" w:hAnsi="Times New Roman" w:eastAsia="Times New Roman" w:cs="Times New Roman"/>
                <w:color w:val="auto"/>
                <w:spacing w:val="7"/>
                <w:position w:val="2"/>
                <w:sz w:val="18"/>
                <w:szCs w:val="18"/>
                <w:highlight w:val="none"/>
              </w:rPr>
              <w:t>(</w:t>
            </w:r>
            <w:r>
              <w:rPr>
                <w:rFonts w:ascii="宋体" w:hAnsi="宋体" w:eastAsia="宋体" w:cs="宋体"/>
                <w:color w:val="auto"/>
                <w:spacing w:val="7"/>
                <w:position w:val="2"/>
                <w:sz w:val="18"/>
                <w:szCs w:val="18"/>
                <w:highlight w:val="none"/>
              </w:rPr>
              <w:t>与计算原点距离</w:t>
            </w:r>
            <w:r>
              <w:rPr>
                <w:rFonts w:ascii="Times New Roman" w:hAnsi="Times New Roman" w:eastAsia="Times New Roman" w:cs="Times New Roman"/>
                <w:color w:val="auto"/>
                <w:spacing w:val="7"/>
                <w:position w:val="2"/>
                <w:sz w:val="18"/>
                <w:szCs w:val="18"/>
                <w:highlight w:val="none"/>
              </w:rPr>
              <w:t xml:space="preserve">) </w:t>
            </w:r>
            <w:r>
              <w:rPr>
                <w:rFonts w:ascii="宋体" w:hAnsi="宋体" w:eastAsia="宋体" w:cs="宋体"/>
                <w:color w:val="auto"/>
                <w:spacing w:val="6"/>
                <w:position w:val="2"/>
                <w:sz w:val="18"/>
                <w:szCs w:val="18"/>
                <w:highlight w:val="none"/>
              </w:rPr>
              <w:t>，</w:t>
            </w:r>
            <w:r>
              <w:rPr>
                <w:rFonts w:ascii="Times New Roman" w:hAnsi="Times New Roman" w:eastAsia="Times New Roman" w:cs="Times New Roman"/>
                <w:color w:val="auto"/>
                <w:position w:val="2"/>
                <w:sz w:val="18"/>
                <w:szCs w:val="18"/>
                <w:highlight w:val="none"/>
              </w:rPr>
              <w:t>m</w:t>
            </w:r>
          </w:p>
        </w:tc>
        <w:tc>
          <w:tcPr>
            <w:tcW w:w="2385" w:type="dxa"/>
            <w:tcBorders>
              <w:right w:val="single" w:color="000000" w:sz="10" w:space="0"/>
            </w:tcBorders>
            <w:vAlign w:val="top"/>
          </w:tcPr>
          <w:p>
            <w:pPr>
              <w:spacing w:before="57" w:line="197" w:lineRule="auto"/>
              <w:ind w:left="101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0"/>
                <w:sz w:val="18"/>
                <w:szCs w:val="18"/>
                <w:highlight w:val="none"/>
              </w:rPr>
              <w:t>-</w:t>
            </w:r>
            <w:r>
              <w:rPr>
                <w:rFonts w:ascii="Times New Roman" w:hAnsi="Times New Roman" w:eastAsia="Times New Roman" w:cs="Times New Roman"/>
                <w:color w:val="auto"/>
                <w:spacing w:val="-8"/>
                <w:sz w:val="18"/>
                <w:szCs w:val="18"/>
                <w:highlight w:val="none"/>
              </w:rPr>
              <w:t xml:space="preserve"> 16. 1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6744" w:type="dxa"/>
            <w:tcBorders>
              <w:left w:val="single" w:color="000000" w:sz="10" w:space="0"/>
            </w:tcBorders>
            <w:vAlign w:val="top"/>
          </w:tcPr>
          <w:p>
            <w:pPr>
              <w:spacing w:line="235" w:lineRule="exact"/>
              <w:ind w:left="1531"/>
              <w:rPr>
                <w:rFonts w:ascii="Times New Roman" w:hAnsi="Times New Roman" w:eastAsia="Times New Roman" w:cs="Times New Roman"/>
                <w:color w:val="auto"/>
                <w:sz w:val="18"/>
                <w:szCs w:val="18"/>
                <w:highlight w:val="none"/>
              </w:rPr>
            </w:pPr>
            <w:r>
              <w:rPr>
                <w:rFonts w:ascii="宋体" w:hAnsi="宋体" w:eastAsia="宋体" w:cs="宋体"/>
                <w:color w:val="auto"/>
                <w:spacing w:val="7"/>
                <w:position w:val="2"/>
                <w:sz w:val="18"/>
                <w:szCs w:val="18"/>
                <w:highlight w:val="none"/>
              </w:rPr>
              <w:t>工频电场强度最大值点位置</w:t>
            </w:r>
            <w:r>
              <w:rPr>
                <w:rFonts w:ascii="Times New Roman" w:hAnsi="Times New Roman" w:eastAsia="Times New Roman" w:cs="Times New Roman"/>
                <w:color w:val="auto"/>
                <w:spacing w:val="7"/>
                <w:position w:val="2"/>
                <w:sz w:val="18"/>
                <w:szCs w:val="18"/>
                <w:highlight w:val="none"/>
              </w:rPr>
              <w:t>(</w:t>
            </w:r>
            <w:r>
              <w:rPr>
                <w:rFonts w:ascii="宋体" w:hAnsi="宋体" w:eastAsia="宋体" w:cs="宋体"/>
                <w:color w:val="auto"/>
                <w:spacing w:val="7"/>
                <w:position w:val="2"/>
                <w:sz w:val="18"/>
                <w:szCs w:val="18"/>
                <w:highlight w:val="none"/>
              </w:rPr>
              <w:t>与边导线距离</w:t>
            </w:r>
            <w:r>
              <w:rPr>
                <w:rFonts w:ascii="Times New Roman" w:hAnsi="Times New Roman" w:eastAsia="Times New Roman" w:cs="Times New Roman"/>
                <w:color w:val="auto"/>
                <w:spacing w:val="7"/>
                <w:position w:val="2"/>
                <w:sz w:val="18"/>
                <w:szCs w:val="18"/>
                <w:highlight w:val="none"/>
              </w:rPr>
              <w:t xml:space="preserve">) </w:t>
            </w:r>
            <w:r>
              <w:rPr>
                <w:rFonts w:ascii="宋体" w:hAnsi="宋体" w:eastAsia="宋体" w:cs="宋体"/>
                <w:color w:val="auto"/>
                <w:spacing w:val="5"/>
                <w:position w:val="2"/>
                <w:sz w:val="18"/>
                <w:szCs w:val="18"/>
                <w:highlight w:val="none"/>
              </w:rPr>
              <w:t>，</w:t>
            </w:r>
            <w:r>
              <w:rPr>
                <w:rFonts w:ascii="Times New Roman" w:hAnsi="Times New Roman" w:eastAsia="Times New Roman" w:cs="Times New Roman"/>
                <w:color w:val="auto"/>
                <w:position w:val="2"/>
                <w:sz w:val="18"/>
                <w:szCs w:val="18"/>
                <w:highlight w:val="none"/>
              </w:rPr>
              <w:t>m</w:t>
            </w:r>
          </w:p>
        </w:tc>
        <w:tc>
          <w:tcPr>
            <w:tcW w:w="2385" w:type="dxa"/>
            <w:tcBorders>
              <w:right w:val="single" w:color="000000" w:sz="10" w:space="0"/>
            </w:tcBorders>
            <w:vAlign w:val="top"/>
          </w:tcPr>
          <w:p>
            <w:pPr>
              <w:spacing w:before="57" w:line="197" w:lineRule="auto"/>
              <w:ind w:left="108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3"/>
                <w:sz w:val="18"/>
                <w:szCs w:val="18"/>
                <w:highlight w:val="none"/>
              </w:rPr>
              <w:t>0</w:t>
            </w:r>
            <w:r>
              <w:rPr>
                <w:rFonts w:ascii="Times New Roman" w:hAnsi="Times New Roman" w:eastAsia="Times New Roman" w:cs="Times New Roman"/>
                <w:color w:val="auto"/>
                <w:spacing w:val="2"/>
                <w:sz w:val="18"/>
                <w:szCs w:val="18"/>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6744" w:type="dxa"/>
            <w:tcBorders>
              <w:left w:val="single" w:color="000000" w:sz="10" w:space="0"/>
            </w:tcBorders>
            <w:vAlign w:val="top"/>
          </w:tcPr>
          <w:p>
            <w:pPr>
              <w:spacing w:before="28" w:line="224" w:lineRule="auto"/>
              <w:ind w:left="1824"/>
              <w:rPr>
                <w:rFonts w:ascii="Times New Roman" w:hAnsi="Times New Roman" w:eastAsia="Times New Roman" w:cs="Times New Roman"/>
                <w:color w:val="auto"/>
                <w:sz w:val="18"/>
                <w:szCs w:val="18"/>
                <w:highlight w:val="none"/>
              </w:rPr>
            </w:pPr>
            <w:r>
              <w:rPr>
                <w:rFonts w:ascii="宋体" w:hAnsi="宋体" w:eastAsia="宋体" w:cs="宋体"/>
                <w:color w:val="auto"/>
                <w:spacing w:val="8"/>
                <w:sz w:val="18"/>
                <w:szCs w:val="18"/>
                <w:highlight w:val="none"/>
              </w:rPr>
              <w:t>最</w:t>
            </w:r>
            <w:r>
              <w:rPr>
                <w:rFonts w:ascii="宋体" w:hAnsi="宋体" w:eastAsia="宋体" w:cs="宋体"/>
                <w:color w:val="auto"/>
                <w:spacing w:val="5"/>
                <w:sz w:val="18"/>
                <w:szCs w:val="18"/>
                <w:highlight w:val="none"/>
              </w:rPr>
              <w:t>低</w:t>
            </w:r>
            <w:r>
              <w:rPr>
                <w:rFonts w:ascii="宋体" w:hAnsi="宋体" w:eastAsia="宋体" w:cs="宋体"/>
                <w:color w:val="auto"/>
                <w:spacing w:val="4"/>
                <w:sz w:val="18"/>
                <w:szCs w:val="18"/>
                <w:highlight w:val="none"/>
              </w:rPr>
              <w:t xml:space="preserve">线高下工频磁感应强度最大值， </w:t>
            </w:r>
            <w:r>
              <w:rPr>
                <w:rFonts w:ascii="Times New Roman" w:hAnsi="Times New Roman" w:eastAsia="Times New Roman" w:cs="Times New Roman"/>
                <w:color w:val="auto"/>
                <w:spacing w:val="4"/>
                <w:sz w:val="18"/>
                <w:szCs w:val="18"/>
                <w:highlight w:val="none"/>
              </w:rPr>
              <w:t>µ</w:t>
            </w:r>
            <w:r>
              <w:rPr>
                <w:rFonts w:ascii="Times New Roman" w:hAnsi="Times New Roman" w:eastAsia="Times New Roman" w:cs="Times New Roman"/>
                <w:color w:val="auto"/>
                <w:sz w:val="18"/>
                <w:szCs w:val="18"/>
                <w:highlight w:val="none"/>
              </w:rPr>
              <w:t>T</w:t>
            </w:r>
          </w:p>
        </w:tc>
        <w:tc>
          <w:tcPr>
            <w:tcW w:w="2385" w:type="dxa"/>
            <w:tcBorders>
              <w:right w:val="single" w:color="000000" w:sz="10" w:space="0"/>
            </w:tcBorders>
            <w:vAlign w:val="top"/>
          </w:tcPr>
          <w:p>
            <w:pPr>
              <w:spacing w:before="62" w:line="194" w:lineRule="auto"/>
              <w:ind w:left="1042"/>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5</w:t>
            </w:r>
            <w:r>
              <w:rPr>
                <w:rFonts w:ascii="Times New Roman" w:hAnsi="Times New Roman" w:eastAsia="Times New Roman" w:cs="Times New Roman"/>
                <w:color w:val="auto"/>
                <w:spacing w:val="3"/>
                <w:sz w:val="18"/>
                <w:szCs w:val="18"/>
                <w:highlight w:val="none"/>
              </w:rPr>
              <w:t>5</w:t>
            </w:r>
            <w:r>
              <w:rPr>
                <w:rFonts w:ascii="Times New Roman" w:hAnsi="Times New Roman" w:eastAsia="Times New Roman" w:cs="Times New Roman"/>
                <w:color w:val="auto"/>
                <w:spacing w:val="2"/>
                <w:sz w:val="18"/>
                <w:szCs w:val="18"/>
                <w:highlight w:val="no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6744" w:type="dxa"/>
            <w:tcBorders>
              <w:left w:val="single" w:color="000000" w:sz="10" w:space="0"/>
            </w:tcBorders>
            <w:vAlign w:val="top"/>
          </w:tcPr>
          <w:p>
            <w:pPr>
              <w:spacing w:line="237" w:lineRule="exact"/>
              <w:ind w:left="1351"/>
              <w:rPr>
                <w:rFonts w:ascii="Times New Roman" w:hAnsi="Times New Roman" w:eastAsia="Times New Roman" w:cs="Times New Roman"/>
                <w:color w:val="auto"/>
                <w:sz w:val="18"/>
                <w:szCs w:val="18"/>
                <w:highlight w:val="none"/>
              </w:rPr>
            </w:pPr>
            <w:r>
              <w:rPr>
                <w:rFonts w:ascii="宋体" w:hAnsi="宋体" w:eastAsia="宋体" w:cs="宋体"/>
                <w:color w:val="auto"/>
                <w:spacing w:val="11"/>
                <w:position w:val="2"/>
                <w:sz w:val="18"/>
                <w:szCs w:val="18"/>
                <w:highlight w:val="none"/>
              </w:rPr>
              <w:t>工</w:t>
            </w:r>
            <w:r>
              <w:rPr>
                <w:rFonts w:ascii="宋体" w:hAnsi="宋体" w:eastAsia="宋体" w:cs="宋体"/>
                <w:color w:val="auto"/>
                <w:spacing w:val="7"/>
                <w:position w:val="2"/>
                <w:sz w:val="18"/>
                <w:szCs w:val="18"/>
                <w:highlight w:val="none"/>
              </w:rPr>
              <w:t>频磁感应强度最大值点位置</w:t>
            </w:r>
            <w:r>
              <w:rPr>
                <w:rFonts w:ascii="Times New Roman" w:hAnsi="Times New Roman" w:eastAsia="Times New Roman" w:cs="Times New Roman"/>
                <w:color w:val="auto"/>
                <w:spacing w:val="7"/>
                <w:position w:val="2"/>
                <w:sz w:val="18"/>
                <w:szCs w:val="18"/>
                <w:highlight w:val="none"/>
              </w:rPr>
              <w:t>(</w:t>
            </w:r>
            <w:r>
              <w:rPr>
                <w:rFonts w:ascii="宋体" w:hAnsi="宋体" w:eastAsia="宋体" w:cs="宋体"/>
                <w:color w:val="auto"/>
                <w:spacing w:val="7"/>
                <w:position w:val="2"/>
                <w:sz w:val="18"/>
                <w:szCs w:val="18"/>
                <w:highlight w:val="none"/>
              </w:rPr>
              <w:t>与计算原点距离</w:t>
            </w:r>
            <w:r>
              <w:rPr>
                <w:rFonts w:ascii="Times New Roman" w:hAnsi="Times New Roman" w:eastAsia="Times New Roman" w:cs="Times New Roman"/>
                <w:color w:val="auto"/>
                <w:spacing w:val="7"/>
                <w:position w:val="2"/>
                <w:sz w:val="18"/>
                <w:szCs w:val="18"/>
                <w:highlight w:val="none"/>
              </w:rPr>
              <w:t xml:space="preserve">) </w:t>
            </w:r>
            <w:r>
              <w:rPr>
                <w:rFonts w:ascii="宋体" w:hAnsi="宋体" w:eastAsia="宋体" w:cs="宋体"/>
                <w:color w:val="auto"/>
                <w:spacing w:val="7"/>
                <w:position w:val="2"/>
                <w:sz w:val="18"/>
                <w:szCs w:val="18"/>
                <w:highlight w:val="none"/>
              </w:rPr>
              <w:t>，</w:t>
            </w:r>
            <w:r>
              <w:rPr>
                <w:rFonts w:ascii="Times New Roman" w:hAnsi="Times New Roman" w:eastAsia="Times New Roman" w:cs="Times New Roman"/>
                <w:color w:val="auto"/>
                <w:position w:val="2"/>
                <w:sz w:val="18"/>
                <w:szCs w:val="18"/>
                <w:highlight w:val="none"/>
              </w:rPr>
              <w:t>m</w:t>
            </w:r>
          </w:p>
        </w:tc>
        <w:tc>
          <w:tcPr>
            <w:tcW w:w="2385" w:type="dxa"/>
            <w:tcBorders>
              <w:right w:val="single" w:color="000000" w:sz="10" w:space="0"/>
            </w:tcBorders>
            <w:vAlign w:val="top"/>
          </w:tcPr>
          <w:p>
            <w:pPr>
              <w:spacing w:before="59" w:line="197" w:lineRule="auto"/>
              <w:ind w:left="101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w:t>
            </w:r>
            <w:r>
              <w:rPr>
                <w:rFonts w:ascii="Times New Roman" w:hAnsi="Times New Roman" w:eastAsia="Times New Roman" w:cs="Times New Roman"/>
                <w:color w:val="auto"/>
                <w:spacing w:val="-4"/>
                <w:sz w:val="18"/>
                <w:szCs w:val="18"/>
                <w:highlight w:val="none"/>
              </w:rPr>
              <w:t xml:space="preserve"> 16.5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6744" w:type="dxa"/>
            <w:tcBorders>
              <w:left w:val="single" w:color="000000" w:sz="10" w:space="0"/>
            </w:tcBorders>
            <w:vAlign w:val="top"/>
          </w:tcPr>
          <w:p>
            <w:pPr>
              <w:spacing w:line="240" w:lineRule="exact"/>
              <w:ind w:left="1442"/>
              <w:rPr>
                <w:rFonts w:ascii="Times New Roman" w:hAnsi="Times New Roman" w:eastAsia="Times New Roman" w:cs="Times New Roman"/>
                <w:color w:val="auto"/>
                <w:sz w:val="18"/>
                <w:szCs w:val="18"/>
                <w:highlight w:val="none"/>
              </w:rPr>
            </w:pPr>
            <w:r>
              <w:rPr>
                <w:rFonts w:ascii="宋体" w:hAnsi="宋体" w:eastAsia="宋体" w:cs="宋体"/>
                <w:color w:val="auto"/>
                <w:spacing w:val="7"/>
                <w:position w:val="2"/>
                <w:sz w:val="18"/>
                <w:szCs w:val="18"/>
                <w:highlight w:val="none"/>
              </w:rPr>
              <w:t>工频磁感应强度最大值点位置</w:t>
            </w:r>
            <w:r>
              <w:rPr>
                <w:rFonts w:ascii="Times New Roman" w:hAnsi="Times New Roman" w:eastAsia="Times New Roman" w:cs="Times New Roman"/>
                <w:color w:val="auto"/>
                <w:spacing w:val="7"/>
                <w:position w:val="2"/>
                <w:sz w:val="18"/>
                <w:szCs w:val="18"/>
                <w:highlight w:val="none"/>
              </w:rPr>
              <w:t>(</w:t>
            </w:r>
            <w:r>
              <w:rPr>
                <w:rFonts w:ascii="宋体" w:hAnsi="宋体" w:eastAsia="宋体" w:cs="宋体"/>
                <w:color w:val="auto"/>
                <w:spacing w:val="7"/>
                <w:position w:val="2"/>
                <w:sz w:val="18"/>
                <w:szCs w:val="18"/>
                <w:highlight w:val="none"/>
              </w:rPr>
              <w:t>与边导线距离</w:t>
            </w:r>
            <w:r>
              <w:rPr>
                <w:rFonts w:ascii="Times New Roman" w:hAnsi="Times New Roman" w:eastAsia="Times New Roman" w:cs="Times New Roman"/>
                <w:color w:val="auto"/>
                <w:spacing w:val="7"/>
                <w:position w:val="2"/>
                <w:sz w:val="18"/>
                <w:szCs w:val="18"/>
                <w:highlight w:val="none"/>
              </w:rPr>
              <w:t xml:space="preserve">) </w:t>
            </w:r>
            <w:r>
              <w:rPr>
                <w:rFonts w:ascii="宋体" w:hAnsi="宋体" w:eastAsia="宋体" w:cs="宋体"/>
                <w:color w:val="auto"/>
                <w:spacing w:val="6"/>
                <w:position w:val="2"/>
                <w:sz w:val="18"/>
                <w:szCs w:val="18"/>
                <w:highlight w:val="none"/>
              </w:rPr>
              <w:t>，</w:t>
            </w:r>
            <w:r>
              <w:rPr>
                <w:rFonts w:ascii="Times New Roman" w:hAnsi="Times New Roman" w:eastAsia="Times New Roman" w:cs="Times New Roman"/>
                <w:color w:val="auto"/>
                <w:position w:val="2"/>
                <w:sz w:val="18"/>
                <w:szCs w:val="18"/>
                <w:highlight w:val="none"/>
              </w:rPr>
              <w:t>m</w:t>
            </w:r>
          </w:p>
        </w:tc>
        <w:tc>
          <w:tcPr>
            <w:tcW w:w="2385" w:type="dxa"/>
            <w:tcBorders>
              <w:right w:val="single" w:color="000000" w:sz="10" w:space="0"/>
            </w:tcBorders>
            <w:vAlign w:val="top"/>
          </w:tcPr>
          <w:p>
            <w:pPr>
              <w:spacing w:before="62" w:line="197" w:lineRule="auto"/>
              <w:ind w:left="108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0</w:t>
            </w:r>
            <w:r>
              <w:rPr>
                <w:rFonts w:ascii="Times New Roman" w:hAnsi="Times New Roman" w:eastAsia="Times New Roman" w:cs="Times New Roman"/>
                <w:color w:val="auto"/>
                <w:spacing w:val="4"/>
                <w:sz w:val="18"/>
                <w:szCs w:val="18"/>
                <w:highlight w:val="none"/>
              </w:rPr>
              <w:t>.8</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30" w:name="_Toc19055"/>
      <w:r>
        <w:rPr>
          <w:rFonts w:hint="eastAsia" w:ascii="Times New Roman" w:hAnsi="Times New Roman" w:eastAsia="宋体" w:cs="Times New Roman"/>
          <w:snapToGrid/>
          <w:kern w:val="0"/>
          <w:sz w:val="24"/>
          <w:szCs w:val="24"/>
          <w:highlight w:val="none"/>
          <w:lang w:val="en-US" w:eastAsia="zh-CN" w:bidi="ar"/>
        </w:rPr>
        <w:t>4)工频电场强度 4kV/m 等值线</w:t>
      </w:r>
      <w:bookmarkEnd w:id="130"/>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4kV/m 等值线预测结果见表6. 1-8 ，4kV 等值线分布情况见图6. 1-8 。若保证线路工 程拆迁范围外工频电场强度均满足4kV/m 的要求，则需抬高线高至 20.0m 以上。</w:t>
      </w:r>
    </w:p>
    <w:p>
      <w:pPr>
        <w:spacing w:line="281" w:lineRule="exact"/>
        <w:ind w:left="2425"/>
        <w:rPr>
          <w:rFonts w:ascii="黑体" w:hAnsi="黑体" w:eastAsia="黑体" w:cs="黑体"/>
          <w:color w:val="auto"/>
          <w:sz w:val="20"/>
          <w:szCs w:val="20"/>
          <w:highlight w:val="none"/>
        </w:rPr>
      </w:pPr>
      <w:r>
        <w:rPr>
          <w:rFonts w:ascii="黑体" w:hAnsi="黑体" w:eastAsia="黑体" w:cs="黑体"/>
          <w:color w:val="auto"/>
          <w:spacing w:val="2"/>
          <w:position w:val="1"/>
          <w:sz w:val="20"/>
          <w:szCs w:val="20"/>
          <w:highlight w:val="none"/>
        </w:rPr>
        <w:t xml:space="preserve">表 </w:t>
      </w:r>
      <w:r>
        <w:rPr>
          <w:rFonts w:ascii="Times New Roman" w:hAnsi="Times New Roman" w:eastAsia="Times New Roman" w:cs="Times New Roman"/>
          <w:color w:val="auto"/>
          <w:spacing w:val="2"/>
          <w:position w:val="1"/>
          <w:sz w:val="20"/>
          <w:szCs w:val="20"/>
          <w:highlight w:val="none"/>
        </w:rPr>
        <w:t xml:space="preserve">6. 1-8    </w:t>
      </w:r>
      <w:r>
        <w:rPr>
          <w:rFonts w:ascii="黑体" w:hAnsi="黑体" w:eastAsia="黑体" w:cs="黑体"/>
          <w:color w:val="auto"/>
          <w:spacing w:val="2"/>
          <w:position w:val="1"/>
          <w:sz w:val="20"/>
          <w:szCs w:val="20"/>
          <w:highlight w:val="none"/>
        </w:rPr>
        <w:t>工频</w:t>
      </w:r>
      <w:r>
        <w:rPr>
          <w:rFonts w:ascii="黑体" w:hAnsi="黑体" w:eastAsia="黑体" w:cs="黑体"/>
          <w:color w:val="auto"/>
          <w:spacing w:val="1"/>
          <w:position w:val="1"/>
          <w:sz w:val="20"/>
          <w:szCs w:val="20"/>
          <w:highlight w:val="none"/>
        </w:rPr>
        <w:t xml:space="preserve">电场强度 </w:t>
      </w:r>
      <w:r>
        <w:rPr>
          <w:rFonts w:ascii="Times New Roman" w:hAnsi="Times New Roman" w:eastAsia="Times New Roman" w:cs="Times New Roman"/>
          <w:color w:val="auto"/>
          <w:spacing w:val="1"/>
          <w:position w:val="1"/>
          <w:sz w:val="20"/>
          <w:szCs w:val="20"/>
          <w:highlight w:val="none"/>
        </w:rPr>
        <w:t>4</w:t>
      </w:r>
      <w:r>
        <w:rPr>
          <w:rFonts w:ascii="Times New Roman" w:hAnsi="Times New Roman" w:eastAsia="Times New Roman" w:cs="Times New Roman"/>
          <w:color w:val="auto"/>
          <w:position w:val="1"/>
          <w:sz w:val="20"/>
          <w:szCs w:val="20"/>
          <w:highlight w:val="none"/>
        </w:rPr>
        <w:t>kV</w:t>
      </w:r>
      <w:r>
        <w:rPr>
          <w:rFonts w:ascii="Times New Roman" w:hAnsi="Times New Roman" w:eastAsia="Times New Roman" w:cs="Times New Roman"/>
          <w:color w:val="auto"/>
          <w:spacing w:val="1"/>
          <w:position w:val="1"/>
          <w:sz w:val="20"/>
          <w:szCs w:val="20"/>
          <w:highlight w:val="none"/>
        </w:rPr>
        <w:t>/</w:t>
      </w:r>
      <w:r>
        <w:rPr>
          <w:rFonts w:ascii="Times New Roman" w:hAnsi="Times New Roman" w:eastAsia="Times New Roman" w:cs="Times New Roman"/>
          <w:color w:val="auto"/>
          <w:position w:val="1"/>
          <w:sz w:val="20"/>
          <w:szCs w:val="20"/>
          <w:highlight w:val="none"/>
        </w:rPr>
        <w:t>m</w:t>
      </w:r>
      <w:r>
        <w:rPr>
          <w:rFonts w:ascii="Times New Roman" w:hAnsi="Times New Roman" w:eastAsia="Times New Roman" w:cs="Times New Roman"/>
          <w:color w:val="auto"/>
          <w:spacing w:val="1"/>
          <w:position w:val="1"/>
          <w:sz w:val="20"/>
          <w:szCs w:val="20"/>
          <w:highlight w:val="none"/>
        </w:rPr>
        <w:t xml:space="preserve"> </w:t>
      </w:r>
      <w:r>
        <w:rPr>
          <w:rFonts w:ascii="黑体" w:hAnsi="黑体" w:eastAsia="黑体" w:cs="黑体"/>
          <w:color w:val="auto"/>
          <w:spacing w:val="1"/>
          <w:position w:val="1"/>
          <w:sz w:val="20"/>
          <w:szCs w:val="20"/>
          <w:highlight w:val="none"/>
        </w:rPr>
        <w:t>等值线预测结果</w:t>
      </w:r>
    </w:p>
    <w:p>
      <w:pPr>
        <w:spacing w:line="134" w:lineRule="exact"/>
        <w:rPr>
          <w:color w:val="0000FF"/>
          <w:highlight w:val="none"/>
        </w:rPr>
      </w:pPr>
    </w:p>
    <w:tbl>
      <w:tblPr>
        <w:tblStyle w:val="20"/>
        <w:tblW w:w="927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7"/>
        <w:gridCol w:w="2624"/>
        <w:gridCol w:w="2624"/>
        <w:gridCol w:w="21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1847" w:type="dxa"/>
            <w:tcBorders>
              <w:left w:val="single" w:color="000000" w:sz="10" w:space="0"/>
            </w:tcBorders>
            <w:vAlign w:val="top"/>
          </w:tcPr>
          <w:p>
            <w:pPr>
              <w:spacing w:before="18" w:line="242" w:lineRule="exact"/>
              <w:ind w:left="241"/>
              <w:rPr>
                <w:rFonts w:ascii="Times New Roman" w:hAnsi="Times New Roman" w:eastAsia="Times New Roman" w:cs="Times New Roman"/>
                <w:color w:val="auto"/>
                <w:sz w:val="18"/>
                <w:szCs w:val="18"/>
                <w:highlight w:val="none"/>
              </w:rPr>
            </w:pPr>
            <w:r>
              <w:rPr>
                <w:rFonts w:ascii="宋体" w:hAnsi="宋体" w:eastAsia="宋体" w:cs="宋体"/>
                <w:color w:val="auto"/>
                <w:spacing w:val="12"/>
                <w:position w:val="2"/>
                <w:sz w:val="18"/>
                <w:szCs w:val="18"/>
                <w:highlight w:val="none"/>
              </w:rPr>
              <w:t>导</w:t>
            </w:r>
            <w:r>
              <w:rPr>
                <w:rFonts w:ascii="宋体" w:hAnsi="宋体" w:eastAsia="宋体" w:cs="宋体"/>
                <w:color w:val="auto"/>
                <w:spacing w:val="7"/>
                <w:position w:val="2"/>
                <w:sz w:val="18"/>
                <w:szCs w:val="18"/>
                <w:highlight w:val="none"/>
              </w:rPr>
              <w:t>线对地距离</w:t>
            </w:r>
            <w:r>
              <w:rPr>
                <w:rFonts w:ascii="Times New Roman" w:hAnsi="Times New Roman" w:eastAsia="Times New Roman" w:cs="Times New Roman"/>
                <w:color w:val="auto"/>
                <w:spacing w:val="7"/>
                <w:position w:val="2"/>
                <w:sz w:val="18"/>
                <w:szCs w:val="18"/>
                <w:highlight w:val="none"/>
              </w:rPr>
              <w:t>(</w:t>
            </w:r>
            <w:r>
              <w:rPr>
                <w:rFonts w:ascii="Times New Roman" w:hAnsi="Times New Roman" w:eastAsia="Times New Roman" w:cs="Times New Roman"/>
                <w:color w:val="auto"/>
                <w:position w:val="2"/>
                <w:sz w:val="18"/>
                <w:szCs w:val="18"/>
                <w:highlight w:val="none"/>
              </w:rPr>
              <w:t>m</w:t>
            </w:r>
            <w:r>
              <w:rPr>
                <w:rFonts w:ascii="Times New Roman" w:hAnsi="Times New Roman" w:eastAsia="Times New Roman" w:cs="Times New Roman"/>
                <w:color w:val="auto"/>
                <w:spacing w:val="7"/>
                <w:position w:val="2"/>
                <w:sz w:val="18"/>
                <w:szCs w:val="18"/>
                <w:highlight w:val="none"/>
              </w:rPr>
              <w:t>)</w:t>
            </w:r>
          </w:p>
        </w:tc>
        <w:tc>
          <w:tcPr>
            <w:tcW w:w="2624" w:type="dxa"/>
            <w:vAlign w:val="top"/>
          </w:tcPr>
          <w:p>
            <w:pPr>
              <w:spacing w:before="18" w:line="242" w:lineRule="exact"/>
              <w:ind w:left="689"/>
              <w:rPr>
                <w:rFonts w:ascii="Times New Roman" w:hAnsi="Times New Roman" w:eastAsia="Times New Roman" w:cs="Times New Roman"/>
                <w:color w:val="auto"/>
                <w:sz w:val="18"/>
                <w:szCs w:val="18"/>
                <w:highlight w:val="none"/>
              </w:rPr>
            </w:pPr>
            <w:r>
              <w:rPr>
                <w:rFonts w:ascii="宋体" w:hAnsi="宋体" w:eastAsia="宋体" w:cs="宋体"/>
                <w:color w:val="auto"/>
                <w:spacing w:val="-1"/>
                <w:position w:val="1"/>
                <w:sz w:val="18"/>
                <w:szCs w:val="18"/>
                <w:highlight w:val="none"/>
              </w:rPr>
              <w:t>电场强</w:t>
            </w:r>
            <w:r>
              <w:rPr>
                <w:rFonts w:ascii="宋体" w:hAnsi="宋体" w:eastAsia="宋体" w:cs="宋体"/>
                <w:color w:val="auto"/>
                <w:position w:val="1"/>
                <w:sz w:val="18"/>
                <w:szCs w:val="18"/>
                <w:highlight w:val="none"/>
              </w:rPr>
              <w:t xml:space="preserve">度 </w:t>
            </w:r>
            <w:r>
              <w:rPr>
                <w:rFonts w:ascii="Times New Roman" w:hAnsi="Times New Roman" w:eastAsia="Times New Roman" w:cs="Times New Roman"/>
                <w:color w:val="auto"/>
                <w:position w:val="1"/>
                <w:sz w:val="18"/>
                <w:szCs w:val="18"/>
                <w:highlight w:val="none"/>
              </w:rPr>
              <w:t>4kV/m</w:t>
            </w:r>
          </w:p>
        </w:tc>
        <w:tc>
          <w:tcPr>
            <w:tcW w:w="2624" w:type="dxa"/>
            <w:vAlign w:val="top"/>
          </w:tcPr>
          <w:p>
            <w:pPr>
              <w:spacing w:before="18" w:line="242" w:lineRule="exact"/>
              <w:ind w:left="460"/>
              <w:rPr>
                <w:rFonts w:ascii="Times New Roman" w:hAnsi="Times New Roman" w:eastAsia="Times New Roman" w:cs="Times New Roman"/>
                <w:color w:val="auto"/>
                <w:sz w:val="18"/>
                <w:szCs w:val="18"/>
                <w:highlight w:val="none"/>
              </w:rPr>
            </w:pPr>
            <w:r>
              <w:rPr>
                <w:rFonts w:ascii="宋体" w:hAnsi="宋体" w:eastAsia="宋体" w:cs="宋体"/>
                <w:color w:val="auto"/>
                <w:spacing w:val="9"/>
                <w:position w:val="2"/>
                <w:sz w:val="18"/>
                <w:szCs w:val="18"/>
                <w:highlight w:val="none"/>
              </w:rPr>
              <w:t>到</w:t>
            </w:r>
            <w:r>
              <w:rPr>
                <w:rFonts w:ascii="宋体" w:hAnsi="宋体" w:eastAsia="宋体" w:cs="宋体"/>
                <w:color w:val="auto"/>
                <w:spacing w:val="8"/>
                <w:position w:val="2"/>
                <w:sz w:val="18"/>
                <w:szCs w:val="18"/>
                <w:highlight w:val="none"/>
              </w:rPr>
              <w:t>线路中心的距离</w:t>
            </w:r>
            <w:r>
              <w:rPr>
                <w:rFonts w:ascii="Times New Roman" w:hAnsi="Times New Roman" w:eastAsia="Times New Roman" w:cs="Times New Roman"/>
                <w:color w:val="auto"/>
                <w:spacing w:val="8"/>
                <w:position w:val="2"/>
                <w:sz w:val="18"/>
                <w:szCs w:val="18"/>
                <w:highlight w:val="none"/>
              </w:rPr>
              <w:t>(</w:t>
            </w:r>
            <w:r>
              <w:rPr>
                <w:rFonts w:ascii="Times New Roman" w:hAnsi="Times New Roman" w:eastAsia="Times New Roman" w:cs="Times New Roman"/>
                <w:color w:val="auto"/>
                <w:position w:val="2"/>
                <w:sz w:val="18"/>
                <w:szCs w:val="18"/>
                <w:highlight w:val="none"/>
              </w:rPr>
              <w:t>m</w:t>
            </w:r>
            <w:r>
              <w:rPr>
                <w:rFonts w:ascii="Times New Roman" w:hAnsi="Times New Roman" w:eastAsia="Times New Roman" w:cs="Times New Roman"/>
                <w:color w:val="auto"/>
                <w:spacing w:val="8"/>
                <w:position w:val="2"/>
                <w:sz w:val="18"/>
                <w:szCs w:val="18"/>
                <w:highlight w:val="none"/>
              </w:rPr>
              <w:t>)</w:t>
            </w:r>
          </w:p>
        </w:tc>
        <w:tc>
          <w:tcPr>
            <w:tcW w:w="2176" w:type="dxa"/>
            <w:tcBorders>
              <w:right w:val="single" w:color="000000" w:sz="10" w:space="0"/>
            </w:tcBorders>
            <w:vAlign w:val="top"/>
          </w:tcPr>
          <w:p>
            <w:pPr>
              <w:spacing w:before="18" w:line="242" w:lineRule="exact"/>
              <w:ind w:left="327"/>
              <w:rPr>
                <w:rFonts w:ascii="Times New Roman" w:hAnsi="Times New Roman" w:eastAsia="Times New Roman" w:cs="Times New Roman"/>
                <w:color w:val="auto"/>
                <w:sz w:val="18"/>
                <w:szCs w:val="18"/>
                <w:highlight w:val="none"/>
              </w:rPr>
            </w:pPr>
            <w:r>
              <w:rPr>
                <w:rFonts w:ascii="宋体" w:hAnsi="宋体" w:eastAsia="宋体" w:cs="宋体"/>
                <w:color w:val="auto"/>
                <w:spacing w:val="8"/>
                <w:position w:val="2"/>
                <w:sz w:val="18"/>
                <w:szCs w:val="18"/>
                <w:highlight w:val="none"/>
              </w:rPr>
              <w:t>到边导线的距离</w:t>
            </w:r>
            <w:r>
              <w:rPr>
                <w:rFonts w:ascii="Times New Roman" w:hAnsi="Times New Roman" w:eastAsia="Times New Roman" w:cs="Times New Roman"/>
                <w:color w:val="auto"/>
                <w:spacing w:val="8"/>
                <w:position w:val="2"/>
                <w:sz w:val="18"/>
                <w:szCs w:val="18"/>
                <w:highlight w:val="none"/>
              </w:rPr>
              <w:t>(</w:t>
            </w:r>
            <w:r>
              <w:rPr>
                <w:rFonts w:ascii="Times New Roman" w:hAnsi="Times New Roman" w:eastAsia="Times New Roman" w:cs="Times New Roman"/>
                <w:color w:val="auto"/>
                <w:position w:val="2"/>
                <w:sz w:val="18"/>
                <w:szCs w:val="18"/>
                <w:highlight w:val="none"/>
              </w:rPr>
              <w:t>m</w:t>
            </w:r>
            <w:r>
              <w:rPr>
                <w:rFonts w:ascii="Times New Roman" w:hAnsi="Times New Roman" w:eastAsia="Times New Roman" w:cs="Times New Roman"/>
                <w:color w:val="auto"/>
                <w:spacing w:val="7"/>
                <w:position w:val="2"/>
                <w:sz w:val="18"/>
                <w:szCs w:val="18"/>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847" w:type="dxa"/>
            <w:tcBorders>
              <w:left w:val="single" w:color="000000" w:sz="10" w:space="0"/>
            </w:tcBorders>
            <w:vAlign w:val="top"/>
          </w:tcPr>
          <w:p>
            <w:pPr>
              <w:spacing w:before="45" w:line="200"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14</w:t>
            </w:r>
            <w:r>
              <w:rPr>
                <w:rFonts w:ascii="Times New Roman" w:hAnsi="Times New Roman" w:eastAsia="Times New Roman" w:cs="Times New Roman"/>
                <w:color w:val="auto"/>
                <w:sz w:val="18"/>
                <w:szCs w:val="18"/>
                <w:highlight w:val="none"/>
              </w:rPr>
              <w:t>.0</w:t>
            </w:r>
          </w:p>
        </w:tc>
        <w:tc>
          <w:tcPr>
            <w:tcW w:w="2624" w:type="dxa"/>
            <w:vAlign w:val="top"/>
          </w:tcPr>
          <w:p>
            <w:pPr>
              <w:spacing w:before="45" w:line="197"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3834.5</w:t>
            </w:r>
            <w:r>
              <w:rPr>
                <w:rFonts w:ascii="Times New Roman" w:hAnsi="Times New Roman" w:eastAsia="Times New Roman" w:cs="Times New Roman"/>
                <w:color w:val="auto"/>
                <w:spacing w:val="2"/>
                <w:sz w:val="18"/>
                <w:szCs w:val="18"/>
                <w:highlight w:val="none"/>
              </w:rPr>
              <w:t>2</w:t>
            </w:r>
          </w:p>
        </w:tc>
        <w:tc>
          <w:tcPr>
            <w:tcW w:w="2624" w:type="dxa"/>
            <w:vAlign w:val="top"/>
          </w:tcPr>
          <w:p>
            <w:pPr>
              <w:spacing w:before="45" w:line="197"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29.35</w:t>
            </w:r>
          </w:p>
        </w:tc>
        <w:tc>
          <w:tcPr>
            <w:tcW w:w="2176" w:type="dxa"/>
            <w:tcBorders>
              <w:right w:val="single" w:color="000000" w:sz="10" w:space="0"/>
            </w:tcBorders>
            <w:vAlign w:val="top"/>
          </w:tcPr>
          <w:p>
            <w:pPr>
              <w:spacing w:before="45" w:line="197" w:lineRule="auto"/>
              <w:ind w:left="893"/>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13.</w:t>
            </w:r>
            <w:r>
              <w:rPr>
                <w:rFonts w:ascii="Times New Roman" w:hAnsi="Times New Roman" w:eastAsia="Times New Roman" w:cs="Times New Roman"/>
                <w:color w:val="auto"/>
                <w:sz w:val="18"/>
                <w:szCs w:val="18"/>
                <w:highlight w:val="none"/>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 w:hRule="atLeast"/>
        </w:trPr>
        <w:tc>
          <w:tcPr>
            <w:tcW w:w="1847" w:type="dxa"/>
            <w:tcBorders>
              <w:left w:val="single" w:color="000000" w:sz="10" w:space="0"/>
            </w:tcBorders>
            <w:vAlign w:val="top"/>
          </w:tcPr>
          <w:p>
            <w:pPr>
              <w:spacing w:before="44" w:line="173"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14 5</w:t>
            </w:r>
          </w:p>
        </w:tc>
        <w:tc>
          <w:tcPr>
            <w:tcW w:w="2624" w:type="dxa"/>
            <w:vAlign w:val="top"/>
          </w:tcPr>
          <w:p>
            <w:pPr>
              <w:spacing w:before="44" w:line="173"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3779 8</w:t>
            </w:r>
            <w:r>
              <w:rPr>
                <w:rFonts w:ascii="Times New Roman" w:hAnsi="Times New Roman" w:eastAsia="Times New Roman" w:cs="Times New Roman"/>
                <w:color w:val="auto"/>
                <w:spacing w:val="2"/>
                <w:sz w:val="18"/>
                <w:szCs w:val="18"/>
                <w:highlight w:val="none"/>
              </w:rPr>
              <w:t>5</w:t>
            </w:r>
          </w:p>
        </w:tc>
        <w:tc>
          <w:tcPr>
            <w:tcW w:w="2624" w:type="dxa"/>
            <w:vAlign w:val="top"/>
          </w:tcPr>
          <w:p>
            <w:pPr>
              <w:spacing w:before="44" w:line="173"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29 23</w:t>
            </w:r>
          </w:p>
        </w:tc>
        <w:tc>
          <w:tcPr>
            <w:tcW w:w="2176" w:type="dxa"/>
            <w:tcBorders>
              <w:right w:val="single" w:color="000000" w:sz="10" w:space="0"/>
            </w:tcBorders>
            <w:vAlign w:val="top"/>
          </w:tcPr>
          <w:p>
            <w:pPr>
              <w:spacing w:before="44" w:line="173" w:lineRule="auto"/>
              <w:ind w:left="893"/>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 xml:space="preserve">13 </w:t>
            </w:r>
            <w:r>
              <w:rPr>
                <w:rFonts w:ascii="Times New Roman" w:hAnsi="Times New Roman" w:eastAsia="Times New Roman" w:cs="Times New Roman"/>
                <w:color w:val="auto"/>
                <w:sz w:val="18"/>
                <w:szCs w:val="18"/>
                <w:highlight w:val="none"/>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847" w:type="dxa"/>
            <w:tcBorders>
              <w:left w:val="single" w:color="000000" w:sz="10" w:space="0"/>
            </w:tcBorders>
            <w:vAlign w:val="top"/>
          </w:tcPr>
          <w:p>
            <w:pPr>
              <w:spacing w:before="70" w:line="197"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15</w:t>
            </w:r>
            <w:r>
              <w:rPr>
                <w:rFonts w:ascii="Times New Roman" w:hAnsi="Times New Roman" w:eastAsia="Times New Roman" w:cs="Times New Roman"/>
                <w:color w:val="auto"/>
                <w:sz w:val="18"/>
                <w:szCs w:val="18"/>
                <w:highlight w:val="none"/>
              </w:rPr>
              <w:t>.0</w:t>
            </w:r>
          </w:p>
        </w:tc>
        <w:tc>
          <w:tcPr>
            <w:tcW w:w="2624" w:type="dxa"/>
            <w:vAlign w:val="top"/>
          </w:tcPr>
          <w:p>
            <w:pPr>
              <w:spacing w:before="70" w:line="197"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3722.0</w:t>
            </w:r>
            <w:r>
              <w:rPr>
                <w:rFonts w:ascii="Times New Roman" w:hAnsi="Times New Roman" w:eastAsia="Times New Roman" w:cs="Times New Roman"/>
                <w:color w:val="auto"/>
                <w:spacing w:val="2"/>
                <w:sz w:val="18"/>
                <w:szCs w:val="18"/>
                <w:highlight w:val="none"/>
              </w:rPr>
              <w:t>4</w:t>
            </w:r>
          </w:p>
        </w:tc>
        <w:tc>
          <w:tcPr>
            <w:tcW w:w="2624" w:type="dxa"/>
            <w:vAlign w:val="top"/>
          </w:tcPr>
          <w:p>
            <w:pPr>
              <w:spacing w:before="70" w:line="197" w:lineRule="auto"/>
              <w:ind w:left="110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7"/>
                <w:sz w:val="18"/>
                <w:szCs w:val="18"/>
                <w:highlight w:val="none"/>
              </w:rPr>
              <w:t>2</w:t>
            </w:r>
            <w:r>
              <w:rPr>
                <w:rFonts w:ascii="Times New Roman" w:hAnsi="Times New Roman" w:eastAsia="Times New Roman" w:cs="Times New Roman"/>
                <w:color w:val="auto"/>
                <w:spacing w:val="-4"/>
                <w:sz w:val="18"/>
                <w:szCs w:val="18"/>
                <w:highlight w:val="none"/>
              </w:rPr>
              <w:t>9. 11</w:t>
            </w:r>
          </w:p>
        </w:tc>
        <w:tc>
          <w:tcPr>
            <w:tcW w:w="2176" w:type="dxa"/>
            <w:tcBorders>
              <w:right w:val="single" w:color="000000" w:sz="10" w:space="0"/>
            </w:tcBorders>
            <w:vAlign w:val="top"/>
          </w:tcPr>
          <w:p>
            <w:pPr>
              <w:spacing w:before="70" w:line="197" w:lineRule="auto"/>
              <w:ind w:left="893"/>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13.</w:t>
            </w:r>
            <w:r>
              <w:rPr>
                <w:rFonts w:ascii="Times New Roman" w:hAnsi="Times New Roman" w:eastAsia="Times New Roman" w:cs="Times New Roman"/>
                <w:color w:val="auto"/>
                <w:sz w:val="18"/>
                <w:szCs w:val="18"/>
                <w:highlight w:val="none"/>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847" w:type="dxa"/>
            <w:tcBorders>
              <w:left w:val="single" w:color="000000" w:sz="10" w:space="0"/>
            </w:tcBorders>
            <w:vAlign w:val="top"/>
          </w:tcPr>
          <w:p>
            <w:pPr>
              <w:spacing w:before="45" w:line="197"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15.5</w:t>
            </w:r>
          </w:p>
        </w:tc>
        <w:tc>
          <w:tcPr>
            <w:tcW w:w="2624" w:type="dxa"/>
            <w:vAlign w:val="top"/>
          </w:tcPr>
          <w:p>
            <w:pPr>
              <w:spacing w:before="45" w:line="197"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3923.6</w:t>
            </w:r>
            <w:r>
              <w:rPr>
                <w:rFonts w:ascii="Times New Roman" w:hAnsi="Times New Roman" w:eastAsia="Times New Roman" w:cs="Times New Roman"/>
                <w:color w:val="auto"/>
                <w:spacing w:val="2"/>
                <w:sz w:val="18"/>
                <w:szCs w:val="18"/>
                <w:highlight w:val="none"/>
              </w:rPr>
              <w:t>8</w:t>
            </w:r>
          </w:p>
        </w:tc>
        <w:tc>
          <w:tcPr>
            <w:tcW w:w="2624" w:type="dxa"/>
            <w:vAlign w:val="top"/>
          </w:tcPr>
          <w:p>
            <w:pPr>
              <w:spacing w:before="45" w:line="197"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28.50</w:t>
            </w:r>
          </w:p>
        </w:tc>
        <w:tc>
          <w:tcPr>
            <w:tcW w:w="2176" w:type="dxa"/>
            <w:tcBorders>
              <w:right w:val="single" w:color="000000" w:sz="10" w:space="0"/>
            </w:tcBorders>
            <w:vAlign w:val="top"/>
          </w:tcPr>
          <w:p>
            <w:pPr>
              <w:spacing w:before="45" w:line="200" w:lineRule="auto"/>
              <w:ind w:left="93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12</w:t>
            </w:r>
            <w:r>
              <w:rPr>
                <w:rFonts w:ascii="Times New Roman" w:hAnsi="Times New Roman" w:eastAsia="Times New Roman" w:cs="Times New Roman"/>
                <w:color w:val="auto"/>
                <w:sz w:val="18"/>
                <w:szCs w:val="18"/>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 w:hRule="atLeast"/>
        </w:trPr>
        <w:tc>
          <w:tcPr>
            <w:tcW w:w="1847" w:type="dxa"/>
            <w:tcBorders>
              <w:left w:val="single" w:color="000000" w:sz="10" w:space="0"/>
            </w:tcBorders>
            <w:vAlign w:val="top"/>
          </w:tcPr>
          <w:p>
            <w:pPr>
              <w:spacing w:before="44" w:line="172"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16</w:t>
            </w:r>
            <w:r>
              <w:rPr>
                <w:rFonts w:ascii="Times New Roman" w:hAnsi="Times New Roman" w:eastAsia="Times New Roman" w:cs="Times New Roman"/>
                <w:color w:val="auto"/>
                <w:sz w:val="18"/>
                <w:szCs w:val="18"/>
                <w:highlight w:val="none"/>
              </w:rPr>
              <w:t xml:space="preserve"> 0</w:t>
            </w:r>
          </w:p>
        </w:tc>
        <w:tc>
          <w:tcPr>
            <w:tcW w:w="2624" w:type="dxa"/>
            <w:vAlign w:val="top"/>
          </w:tcPr>
          <w:p>
            <w:pPr>
              <w:spacing w:before="44" w:line="172"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3845 8</w:t>
            </w:r>
            <w:r>
              <w:rPr>
                <w:rFonts w:ascii="Times New Roman" w:hAnsi="Times New Roman" w:eastAsia="Times New Roman" w:cs="Times New Roman"/>
                <w:color w:val="auto"/>
                <w:spacing w:val="2"/>
                <w:sz w:val="18"/>
                <w:szCs w:val="18"/>
                <w:highlight w:val="none"/>
              </w:rPr>
              <w:t>1</w:t>
            </w:r>
          </w:p>
        </w:tc>
        <w:tc>
          <w:tcPr>
            <w:tcW w:w="2624" w:type="dxa"/>
            <w:vAlign w:val="top"/>
          </w:tcPr>
          <w:p>
            <w:pPr>
              <w:spacing w:before="44" w:line="172"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28 30</w:t>
            </w:r>
          </w:p>
        </w:tc>
        <w:tc>
          <w:tcPr>
            <w:tcW w:w="2176" w:type="dxa"/>
            <w:tcBorders>
              <w:right w:val="single" w:color="000000" w:sz="10" w:space="0"/>
            </w:tcBorders>
            <w:vAlign w:val="top"/>
          </w:tcPr>
          <w:p>
            <w:pPr>
              <w:spacing w:before="44" w:line="172" w:lineRule="auto"/>
              <w:ind w:left="93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w:t>
            </w:r>
            <w:r>
              <w:rPr>
                <w:rFonts w:ascii="Times New Roman" w:hAnsi="Times New Roman" w:eastAsia="Times New Roman" w:cs="Times New Roman"/>
                <w:color w:val="auto"/>
                <w:sz w:val="18"/>
                <w:szCs w:val="18"/>
                <w:highlight w:val="none"/>
              </w:rPr>
              <w:t>2 6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847" w:type="dxa"/>
            <w:tcBorders>
              <w:left w:val="single" w:color="000000" w:sz="10" w:space="0"/>
            </w:tcBorders>
            <w:vAlign w:val="top"/>
          </w:tcPr>
          <w:p>
            <w:pPr>
              <w:spacing w:before="73" w:line="197"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16.5</w:t>
            </w:r>
          </w:p>
        </w:tc>
        <w:tc>
          <w:tcPr>
            <w:tcW w:w="2624" w:type="dxa"/>
            <w:vAlign w:val="top"/>
          </w:tcPr>
          <w:p>
            <w:pPr>
              <w:spacing w:before="72" w:line="197"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3767.0</w:t>
            </w:r>
            <w:r>
              <w:rPr>
                <w:rFonts w:ascii="Times New Roman" w:hAnsi="Times New Roman" w:eastAsia="Times New Roman" w:cs="Times New Roman"/>
                <w:color w:val="auto"/>
                <w:spacing w:val="2"/>
                <w:sz w:val="18"/>
                <w:szCs w:val="18"/>
                <w:highlight w:val="none"/>
              </w:rPr>
              <w:t>1</w:t>
            </w:r>
          </w:p>
        </w:tc>
        <w:tc>
          <w:tcPr>
            <w:tcW w:w="2624" w:type="dxa"/>
            <w:vAlign w:val="top"/>
          </w:tcPr>
          <w:p>
            <w:pPr>
              <w:spacing w:before="73" w:line="197"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5"/>
                <w:sz w:val="18"/>
                <w:szCs w:val="18"/>
                <w:highlight w:val="none"/>
              </w:rPr>
              <w:t>8</w:t>
            </w:r>
            <w:r>
              <w:rPr>
                <w:rFonts w:ascii="Times New Roman" w:hAnsi="Times New Roman" w:eastAsia="Times New Roman" w:cs="Times New Roman"/>
                <w:color w:val="auto"/>
                <w:spacing w:val="-3"/>
                <w:sz w:val="18"/>
                <w:szCs w:val="18"/>
                <w:highlight w:val="none"/>
              </w:rPr>
              <w:t>. 10</w:t>
            </w:r>
          </w:p>
        </w:tc>
        <w:tc>
          <w:tcPr>
            <w:tcW w:w="2176" w:type="dxa"/>
            <w:tcBorders>
              <w:right w:val="single" w:color="000000" w:sz="10" w:space="0"/>
            </w:tcBorders>
            <w:vAlign w:val="top"/>
          </w:tcPr>
          <w:p>
            <w:pPr>
              <w:spacing w:before="72" w:line="200" w:lineRule="auto"/>
              <w:ind w:left="93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12.</w:t>
            </w:r>
            <w:r>
              <w:rPr>
                <w:rFonts w:ascii="Times New Roman" w:hAnsi="Times New Roman" w:eastAsia="Times New Roman" w:cs="Times New Roman"/>
                <w:color w:val="auto"/>
                <w:sz w:val="18"/>
                <w:szCs w:val="18"/>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 w:hRule="atLeast"/>
        </w:trPr>
        <w:tc>
          <w:tcPr>
            <w:tcW w:w="1847" w:type="dxa"/>
            <w:tcBorders>
              <w:left w:val="single" w:color="000000" w:sz="10" w:space="0"/>
            </w:tcBorders>
            <w:vAlign w:val="top"/>
          </w:tcPr>
          <w:p>
            <w:pPr>
              <w:spacing w:before="45" w:line="171"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17</w:t>
            </w:r>
            <w:r>
              <w:rPr>
                <w:rFonts w:ascii="Times New Roman" w:hAnsi="Times New Roman" w:eastAsia="Times New Roman" w:cs="Times New Roman"/>
                <w:color w:val="auto"/>
                <w:sz w:val="18"/>
                <w:szCs w:val="18"/>
                <w:highlight w:val="none"/>
              </w:rPr>
              <w:t xml:space="preserve"> 0</w:t>
            </w:r>
          </w:p>
        </w:tc>
        <w:tc>
          <w:tcPr>
            <w:tcW w:w="2624" w:type="dxa"/>
            <w:vAlign w:val="top"/>
          </w:tcPr>
          <w:p>
            <w:pPr>
              <w:spacing w:before="45" w:line="171"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3910 4</w:t>
            </w:r>
            <w:r>
              <w:rPr>
                <w:rFonts w:ascii="Times New Roman" w:hAnsi="Times New Roman" w:eastAsia="Times New Roman" w:cs="Times New Roman"/>
                <w:color w:val="auto"/>
                <w:spacing w:val="2"/>
                <w:sz w:val="18"/>
                <w:szCs w:val="18"/>
                <w:highlight w:val="none"/>
              </w:rPr>
              <w:t>8</w:t>
            </w:r>
          </w:p>
        </w:tc>
        <w:tc>
          <w:tcPr>
            <w:tcW w:w="2624" w:type="dxa"/>
            <w:vAlign w:val="top"/>
          </w:tcPr>
          <w:p>
            <w:pPr>
              <w:spacing w:before="45" w:line="171"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27 30</w:t>
            </w:r>
          </w:p>
        </w:tc>
        <w:tc>
          <w:tcPr>
            <w:tcW w:w="2176" w:type="dxa"/>
            <w:tcBorders>
              <w:right w:val="single" w:color="000000" w:sz="10" w:space="0"/>
            </w:tcBorders>
            <w:vAlign w:val="top"/>
          </w:tcPr>
          <w:p>
            <w:pPr>
              <w:spacing w:before="45" w:line="171" w:lineRule="auto"/>
              <w:ind w:left="943"/>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11 6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847" w:type="dxa"/>
            <w:tcBorders>
              <w:left w:val="single" w:color="000000" w:sz="10" w:space="0"/>
            </w:tcBorders>
            <w:vAlign w:val="top"/>
          </w:tcPr>
          <w:p>
            <w:pPr>
              <w:spacing w:before="74" w:line="197"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17.5</w:t>
            </w:r>
          </w:p>
        </w:tc>
        <w:tc>
          <w:tcPr>
            <w:tcW w:w="2624" w:type="dxa"/>
            <w:vAlign w:val="top"/>
          </w:tcPr>
          <w:p>
            <w:pPr>
              <w:spacing w:before="74" w:line="197"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3816. 17</w:t>
            </w:r>
          </w:p>
        </w:tc>
        <w:tc>
          <w:tcPr>
            <w:tcW w:w="2624" w:type="dxa"/>
            <w:vAlign w:val="top"/>
          </w:tcPr>
          <w:p>
            <w:pPr>
              <w:spacing w:before="74" w:line="197"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27.01</w:t>
            </w:r>
          </w:p>
        </w:tc>
        <w:tc>
          <w:tcPr>
            <w:tcW w:w="2176" w:type="dxa"/>
            <w:tcBorders>
              <w:right w:val="single" w:color="000000" w:sz="10" w:space="0"/>
            </w:tcBorders>
            <w:vAlign w:val="top"/>
          </w:tcPr>
          <w:p>
            <w:pPr>
              <w:spacing w:before="74" w:line="200" w:lineRule="auto"/>
              <w:ind w:left="89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11.3</w:t>
            </w:r>
            <w:r>
              <w:rPr>
                <w:rFonts w:ascii="Times New Roman" w:hAnsi="Times New Roman" w:eastAsia="Times New Roman" w:cs="Times New Roman"/>
                <w:color w:val="auto"/>
                <w:sz w:val="18"/>
                <w:szCs w:val="18"/>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847" w:type="dxa"/>
            <w:tcBorders>
              <w:left w:val="single" w:color="000000" w:sz="10" w:space="0"/>
            </w:tcBorders>
            <w:vAlign w:val="top"/>
          </w:tcPr>
          <w:p>
            <w:pPr>
              <w:spacing w:before="47" w:line="197"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18</w:t>
            </w:r>
            <w:r>
              <w:rPr>
                <w:rFonts w:ascii="Times New Roman" w:hAnsi="Times New Roman" w:eastAsia="Times New Roman" w:cs="Times New Roman"/>
                <w:color w:val="auto"/>
                <w:sz w:val="18"/>
                <w:szCs w:val="18"/>
                <w:highlight w:val="none"/>
              </w:rPr>
              <w:t>.0</w:t>
            </w:r>
          </w:p>
        </w:tc>
        <w:tc>
          <w:tcPr>
            <w:tcW w:w="2624" w:type="dxa"/>
            <w:vAlign w:val="top"/>
          </w:tcPr>
          <w:p>
            <w:pPr>
              <w:spacing w:before="47" w:line="197"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3916.0</w:t>
            </w:r>
            <w:r>
              <w:rPr>
                <w:rFonts w:ascii="Times New Roman" w:hAnsi="Times New Roman" w:eastAsia="Times New Roman" w:cs="Times New Roman"/>
                <w:color w:val="auto"/>
                <w:spacing w:val="2"/>
                <w:sz w:val="18"/>
                <w:szCs w:val="18"/>
                <w:highlight w:val="none"/>
              </w:rPr>
              <w:t>8</w:t>
            </w:r>
          </w:p>
        </w:tc>
        <w:tc>
          <w:tcPr>
            <w:tcW w:w="2624" w:type="dxa"/>
            <w:vAlign w:val="top"/>
          </w:tcPr>
          <w:p>
            <w:pPr>
              <w:spacing w:before="47" w:line="197"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5"/>
                <w:sz w:val="18"/>
                <w:szCs w:val="18"/>
                <w:highlight w:val="none"/>
              </w:rPr>
              <w:t>6</w:t>
            </w:r>
            <w:r>
              <w:rPr>
                <w:rFonts w:ascii="Times New Roman" w:hAnsi="Times New Roman" w:eastAsia="Times New Roman" w:cs="Times New Roman"/>
                <w:color w:val="auto"/>
                <w:spacing w:val="-3"/>
                <w:sz w:val="18"/>
                <w:szCs w:val="18"/>
                <w:highlight w:val="none"/>
              </w:rPr>
              <w:t>. 10</w:t>
            </w:r>
          </w:p>
        </w:tc>
        <w:tc>
          <w:tcPr>
            <w:tcW w:w="2176" w:type="dxa"/>
            <w:tcBorders>
              <w:right w:val="single" w:color="000000" w:sz="10" w:space="0"/>
            </w:tcBorders>
            <w:vAlign w:val="top"/>
          </w:tcPr>
          <w:p>
            <w:pPr>
              <w:spacing w:before="47" w:line="197" w:lineRule="auto"/>
              <w:ind w:left="938"/>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10.</w:t>
            </w:r>
            <w:r>
              <w:rPr>
                <w:rFonts w:ascii="Times New Roman" w:hAnsi="Times New Roman" w:eastAsia="Times New Roman" w:cs="Times New Roman"/>
                <w:color w:val="auto"/>
                <w:sz w:val="18"/>
                <w:szCs w:val="18"/>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847" w:type="dxa"/>
            <w:tcBorders>
              <w:left w:val="single" w:color="000000" w:sz="10" w:space="0"/>
            </w:tcBorders>
            <w:vAlign w:val="top"/>
          </w:tcPr>
          <w:p>
            <w:pPr>
              <w:spacing w:before="46" w:line="197"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18.5</w:t>
            </w:r>
          </w:p>
        </w:tc>
        <w:tc>
          <w:tcPr>
            <w:tcW w:w="2624" w:type="dxa"/>
            <w:vAlign w:val="top"/>
          </w:tcPr>
          <w:p>
            <w:pPr>
              <w:spacing w:before="46" w:line="197"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3983.7</w:t>
            </w:r>
            <w:r>
              <w:rPr>
                <w:rFonts w:ascii="Times New Roman" w:hAnsi="Times New Roman" w:eastAsia="Times New Roman" w:cs="Times New Roman"/>
                <w:color w:val="auto"/>
                <w:spacing w:val="2"/>
                <w:sz w:val="18"/>
                <w:szCs w:val="18"/>
                <w:highlight w:val="none"/>
              </w:rPr>
              <w:t>6</w:t>
            </w:r>
          </w:p>
        </w:tc>
        <w:tc>
          <w:tcPr>
            <w:tcW w:w="2624" w:type="dxa"/>
            <w:vAlign w:val="top"/>
          </w:tcPr>
          <w:p>
            <w:pPr>
              <w:spacing w:before="46" w:line="197"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25.55</w:t>
            </w:r>
          </w:p>
        </w:tc>
        <w:tc>
          <w:tcPr>
            <w:tcW w:w="2176" w:type="dxa"/>
            <w:tcBorders>
              <w:right w:val="single" w:color="000000" w:sz="10" w:space="0"/>
            </w:tcBorders>
            <w:vAlign w:val="top"/>
          </w:tcPr>
          <w:p>
            <w:pPr>
              <w:spacing w:before="46" w:line="197" w:lineRule="auto"/>
              <w:ind w:left="92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9</w:t>
            </w:r>
            <w:r>
              <w:rPr>
                <w:rFonts w:ascii="Times New Roman" w:hAnsi="Times New Roman" w:eastAsia="Times New Roman" w:cs="Times New Roman"/>
                <w:color w:val="auto"/>
                <w:spacing w:val="2"/>
                <w:sz w:val="18"/>
                <w:szCs w:val="18"/>
                <w:highlight w:val="none"/>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847" w:type="dxa"/>
            <w:tcBorders>
              <w:left w:val="single" w:color="000000" w:sz="10" w:space="0"/>
            </w:tcBorders>
            <w:vAlign w:val="top"/>
          </w:tcPr>
          <w:p>
            <w:pPr>
              <w:spacing w:before="47" w:line="197"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19</w:t>
            </w:r>
            <w:r>
              <w:rPr>
                <w:rFonts w:ascii="Times New Roman" w:hAnsi="Times New Roman" w:eastAsia="Times New Roman" w:cs="Times New Roman"/>
                <w:color w:val="auto"/>
                <w:sz w:val="18"/>
                <w:szCs w:val="18"/>
                <w:highlight w:val="none"/>
              </w:rPr>
              <w:t>.0</w:t>
            </w:r>
          </w:p>
        </w:tc>
        <w:tc>
          <w:tcPr>
            <w:tcW w:w="2624" w:type="dxa"/>
            <w:vAlign w:val="top"/>
          </w:tcPr>
          <w:p>
            <w:pPr>
              <w:spacing w:before="48" w:line="197"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3866. 13</w:t>
            </w:r>
          </w:p>
        </w:tc>
        <w:tc>
          <w:tcPr>
            <w:tcW w:w="2624" w:type="dxa"/>
            <w:vAlign w:val="top"/>
          </w:tcPr>
          <w:p>
            <w:pPr>
              <w:spacing w:before="48" w:line="197"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6"/>
                <w:sz w:val="18"/>
                <w:szCs w:val="18"/>
                <w:highlight w:val="none"/>
              </w:rPr>
              <w:t>2</w:t>
            </w:r>
            <w:r>
              <w:rPr>
                <w:rFonts w:ascii="Times New Roman" w:hAnsi="Times New Roman" w:eastAsia="Times New Roman" w:cs="Times New Roman"/>
                <w:color w:val="auto"/>
                <w:spacing w:val="-5"/>
                <w:sz w:val="18"/>
                <w:szCs w:val="18"/>
                <w:highlight w:val="none"/>
              </w:rPr>
              <w:t>5</w:t>
            </w:r>
            <w:r>
              <w:rPr>
                <w:rFonts w:ascii="Times New Roman" w:hAnsi="Times New Roman" w:eastAsia="Times New Roman" w:cs="Times New Roman"/>
                <w:color w:val="auto"/>
                <w:spacing w:val="-3"/>
                <w:sz w:val="18"/>
                <w:szCs w:val="18"/>
                <w:highlight w:val="none"/>
              </w:rPr>
              <w:t>. 10</w:t>
            </w:r>
          </w:p>
        </w:tc>
        <w:tc>
          <w:tcPr>
            <w:tcW w:w="2176" w:type="dxa"/>
            <w:tcBorders>
              <w:right w:val="single" w:color="000000" w:sz="10" w:space="0"/>
            </w:tcBorders>
            <w:vAlign w:val="top"/>
          </w:tcPr>
          <w:p>
            <w:pPr>
              <w:spacing w:before="47" w:line="197" w:lineRule="auto"/>
              <w:ind w:left="97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3"/>
                <w:sz w:val="18"/>
                <w:szCs w:val="18"/>
                <w:highlight w:val="none"/>
              </w:rPr>
              <w:t>9</w:t>
            </w:r>
            <w:r>
              <w:rPr>
                <w:rFonts w:ascii="Times New Roman" w:hAnsi="Times New Roman" w:eastAsia="Times New Roman" w:cs="Times New Roman"/>
                <w:color w:val="auto"/>
                <w:spacing w:val="2"/>
                <w:sz w:val="18"/>
                <w:szCs w:val="18"/>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 w:hRule="atLeast"/>
        </w:trPr>
        <w:tc>
          <w:tcPr>
            <w:tcW w:w="1847" w:type="dxa"/>
            <w:tcBorders>
              <w:left w:val="single" w:color="000000" w:sz="10" w:space="0"/>
            </w:tcBorders>
            <w:vAlign w:val="top"/>
          </w:tcPr>
          <w:p>
            <w:pPr>
              <w:spacing w:before="46" w:line="170" w:lineRule="auto"/>
              <w:ind w:left="7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z w:val="18"/>
                <w:szCs w:val="18"/>
                <w:highlight w:val="none"/>
              </w:rPr>
              <w:t>19 5</w:t>
            </w:r>
          </w:p>
        </w:tc>
        <w:tc>
          <w:tcPr>
            <w:tcW w:w="2624" w:type="dxa"/>
            <w:vAlign w:val="top"/>
          </w:tcPr>
          <w:p>
            <w:pPr>
              <w:spacing w:before="46" w:line="170"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3889 4</w:t>
            </w:r>
            <w:r>
              <w:rPr>
                <w:rFonts w:ascii="Times New Roman" w:hAnsi="Times New Roman" w:eastAsia="Times New Roman" w:cs="Times New Roman"/>
                <w:color w:val="auto"/>
                <w:spacing w:val="2"/>
                <w:sz w:val="18"/>
                <w:szCs w:val="18"/>
                <w:highlight w:val="none"/>
              </w:rPr>
              <w:t>8</w:t>
            </w:r>
          </w:p>
        </w:tc>
        <w:tc>
          <w:tcPr>
            <w:tcW w:w="2624" w:type="dxa"/>
            <w:vAlign w:val="top"/>
          </w:tcPr>
          <w:p>
            <w:pPr>
              <w:spacing w:before="46" w:line="170"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24 10</w:t>
            </w:r>
          </w:p>
        </w:tc>
        <w:tc>
          <w:tcPr>
            <w:tcW w:w="2176" w:type="dxa"/>
            <w:tcBorders>
              <w:right w:val="single" w:color="000000" w:sz="10" w:space="0"/>
            </w:tcBorders>
            <w:vAlign w:val="top"/>
          </w:tcPr>
          <w:p>
            <w:pPr>
              <w:spacing w:before="46" w:line="170" w:lineRule="auto"/>
              <w:ind w:left="97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8 4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847" w:type="dxa"/>
            <w:tcBorders>
              <w:left w:val="single" w:color="000000" w:sz="10" w:space="0"/>
            </w:tcBorders>
            <w:vAlign w:val="top"/>
          </w:tcPr>
          <w:p>
            <w:pPr>
              <w:spacing w:before="75" w:line="197" w:lineRule="auto"/>
              <w:ind w:left="747"/>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20.</w:t>
            </w:r>
            <w:r>
              <w:rPr>
                <w:rFonts w:ascii="Times New Roman" w:hAnsi="Times New Roman" w:eastAsia="Times New Roman" w:cs="Times New Roman"/>
                <w:color w:val="auto"/>
                <w:spacing w:val="3"/>
                <w:sz w:val="18"/>
                <w:szCs w:val="18"/>
                <w:highlight w:val="none"/>
              </w:rPr>
              <w:t>0</w:t>
            </w:r>
          </w:p>
        </w:tc>
        <w:tc>
          <w:tcPr>
            <w:tcW w:w="2624" w:type="dxa"/>
            <w:vAlign w:val="top"/>
          </w:tcPr>
          <w:p>
            <w:pPr>
              <w:spacing w:before="75" w:line="197"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3974.0</w:t>
            </w:r>
            <w:r>
              <w:rPr>
                <w:rFonts w:ascii="Times New Roman" w:hAnsi="Times New Roman" w:eastAsia="Times New Roman" w:cs="Times New Roman"/>
                <w:color w:val="auto"/>
                <w:spacing w:val="2"/>
                <w:sz w:val="18"/>
                <w:szCs w:val="18"/>
                <w:highlight w:val="none"/>
              </w:rPr>
              <w:t>3</w:t>
            </w:r>
          </w:p>
        </w:tc>
        <w:tc>
          <w:tcPr>
            <w:tcW w:w="2624" w:type="dxa"/>
            <w:vAlign w:val="top"/>
          </w:tcPr>
          <w:p>
            <w:pPr>
              <w:spacing w:before="75" w:line="200" w:lineRule="auto"/>
              <w:ind w:left="110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22.25</w:t>
            </w:r>
          </w:p>
        </w:tc>
        <w:tc>
          <w:tcPr>
            <w:tcW w:w="2176" w:type="dxa"/>
            <w:tcBorders>
              <w:right w:val="single" w:color="000000" w:sz="10" w:space="0"/>
            </w:tcBorders>
            <w:vAlign w:val="top"/>
          </w:tcPr>
          <w:p>
            <w:pPr>
              <w:spacing w:before="75" w:line="197" w:lineRule="auto"/>
              <w:ind w:left="92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6</w:t>
            </w:r>
            <w:r>
              <w:rPr>
                <w:rFonts w:ascii="Times New Roman" w:hAnsi="Times New Roman" w:eastAsia="Times New Roman" w:cs="Times New Roman"/>
                <w:color w:val="auto"/>
                <w:spacing w:val="2"/>
                <w:sz w:val="18"/>
                <w:szCs w:val="18"/>
                <w:highlight w:val="none"/>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 w:hRule="atLeast"/>
        </w:trPr>
        <w:tc>
          <w:tcPr>
            <w:tcW w:w="1847" w:type="dxa"/>
            <w:tcBorders>
              <w:left w:val="single" w:color="000000" w:sz="10" w:space="0"/>
            </w:tcBorders>
            <w:vAlign w:val="top"/>
          </w:tcPr>
          <w:p>
            <w:pPr>
              <w:spacing w:before="48" w:line="168" w:lineRule="auto"/>
              <w:ind w:left="747"/>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2</w:t>
            </w:r>
            <w:r>
              <w:rPr>
                <w:rFonts w:ascii="Times New Roman" w:hAnsi="Times New Roman" w:eastAsia="Times New Roman" w:cs="Times New Roman"/>
                <w:color w:val="auto"/>
                <w:spacing w:val="4"/>
                <w:sz w:val="18"/>
                <w:szCs w:val="18"/>
                <w:highlight w:val="none"/>
              </w:rPr>
              <w:t>0 5</w:t>
            </w:r>
          </w:p>
        </w:tc>
        <w:tc>
          <w:tcPr>
            <w:tcW w:w="2624" w:type="dxa"/>
            <w:vAlign w:val="top"/>
          </w:tcPr>
          <w:p>
            <w:pPr>
              <w:spacing w:before="48" w:line="168"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3959 7</w:t>
            </w:r>
            <w:r>
              <w:rPr>
                <w:rFonts w:ascii="Times New Roman" w:hAnsi="Times New Roman" w:eastAsia="Times New Roman" w:cs="Times New Roman"/>
                <w:color w:val="auto"/>
                <w:spacing w:val="2"/>
                <w:sz w:val="18"/>
                <w:szCs w:val="18"/>
                <w:highlight w:val="none"/>
              </w:rPr>
              <w:t>3</w:t>
            </w:r>
          </w:p>
        </w:tc>
        <w:tc>
          <w:tcPr>
            <w:tcW w:w="2624" w:type="dxa"/>
            <w:vAlign w:val="top"/>
          </w:tcPr>
          <w:p>
            <w:pPr>
              <w:spacing w:before="48" w:line="168" w:lineRule="auto"/>
              <w:ind w:left="1117"/>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
                <w:sz w:val="18"/>
                <w:szCs w:val="18"/>
                <w:highlight w:val="none"/>
              </w:rPr>
              <w:t xml:space="preserve">19 </w:t>
            </w:r>
            <w:r>
              <w:rPr>
                <w:rFonts w:ascii="Times New Roman" w:hAnsi="Times New Roman" w:eastAsia="Times New Roman" w:cs="Times New Roman"/>
                <w:color w:val="auto"/>
                <w:sz w:val="18"/>
                <w:szCs w:val="18"/>
                <w:highlight w:val="none"/>
              </w:rPr>
              <w:t>23</w:t>
            </w:r>
          </w:p>
        </w:tc>
        <w:tc>
          <w:tcPr>
            <w:tcW w:w="2176" w:type="dxa"/>
            <w:tcBorders>
              <w:right w:val="single" w:color="000000" w:sz="10" w:space="0"/>
            </w:tcBorders>
            <w:vAlign w:val="top"/>
          </w:tcPr>
          <w:p>
            <w:pPr>
              <w:spacing w:before="48" w:line="168" w:lineRule="auto"/>
              <w:ind w:left="92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w:t>
            </w:r>
            <w:r>
              <w:rPr>
                <w:rFonts w:ascii="Times New Roman" w:hAnsi="Times New Roman" w:eastAsia="Times New Roman" w:cs="Times New Roman"/>
                <w:color w:val="auto"/>
                <w:spacing w:val="2"/>
                <w:sz w:val="18"/>
                <w:szCs w:val="18"/>
                <w:highlight w:val="none"/>
              </w:rPr>
              <w:t xml:space="preserve"> 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1847" w:type="dxa"/>
            <w:tcBorders>
              <w:left w:val="single" w:color="000000" w:sz="10" w:space="0"/>
            </w:tcBorders>
            <w:vAlign w:val="top"/>
          </w:tcPr>
          <w:p>
            <w:pPr>
              <w:spacing w:before="74" w:line="200" w:lineRule="auto"/>
              <w:ind w:left="747"/>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21.</w:t>
            </w:r>
            <w:r>
              <w:rPr>
                <w:rFonts w:ascii="Times New Roman" w:hAnsi="Times New Roman" w:eastAsia="Times New Roman" w:cs="Times New Roman"/>
                <w:color w:val="auto"/>
                <w:spacing w:val="3"/>
                <w:sz w:val="18"/>
                <w:szCs w:val="18"/>
                <w:highlight w:val="none"/>
              </w:rPr>
              <w:t>0</w:t>
            </w:r>
          </w:p>
        </w:tc>
        <w:tc>
          <w:tcPr>
            <w:tcW w:w="2624" w:type="dxa"/>
            <w:vAlign w:val="top"/>
          </w:tcPr>
          <w:p>
            <w:pPr>
              <w:spacing w:before="74" w:line="197" w:lineRule="auto"/>
              <w:ind w:left="100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3806.3</w:t>
            </w:r>
            <w:r>
              <w:rPr>
                <w:rFonts w:ascii="Times New Roman" w:hAnsi="Times New Roman" w:eastAsia="Times New Roman" w:cs="Times New Roman"/>
                <w:color w:val="auto"/>
                <w:spacing w:val="2"/>
                <w:sz w:val="18"/>
                <w:szCs w:val="18"/>
                <w:highlight w:val="none"/>
              </w:rPr>
              <w:t>2</w:t>
            </w:r>
          </w:p>
        </w:tc>
        <w:tc>
          <w:tcPr>
            <w:tcW w:w="2624" w:type="dxa"/>
            <w:vAlign w:val="top"/>
          </w:tcPr>
          <w:p>
            <w:pPr>
              <w:spacing w:before="74" w:line="197" w:lineRule="auto"/>
              <w:ind w:left="1117"/>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10"/>
                <w:sz w:val="18"/>
                <w:szCs w:val="18"/>
                <w:highlight w:val="none"/>
              </w:rPr>
              <w:t>1</w:t>
            </w:r>
            <w:r>
              <w:rPr>
                <w:rFonts w:ascii="Times New Roman" w:hAnsi="Times New Roman" w:eastAsia="Times New Roman" w:cs="Times New Roman"/>
                <w:color w:val="auto"/>
                <w:spacing w:val="-6"/>
                <w:sz w:val="18"/>
                <w:szCs w:val="18"/>
                <w:highlight w:val="none"/>
              </w:rPr>
              <w:t>9. 12</w:t>
            </w:r>
          </w:p>
        </w:tc>
        <w:tc>
          <w:tcPr>
            <w:tcW w:w="2176" w:type="dxa"/>
            <w:tcBorders>
              <w:right w:val="single" w:color="000000" w:sz="10" w:space="0"/>
            </w:tcBorders>
            <w:vAlign w:val="top"/>
          </w:tcPr>
          <w:p>
            <w:pPr>
              <w:spacing w:before="74" w:line="197" w:lineRule="auto"/>
              <w:ind w:left="92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3</w:t>
            </w:r>
            <w:r>
              <w:rPr>
                <w:rFonts w:ascii="Times New Roman" w:hAnsi="Times New Roman" w:eastAsia="Times New Roman" w:cs="Times New Roman"/>
                <w:color w:val="auto"/>
                <w:spacing w:val="2"/>
                <w:sz w:val="18"/>
                <w:szCs w:val="18"/>
                <w:highlight w:val="none"/>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 w:hRule="atLeast"/>
        </w:trPr>
        <w:tc>
          <w:tcPr>
            <w:tcW w:w="1847" w:type="dxa"/>
            <w:tcBorders>
              <w:left w:val="single" w:color="000000" w:sz="10" w:space="0"/>
            </w:tcBorders>
            <w:vAlign w:val="top"/>
          </w:tcPr>
          <w:p>
            <w:pPr>
              <w:spacing w:before="70" w:line="173"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2</w:t>
            </w:r>
            <w:r>
              <w:rPr>
                <w:rFonts w:ascii="Times New Roman" w:hAnsi="Times New Roman" w:eastAsia="Times New Roman" w:cs="Times New Roman"/>
                <w:color w:val="auto"/>
                <w:spacing w:val="4"/>
                <w:sz w:val="17"/>
                <w:szCs w:val="17"/>
                <w:highlight w:val="none"/>
              </w:rPr>
              <w:t>1 5</w:t>
            </w:r>
          </w:p>
        </w:tc>
        <w:tc>
          <w:tcPr>
            <w:tcW w:w="2624" w:type="dxa"/>
            <w:vAlign w:val="top"/>
          </w:tcPr>
          <w:p>
            <w:pPr>
              <w:spacing w:before="70" w:line="173" w:lineRule="auto"/>
              <w:ind w:left="10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3660 9</w:t>
            </w:r>
            <w:r>
              <w:rPr>
                <w:rFonts w:ascii="Times New Roman" w:hAnsi="Times New Roman" w:eastAsia="Times New Roman" w:cs="Times New Roman"/>
                <w:color w:val="auto"/>
                <w:spacing w:val="2"/>
                <w:sz w:val="17"/>
                <w:szCs w:val="17"/>
                <w:highlight w:val="none"/>
              </w:rPr>
              <w:t>8</w:t>
            </w:r>
          </w:p>
        </w:tc>
        <w:tc>
          <w:tcPr>
            <w:tcW w:w="2624" w:type="dxa"/>
            <w:vAlign w:val="top"/>
          </w:tcPr>
          <w:p>
            <w:pPr>
              <w:spacing w:before="70" w:line="173" w:lineRule="auto"/>
              <w:ind w:left="111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 xml:space="preserve">19 </w:t>
            </w:r>
            <w:r>
              <w:rPr>
                <w:rFonts w:ascii="Times New Roman" w:hAnsi="Times New Roman" w:eastAsia="Times New Roman" w:cs="Times New Roman"/>
                <w:color w:val="auto"/>
                <w:sz w:val="17"/>
                <w:szCs w:val="17"/>
                <w:highlight w:val="none"/>
              </w:rPr>
              <w:t>05</w:t>
            </w:r>
          </w:p>
        </w:tc>
        <w:tc>
          <w:tcPr>
            <w:tcW w:w="2176" w:type="dxa"/>
            <w:tcBorders>
              <w:right w:val="single" w:color="000000" w:sz="10" w:space="0"/>
            </w:tcBorders>
            <w:vAlign w:val="top"/>
          </w:tcPr>
          <w:p>
            <w:pPr>
              <w:spacing w:before="70" w:line="173" w:lineRule="auto"/>
              <w:ind w:left="92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3</w:t>
            </w:r>
            <w:r>
              <w:rPr>
                <w:rFonts w:ascii="Times New Roman" w:hAnsi="Times New Roman" w:eastAsia="Times New Roman" w:cs="Times New Roman"/>
                <w:color w:val="auto"/>
                <w:spacing w:val="2"/>
                <w:sz w:val="17"/>
                <w:szCs w:val="17"/>
                <w:highlight w:val="none"/>
              </w:rPr>
              <w:t xml:space="preserve"> 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847" w:type="dxa"/>
            <w:tcBorders>
              <w:left w:val="single" w:color="000000" w:sz="10" w:space="0"/>
            </w:tcBorders>
            <w:vAlign w:val="top"/>
          </w:tcPr>
          <w:p>
            <w:pPr>
              <w:spacing w:before="69" w:line="200"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22.</w:t>
            </w:r>
            <w:r>
              <w:rPr>
                <w:rFonts w:ascii="Times New Roman" w:hAnsi="Times New Roman" w:eastAsia="Times New Roman" w:cs="Times New Roman"/>
                <w:color w:val="auto"/>
                <w:spacing w:val="3"/>
                <w:sz w:val="17"/>
                <w:szCs w:val="17"/>
                <w:highlight w:val="none"/>
              </w:rPr>
              <w:t>0</w:t>
            </w:r>
          </w:p>
        </w:tc>
        <w:tc>
          <w:tcPr>
            <w:tcW w:w="2624" w:type="dxa"/>
            <w:vAlign w:val="top"/>
          </w:tcPr>
          <w:p>
            <w:pPr>
              <w:spacing w:before="69" w:line="197" w:lineRule="auto"/>
              <w:ind w:left="10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3523. 13</w:t>
            </w:r>
          </w:p>
        </w:tc>
        <w:tc>
          <w:tcPr>
            <w:tcW w:w="2624" w:type="dxa"/>
            <w:vAlign w:val="top"/>
          </w:tcPr>
          <w:p>
            <w:pPr>
              <w:spacing w:before="69" w:line="197" w:lineRule="auto"/>
              <w:ind w:left="111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
                <w:sz w:val="17"/>
                <w:szCs w:val="17"/>
                <w:highlight w:val="none"/>
              </w:rPr>
              <w:t>19.</w:t>
            </w:r>
            <w:r>
              <w:rPr>
                <w:rFonts w:ascii="Times New Roman" w:hAnsi="Times New Roman" w:eastAsia="Times New Roman" w:cs="Times New Roman"/>
                <w:color w:val="auto"/>
                <w:sz w:val="17"/>
                <w:szCs w:val="17"/>
                <w:highlight w:val="none"/>
              </w:rPr>
              <w:t>00</w:t>
            </w:r>
          </w:p>
        </w:tc>
        <w:tc>
          <w:tcPr>
            <w:tcW w:w="2176" w:type="dxa"/>
            <w:tcBorders>
              <w:right w:val="single" w:color="000000" w:sz="10" w:space="0"/>
            </w:tcBorders>
            <w:vAlign w:val="top"/>
          </w:tcPr>
          <w:p>
            <w:pPr>
              <w:spacing w:before="69" w:line="197" w:lineRule="auto"/>
              <w:ind w:left="97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847" w:type="dxa"/>
            <w:tcBorders>
              <w:left w:val="single" w:color="000000" w:sz="10" w:space="0"/>
            </w:tcBorders>
            <w:vAlign w:val="top"/>
          </w:tcPr>
          <w:p>
            <w:pPr>
              <w:spacing w:before="43" w:line="200"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2</w:t>
            </w:r>
            <w:r>
              <w:rPr>
                <w:rFonts w:ascii="Times New Roman" w:hAnsi="Times New Roman" w:eastAsia="Times New Roman" w:cs="Times New Roman"/>
                <w:color w:val="auto"/>
                <w:spacing w:val="4"/>
                <w:sz w:val="17"/>
                <w:szCs w:val="17"/>
                <w:highlight w:val="none"/>
              </w:rPr>
              <w:t>2.5</w:t>
            </w:r>
          </w:p>
        </w:tc>
        <w:tc>
          <w:tcPr>
            <w:tcW w:w="2624" w:type="dxa"/>
            <w:vAlign w:val="top"/>
          </w:tcPr>
          <w:p>
            <w:pPr>
              <w:spacing w:before="43" w:line="197" w:lineRule="auto"/>
              <w:ind w:left="10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3393.2</w:t>
            </w:r>
            <w:r>
              <w:rPr>
                <w:rFonts w:ascii="Times New Roman" w:hAnsi="Times New Roman" w:eastAsia="Times New Roman" w:cs="Times New Roman"/>
                <w:color w:val="auto"/>
                <w:spacing w:val="2"/>
                <w:sz w:val="17"/>
                <w:szCs w:val="17"/>
                <w:highlight w:val="none"/>
              </w:rPr>
              <w:t>4</w:t>
            </w:r>
          </w:p>
        </w:tc>
        <w:tc>
          <w:tcPr>
            <w:tcW w:w="2624" w:type="dxa"/>
            <w:vAlign w:val="top"/>
          </w:tcPr>
          <w:p>
            <w:pPr>
              <w:spacing w:before="43" w:line="197"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20.01</w:t>
            </w:r>
          </w:p>
        </w:tc>
        <w:tc>
          <w:tcPr>
            <w:tcW w:w="2176" w:type="dxa"/>
            <w:tcBorders>
              <w:right w:val="single" w:color="000000" w:sz="10" w:space="0"/>
            </w:tcBorders>
            <w:vAlign w:val="top"/>
          </w:tcPr>
          <w:p>
            <w:pPr>
              <w:spacing w:before="43" w:line="200" w:lineRule="auto"/>
              <w:ind w:left="92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4</w:t>
            </w:r>
            <w:r>
              <w:rPr>
                <w:rFonts w:ascii="Times New Roman" w:hAnsi="Times New Roman" w:eastAsia="Times New Roman" w:cs="Times New Roman"/>
                <w:color w:val="auto"/>
                <w:spacing w:val="3"/>
                <w:sz w:val="17"/>
                <w:szCs w:val="17"/>
                <w:highlight w:val="none"/>
              </w:rPr>
              <w:t>.31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 w:hRule="atLeast"/>
        </w:trPr>
        <w:tc>
          <w:tcPr>
            <w:tcW w:w="1847" w:type="dxa"/>
            <w:tcBorders>
              <w:left w:val="single" w:color="000000" w:sz="10" w:space="0"/>
            </w:tcBorders>
            <w:vAlign w:val="top"/>
          </w:tcPr>
          <w:p>
            <w:pPr>
              <w:spacing w:before="45" w:line="173"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 xml:space="preserve">23 </w:t>
            </w:r>
            <w:r>
              <w:rPr>
                <w:rFonts w:ascii="Times New Roman" w:hAnsi="Times New Roman" w:eastAsia="Times New Roman" w:cs="Times New Roman"/>
                <w:color w:val="auto"/>
                <w:spacing w:val="3"/>
                <w:sz w:val="17"/>
                <w:szCs w:val="17"/>
                <w:highlight w:val="none"/>
              </w:rPr>
              <w:t>0</w:t>
            </w:r>
          </w:p>
        </w:tc>
        <w:tc>
          <w:tcPr>
            <w:tcW w:w="2624" w:type="dxa"/>
            <w:vAlign w:val="top"/>
          </w:tcPr>
          <w:p>
            <w:pPr>
              <w:spacing w:before="45" w:line="173" w:lineRule="auto"/>
              <w:ind w:left="10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3272 2</w:t>
            </w:r>
            <w:r>
              <w:rPr>
                <w:rFonts w:ascii="Times New Roman" w:hAnsi="Times New Roman" w:eastAsia="Times New Roman" w:cs="Times New Roman"/>
                <w:color w:val="auto"/>
                <w:spacing w:val="2"/>
                <w:sz w:val="17"/>
                <w:szCs w:val="17"/>
                <w:highlight w:val="none"/>
              </w:rPr>
              <w:t>1</w:t>
            </w:r>
          </w:p>
        </w:tc>
        <w:tc>
          <w:tcPr>
            <w:tcW w:w="2624" w:type="dxa"/>
            <w:vAlign w:val="top"/>
          </w:tcPr>
          <w:p>
            <w:pPr>
              <w:spacing w:before="45" w:line="173"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20 12</w:t>
            </w:r>
          </w:p>
        </w:tc>
        <w:tc>
          <w:tcPr>
            <w:tcW w:w="2176" w:type="dxa"/>
            <w:tcBorders>
              <w:right w:val="single" w:color="000000" w:sz="10" w:space="0"/>
            </w:tcBorders>
            <w:vAlign w:val="top"/>
          </w:tcPr>
          <w:p>
            <w:pPr>
              <w:spacing w:before="45" w:line="173" w:lineRule="auto"/>
              <w:ind w:left="92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4</w:t>
            </w:r>
            <w:r>
              <w:rPr>
                <w:rFonts w:ascii="Times New Roman" w:hAnsi="Times New Roman" w:eastAsia="Times New Roman" w:cs="Times New Roman"/>
                <w:color w:val="auto"/>
                <w:spacing w:val="3"/>
                <w:sz w:val="17"/>
                <w:szCs w:val="17"/>
                <w:highlight w:val="none"/>
              </w:rPr>
              <w:t xml:space="preserve"> 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847" w:type="dxa"/>
            <w:tcBorders>
              <w:left w:val="single" w:color="000000" w:sz="10" w:space="0"/>
            </w:tcBorders>
            <w:vAlign w:val="top"/>
          </w:tcPr>
          <w:p>
            <w:pPr>
              <w:spacing w:before="70" w:line="197"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2</w:t>
            </w:r>
            <w:r>
              <w:rPr>
                <w:rFonts w:ascii="Times New Roman" w:hAnsi="Times New Roman" w:eastAsia="Times New Roman" w:cs="Times New Roman"/>
                <w:color w:val="auto"/>
                <w:spacing w:val="4"/>
                <w:sz w:val="17"/>
                <w:szCs w:val="17"/>
                <w:highlight w:val="none"/>
              </w:rPr>
              <w:t>3.5</w:t>
            </w:r>
          </w:p>
        </w:tc>
        <w:tc>
          <w:tcPr>
            <w:tcW w:w="2624" w:type="dxa"/>
            <w:vAlign w:val="top"/>
          </w:tcPr>
          <w:p>
            <w:pPr>
              <w:spacing w:before="70" w:line="197" w:lineRule="auto"/>
              <w:ind w:left="10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3156.8</w:t>
            </w:r>
            <w:r>
              <w:rPr>
                <w:rFonts w:ascii="Times New Roman" w:hAnsi="Times New Roman" w:eastAsia="Times New Roman" w:cs="Times New Roman"/>
                <w:color w:val="auto"/>
                <w:spacing w:val="2"/>
                <w:sz w:val="17"/>
                <w:szCs w:val="17"/>
                <w:highlight w:val="none"/>
              </w:rPr>
              <w:t>9</w:t>
            </w:r>
          </w:p>
        </w:tc>
        <w:tc>
          <w:tcPr>
            <w:tcW w:w="2624" w:type="dxa"/>
            <w:vAlign w:val="top"/>
          </w:tcPr>
          <w:p>
            <w:pPr>
              <w:spacing w:before="70" w:line="197"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20.23</w:t>
            </w:r>
          </w:p>
        </w:tc>
        <w:tc>
          <w:tcPr>
            <w:tcW w:w="2176" w:type="dxa"/>
            <w:tcBorders>
              <w:right w:val="single" w:color="000000" w:sz="10" w:space="0"/>
            </w:tcBorders>
            <w:vAlign w:val="top"/>
          </w:tcPr>
          <w:p>
            <w:pPr>
              <w:spacing w:before="69" w:line="200" w:lineRule="auto"/>
              <w:ind w:left="92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4</w:t>
            </w:r>
            <w:r>
              <w:rPr>
                <w:rFonts w:ascii="Times New Roman" w:hAnsi="Times New Roman" w:eastAsia="Times New Roman" w:cs="Times New Roman"/>
                <w:color w:val="auto"/>
                <w:spacing w:val="3"/>
                <w:sz w:val="17"/>
                <w:szCs w:val="17"/>
                <w:highlight w:val="none"/>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 w:hRule="atLeast"/>
        </w:trPr>
        <w:tc>
          <w:tcPr>
            <w:tcW w:w="1847" w:type="dxa"/>
            <w:tcBorders>
              <w:left w:val="single" w:color="000000" w:sz="10" w:space="0"/>
            </w:tcBorders>
            <w:vAlign w:val="top"/>
          </w:tcPr>
          <w:p>
            <w:pPr>
              <w:spacing w:before="46" w:line="171"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 xml:space="preserve">24 </w:t>
            </w:r>
            <w:r>
              <w:rPr>
                <w:rFonts w:ascii="Times New Roman" w:hAnsi="Times New Roman" w:eastAsia="Times New Roman" w:cs="Times New Roman"/>
                <w:color w:val="auto"/>
                <w:spacing w:val="3"/>
                <w:sz w:val="17"/>
                <w:szCs w:val="17"/>
                <w:highlight w:val="none"/>
              </w:rPr>
              <w:t>0</w:t>
            </w:r>
          </w:p>
        </w:tc>
        <w:tc>
          <w:tcPr>
            <w:tcW w:w="2624" w:type="dxa"/>
            <w:vAlign w:val="top"/>
          </w:tcPr>
          <w:p>
            <w:pPr>
              <w:spacing w:before="46" w:line="171" w:lineRule="auto"/>
              <w:ind w:left="10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3046 9</w:t>
            </w:r>
            <w:r>
              <w:rPr>
                <w:rFonts w:ascii="Times New Roman" w:hAnsi="Times New Roman" w:eastAsia="Times New Roman" w:cs="Times New Roman"/>
                <w:color w:val="auto"/>
                <w:spacing w:val="2"/>
                <w:sz w:val="17"/>
                <w:szCs w:val="17"/>
                <w:highlight w:val="none"/>
              </w:rPr>
              <w:t>5</w:t>
            </w:r>
          </w:p>
        </w:tc>
        <w:tc>
          <w:tcPr>
            <w:tcW w:w="2624" w:type="dxa"/>
            <w:vAlign w:val="top"/>
          </w:tcPr>
          <w:p>
            <w:pPr>
              <w:spacing w:before="46" w:line="171"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20 28</w:t>
            </w:r>
          </w:p>
        </w:tc>
        <w:tc>
          <w:tcPr>
            <w:tcW w:w="2176" w:type="dxa"/>
            <w:tcBorders>
              <w:right w:val="single" w:color="000000" w:sz="10" w:space="0"/>
            </w:tcBorders>
            <w:vAlign w:val="top"/>
          </w:tcPr>
          <w:p>
            <w:pPr>
              <w:spacing w:before="46" w:line="171" w:lineRule="auto"/>
              <w:ind w:left="92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4</w:t>
            </w:r>
            <w:r>
              <w:rPr>
                <w:rFonts w:ascii="Times New Roman" w:hAnsi="Times New Roman" w:eastAsia="Times New Roman" w:cs="Times New Roman"/>
                <w:color w:val="auto"/>
                <w:spacing w:val="3"/>
                <w:sz w:val="17"/>
                <w:szCs w:val="17"/>
                <w:highlight w:val="none"/>
              </w:rPr>
              <w:t xml:space="preserve"> 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847" w:type="dxa"/>
            <w:tcBorders>
              <w:left w:val="single" w:color="000000" w:sz="10" w:space="0"/>
            </w:tcBorders>
            <w:vAlign w:val="top"/>
          </w:tcPr>
          <w:p>
            <w:pPr>
              <w:spacing w:before="71" w:line="200"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2</w:t>
            </w:r>
            <w:r>
              <w:rPr>
                <w:rFonts w:ascii="Times New Roman" w:hAnsi="Times New Roman" w:eastAsia="Times New Roman" w:cs="Times New Roman"/>
                <w:color w:val="auto"/>
                <w:spacing w:val="4"/>
                <w:sz w:val="17"/>
                <w:szCs w:val="17"/>
                <w:highlight w:val="none"/>
              </w:rPr>
              <w:t>4.5</w:t>
            </w:r>
          </w:p>
        </w:tc>
        <w:tc>
          <w:tcPr>
            <w:tcW w:w="2624" w:type="dxa"/>
            <w:vAlign w:val="top"/>
          </w:tcPr>
          <w:p>
            <w:pPr>
              <w:spacing w:before="71" w:line="197" w:lineRule="auto"/>
              <w:ind w:left="100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942.05</w:t>
            </w:r>
          </w:p>
        </w:tc>
        <w:tc>
          <w:tcPr>
            <w:tcW w:w="2624" w:type="dxa"/>
            <w:vAlign w:val="top"/>
          </w:tcPr>
          <w:p>
            <w:pPr>
              <w:spacing w:before="71" w:line="197"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20.35</w:t>
            </w:r>
          </w:p>
        </w:tc>
        <w:tc>
          <w:tcPr>
            <w:tcW w:w="2176" w:type="dxa"/>
            <w:tcBorders>
              <w:right w:val="single" w:color="000000" w:sz="10" w:space="0"/>
            </w:tcBorders>
            <w:vAlign w:val="top"/>
          </w:tcPr>
          <w:p>
            <w:pPr>
              <w:spacing w:before="71" w:line="200" w:lineRule="auto"/>
              <w:ind w:left="92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4</w:t>
            </w:r>
            <w:r>
              <w:rPr>
                <w:rFonts w:ascii="Times New Roman" w:hAnsi="Times New Roman" w:eastAsia="Times New Roman" w:cs="Times New Roman"/>
                <w:color w:val="auto"/>
                <w:spacing w:val="3"/>
                <w:sz w:val="17"/>
                <w:szCs w:val="17"/>
                <w:highlight w:val="none"/>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847" w:type="dxa"/>
            <w:tcBorders>
              <w:left w:val="single" w:color="000000" w:sz="10" w:space="0"/>
            </w:tcBorders>
            <w:vAlign w:val="top"/>
          </w:tcPr>
          <w:p>
            <w:pPr>
              <w:spacing w:before="45" w:line="197"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25.</w:t>
            </w:r>
            <w:r>
              <w:rPr>
                <w:rFonts w:ascii="Times New Roman" w:hAnsi="Times New Roman" w:eastAsia="Times New Roman" w:cs="Times New Roman"/>
                <w:color w:val="auto"/>
                <w:spacing w:val="3"/>
                <w:sz w:val="17"/>
                <w:szCs w:val="17"/>
                <w:highlight w:val="none"/>
              </w:rPr>
              <w:t>0</w:t>
            </w:r>
          </w:p>
        </w:tc>
        <w:tc>
          <w:tcPr>
            <w:tcW w:w="2624" w:type="dxa"/>
            <w:vAlign w:val="top"/>
          </w:tcPr>
          <w:p>
            <w:pPr>
              <w:spacing w:before="45" w:line="197" w:lineRule="auto"/>
              <w:ind w:left="100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841.53</w:t>
            </w:r>
          </w:p>
        </w:tc>
        <w:tc>
          <w:tcPr>
            <w:tcW w:w="2624" w:type="dxa"/>
            <w:vAlign w:val="top"/>
          </w:tcPr>
          <w:p>
            <w:pPr>
              <w:spacing w:before="45" w:line="197"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5"/>
                <w:sz w:val="17"/>
                <w:szCs w:val="17"/>
                <w:highlight w:val="none"/>
              </w:rPr>
              <w:t>1</w:t>
            </w:r>
            <w:r>
              <w:rPr>
                <w:rFonts w:ascii="Times New Roman" w:hAnsi="Times New Roman" w:eastAsia="Times New Roman" w:cs="Times New Roman"/>
                <w:color w:val="auto"/>
                <w:spacing w:val="-3"/>
                <w:sz w:val="17"/>
                <w:szCs w:val="17"/>
                <w:highlight w:val="none"/>
              </w:rPr>
              <w:t>. 10</w:t>
            </w:r>
          </w:p>
        </w:tc>
        <w:tc>
          <w:tcPr>
            <w:tcW w:w="2176" w:type="dxa"/>
            <w:tcBorders>
              <w:right w:val="single" w:color="000000" w:sz="10" w:space="0"/>
            </w:tcBorders>
            <w:vAlign w:val="top"/>
          </w:tcPr>
          <w:p>
            <w:pPr>
              <w:spacing w:before="45" w:line="197" w:lineRule="auto"/>
              <w:ind w:left="97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5.</w:t>
            </w:r>
            <w:r>
              <w:rPr>
                <w:rFonts w:ascii="Times New Roman" w:hAnsi="Times New Roman" w:eastAsia="Times New Roman" w:cs="Times New Roman"/>
                <w:color w:val="auto"/>
                <w:spacing w:val="1"/>
                <w:sz w:val="17"/>
                <w:szCs w:val="17"/>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 w:hRule="atLeast"/>
        </w:trPr>
        <w:tc>
          <w:tcPr>
            <w:tcW w:w="1847" w:type="dxa"/>
            <w:tcBorders>
              <w:left w:val="single" w:color="000000" w:sz="10" w:space="0"/>
            </w:tcBorders>
            <w:vAlign w:val="top"/>
          </w:tcPr>
          <w:p>
            <w:pPr>
              <w:spacing w:before="46" w:line="171"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2</w:t>
            </w:r>
            <w:r>
              <w:rPr>
                <w:rFonts w:ascii="Times New Roman" w:hAnsi="Times New Roman" w:eastAsia="Times New Roman" w:cs="Times New Roman"/>
                <w:color w:val="auto"/>
                <w:spacing w:val="4"/>
                <w:sz w:val="17"/>
                <w:szCs w:val="17"/>
                <w:highlight w:val="none"/>
              </w:rPr>
              <w:t>5 5</w:t>
            </w:r>
          </w:p>
        </w:tc>
        <w:tc>
          <w:tcPr>
            <w:tcW w:w="2624" w:type="dxa"/>
            <w:vAlign w:val="top"/>
          </w:tcPr>
          <w:p>
            <w:pPr>
              <w:spacing w:before="46" w:line="171" w:lineRule="auto"/>
              <w:ind w:left="100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748 46</w:t>
            </w:r>
          </w:p>
        </w:tc>
        <w:tc>
          <w:tcPr>
            <w:tcW w:w="2624" w:type="dxa"/>
            <w:vAlign w:val="top"/>
          </w:tcPr>
          <w:p>
            <w:pPr>
              <w:spacing w:before="46" w:line="171"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21 21</w:t>
            </w:r>
          </w:p>
        </w:tc>
        <w:tc>
          <w:tcPr>
            <w:tcW w:w="2176" w:type="dxa"/>
            <w:tcBorders>
              <w:right w:val="single" w:color="000000" w:sz="10" w:space="0"/>
            </w:tcBorders>
            <w:vAlign w:val="top"/>
          </w:tcPr>
          <w:p>
            <w:pPr>
              <w:spacing w:before="46" w:line="171" w:lineRule="auto"/>
              <w:ind w:left="92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5</w:t>
            </w:r>
            <w:r>
              <w:rPr>
                <w:rFonts w:ascii="Times New Roman" w:hAnsi="Times New Roman" w:eastAsia="Times New Roman" w:cs="Times New Roman"/>
                <w:color w:val="auto"/>
                <w:spacing w:val="2"/>
                <w:sz w:val="17"/>
                <w:szCs w:val="17"/>
                <w:highlight w:val="none"/>
              </w:rPr>
              <w:t xml:space="preserve"> 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847" w:type="dxa"/>
            <w:tcBorders>
              <w:left w:val="single" w:color="000000" w:sz="10" w:space="0"/>
            </w:tcBorders>
            <w:vAlign w:val="top"/>
          </w:tcPr>
          <w:p>
            <w:pPr>
              <w:spacing w:before="72" w:line="197"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26.</w:t>
            </w:r>
            <w:r>
              <w:rPr>
                <w:rFonts w:ascii="Times New Roman" w:hAnsi="Times New Roman" w:eastAsia="Times New Roman" w:cs="Times New Roman"/>
                <w:color w:val="auto"/>
                <w:spacing w:val="3"/>
                <w:sz w:val="17"/>
                <w:szCs w:val="17"/>
                <w:highlight w:val="none"/>
              </w:rPr>
              <w:t>0</w:t>
            </w:r>
          </w:p>
        </w:tc>
        <w:tc>
          <w:tcPr>
            <w:tcW w:w="2624" w:type="dxa"/>
            <w:vAlign w:val="top"/>
          </w:tcPr>
          <w:p>
            <w:pPr>
              <w:spacing w:before="71" w:line="197" w:lineRule="auto"/>
              <w:ind w:left="100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659.34</w:t>
            </w:r>
          </w:p>
        </w:tc>
        <w:tc>
          <w:tcPr>
            <w:tcW w:w="2624" w:type="dxa"/>
            <w:vAlign w:val="top"/>
          </w:tcPr>
          <w:p>
            <w:pPr>
              <w:spacing w:before="71" w:line="200"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21.25</w:t>
            </w:r>
          </w:p>
        </w:tc>
        <w:tc>
          <w:tcPr>
            <w:tcW w:w="2176" w:type="dxa"/>
            <w:tcBorders>
              <w:right w:val="single" w:color="000000" w:sz="10" w:space="0"/>
            </w:tcBorders>
            <w:vAlign w:val="top"/>
          </w:tcPr>
          <w:p>
            <w:pPr>
              <w:spacing w:before="74" w:line="194" w:lineRule="auto"/>
              <w:ind w:left="92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5</w:t>
            </w:r>
            <w:r>
              <w:rPr>
                <w:rFonts w:ascii="Times New Roman" w:hAnsi="Times New Roman" w:eastAsia="Times New Roman" w:cs="Times New Roman"/>
                <w:color w:val="auto"/>
                <w:spacing w:val="2"/>
                <w:sz w:val="17"/>
                <w:szCs w:val="17"/>
                <w:highlight w:val="none"/>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 w:hRule="atLeast"/>
        </w:trPr>
        <w:tc>
          <w:tcPr>
            <w:tcW w:w="1847" w:type="dxa"/>
            <w:tcBorders>
              <w:left w:val="single" w:color="000000" w:sz="10" w:space="0"/>
            </w:tcBorders>
            <w:vAlign w:val="top"/>
          </w:tcPr>
          <w:p>
            <w:pPr>
              <w:spacing w:before="48" w:line="169"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2</w:t>
            </w:r>
            <w:r>
              <w:rPr>
                <w:rFonts w:ascii="Times New Roman" w:hAnsi="Times New Roman" w:eastAsia="Times New Roman" w:cs="Times New Roman"/>
                <w:color w:val="auto"/>
                <w:spacing w:val="4"/>
                <w:sz w:val="17"/>
                <w:szCs w:val="17"/>
                <w:highlight w:val="none"/>
              </w:rPr>
              <w:t>6 5</w:t>
            </w:r>
          </w:p>
        </w:tc>
        <w:tc>
          <w:tcPr>
            <w:tcW w:w="2624" w:type="dxa"/>
            <w:vAlign w:val="top"/>
          </w:tcPr>
          <w:p>
            <w:pPr>
              <w:spacing w:before="48" w:line="169" w:lineRule="auto"/>
              <w:ind w:left="100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573 95</w:t>
            </w:r>
          </w:p>
        </w:tc>
        <w:tc>
          <w:tcPr>
            <w:tcW w:w="2624" w:type="dxa"/>
            <w:vAlign w:val="top"/>
          </w:tcPr>
          <w:p>
            <w:pPr>
              <w:spacing w:before="48" w:line="169"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21 35</w:t>
            </w:r>
          </w:p>
        </w:tc>
        <w:tc>
          <w:tcPr>
            <w:tcW w:w="2176" w:type="dxa"/>
            <w:tcBorders>
              <w:right w:val="single" w:color="000000" w:sz="10" w:space="0"/>
            </w:tcBorders>
            <w:vAlign w:val="top"/>
          </w:tcPr>
          <w:p>
            <w:pPr>
              <w:spacing w:before="48" w:line="169" w:lineRule="auto"/>
              <w:ind w:left="92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5</w:t>
            </w:r>
            <w:r>
              <w:rPr>
                <w:rFonts w:ascii="Times New Roman" w:hAnsi="Times New Roman" w:eastAsia="Times New Roman" w:cs="Times New Roman"/>
                <w:color w:val="auto"/>
                <w:spacing w:val="2"/>
                <w:sz w:val="17"/>
                <w:szCs w:val="17"/>
                <w:highlight w:val="none"/>
              </w:rPr>
              <w:t xml:space="preserve"> 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847" w:type="dxa"/>
            <w:tcBorders>
              <w:left w:val="single" w:color="000000" w:sz="10" w:space="0"/>
            </w:tcBorders>
            <w:vAlign w:val="top"/>
          </w:tcPr>
          <w:p>
            <w:pPr>
              <w:spacing w:before="73" w:line="197"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27.</w:t>
            </w:r>
            <w:r>
              <w:rPr>
                <w:rFonts w:ascii="Times New Roman" w:hAnsi="Times New Roman" w:eastAsia="Times New Roman" w:cs="Times New Roman"/>
                <w:color w:val="auto"/>
                <w:spacing w:val="3"/>
                <w:sz w:val="17"/>
                <w:szCs w:val="17"/>
                <w:highlight w:val="none"/>
              </w:rPr>
              <w:t>0</w:t>
            </w:r>
          </w:p>
        </w:tc>
        <w:tc>
          <w:tcPr>
            <w:tcW w:w="2624" w:type="dxa"/>
            <w:vAlign w:val="top"/>
          </w:tcPr>
          <w:p>
            <w:pPr>
              <w:spacing w:before="73" w:line="197" w:lineRule="auto"/>
              <w:ind w:left="100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492.09</w:t>
            </w:r>
          </w:p>
        </w:tc>
        <w:tc>
          <w:tcPr>
            <w:tcW w:w="2624" w:type="dxa"/>
            <w:vAlign w:val="top"/>
          </w:tcPr>
          <w:p>
            <w:pPr>
              <w:spacing w:before="73" w:line="200"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21.42</w:t>
            </w:r>
          </w:p>
        </w:tc>
        <w:tc>
          <w:tcPr>
            <w:tcW w:w="2176" w:type="dxa"/>
            <w:tcBorders>
              <w:right w:val="single" w:color="000000" w:sz="10" w:space="0"/>
            </w:tcBorders>
            <w:vAlign w:val="top"/>
          </w:tcPr>
          <w:p>
            <w:pPr>
              <w:spacing w:before="73" w:line="197" w:lineRule="auto"/>
              <w:ind w:left="92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5</w:t>
            </w:r>
            <w:r>
              <w:rPr>
                <w:rFonts w:ascii="Times New Roman" w:hAnsi="Times New Roman" w:eastAsia="Times New Roman" w:cs="Times New Roman"/>
                <w:color w:val="auto"/>
                <w:spacing w:val="2"/>
                <w:sz w:val="17"/>
                <w:szCs w:val="17"/>
                <w:highlight w:val="none"/>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847" w:type="dxa"/>
            <w:tcBorders>
              <w:left w:val="single" w:color="000000" w:sz="10" w:space="0"/>
            </w:tcBorders>
            <w:vAlign w:val="top"/>
          </w:tcPr>
          <w:p>
            <w:pPr>
              <w:spacing w:before="47" w:line="197" w:lineRule="auto"/>
              <w:ind w:left="74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2</w:t>
            </w:r>
            <w:r>
              <w:rPr>
                <w:rFonts w:ascii="Times New Roman" w:hAnsi="Times New Roman" w:eastAsia="Times New Roman" w:cs="Times New Roman"/>
                <w:color w:val="auto"/>
                <w:spacing w:val="4"/>
                <w:sz w:val="17"/>
                <w:szCs w:val="17"/>
                <w:highlight w:val="none"/>
              </w:rPr>
              <w:t>8.5</w:t>
            </w:r>
          </w:p>
        </w:tc>
        <w:tc>
          <w:tcPr>
            <w:tcW w:w="2624" w:type="dxa"/>
            <w:vAlign w:val="top"/>
          </w:tcPr>
          <w:p>
            <w:pPr>
              <w:spacing w:before="47" w:line="197" w:lineRule="auto"/>
              <w:ind w:left="100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4"/>
                <w:sz w:val="17"/>
                <w:szCs w:val="17"/>
                <w:highlight w:val="none"/>
              </w:rPr>
              <w:t>269.58</w:t>
            </w:r>
          </w:p>
        </w:tc>
        <w:tc>
          <w:tcPr>
            <w:tcW w:w="2624" w:type="dxa"/>
            <w:vAlign w:val="top"/>
          </w:tcPr>
          <w:p>
            <w:pPr>
              <w:spacing w:before="47" w:line="197"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2</w:t>
            </w:r>
            <w:r>
              <w:rPr>
                <w:rFonts w:ascii="Times New Roman" w:hAnsi="Times New Roman" w:eastAsia="Times New Roman" w:cs="Times New Roman"/>
                <w:color w:val="auto"/>
                <w:spacing w:val="-5"/>
                <w:sz w:val="17"/>
                <w:szCs w:val="17"/>
                <w:highlight w:val="none"/>
              </w:rPr>
              <w:t>2</w:t>
            </w:r>
            <w:r>
              <w:rPr>
                <w:rFonts w:ascii="Times New Roman" w:hAnsi="Times New Roman" w:eastAsia="Times New Roman" w:cs="Times New Roman"/>
                <w:color w:val="auto"/>
                <w:spacing w:val="-3"/>
                <w:sz w:val="17"/>
                <w:szCs w:val="17"/>
                <w:highlight w:val="none"/>
              </w:rPr>
              <w:t>. 10</w:t>
            </w:r>
          </w:p>
        </w:tc>
        <w:tc>
          <w:tcPr>
            <w:tcW w:w="2176" w:type="dxa"/>
            <w:tcBorders>
              <w:right w:val="single" w:color="000000" w:sz="10" w:space="0"/>
            </w:tcBorders>
            <w:vAlign w:val="top"/>
          </w:tcPr>
          <w:p>
            <w:pPr>
              <w:spacing w:before="47" w:line="197" w:lineRule="auto"/>
              <w:ind w:left="97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847" w:type="dxa"/>
            <w:tcBorders>
              <w:left w:val="single" w:color="000000" w:sz="10" w:space="0"/>
            </w:tcBorders>
            <w:vAlign w:val="top"/>
          </w:tcPr>
          <w:p>
            <w:pPr>
              <w:spacing w:before="48" w:line="197" w:lineRule="auto"/>
              <w:ind w:left="75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30.0</w:t>
            </w:r>
          </w:p>
        </w:tc>
        <w:tc>
          <w:tcPr>
            <w:tcW w:w="2624" w:type="dxa"/>
            <w:vAlign w:val="top"/>
          </w:tcPr>
          <w:p>
            <w:pPr>
              <w:spacing w:before="48" w:line="197" w:lineRule="auto"/>
              <w:ind w:left="100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2074.</w:t>
            </w:r>
            <w:r>
              <w:rPr>
                <w:rFonts w:ascii="Times New Roman" w:hAnsi="Times New Roman" w:eastAsia="Times New Roman" w:cs="Times New Roman"/>
                <w:color w:val="auto"/>
                <w:spacing w:val="-1"/>
                <w:sz w:val="17"/>
                <w:szCs w:val="17"/>
                <w:highlight w:val="none"/>
              </w:rPr>
              <w:t xml:space="preserve"> 14</w:t>
            </w:r>
          </w:p>
        </w:tc>
        <w:tc>
          <w:tcPr>
            <w:tcW w:w="2624" w:type="dxa"/>
            <w:vAlign w:val="top"/>
          </w:tcPr>
          <w:p>
            <w:pPr>
              <w:spacing w:before="48" w:line="197" w:lineRule="auto"/>
              <w:ind w:left="11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23.02</w:t>
            </w:r>
          </w:p>
        </w:tc>
        <w:tc>
          <w:tcPr>
            <w:tcW w:w="2176" w:type="dxa"/>
            <w:tcBorders>
              <w:right w:val="single" w:color="000000" w:sz="10" w:space="0"/>
            </w:tcBorders>
            <w:vAlign w:val="top"/>
          </w:tcPr>
          <w:p>
            <w:pPr>
              <w:spacing w:before="48" w:line="197" w:lineRule="auto"/>
              <w:ind w:left="9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7.3</w:t>
            </w:r>
            <w:r>
              <w:rPr>
                <w:rFonts w:ascii="Times New Roman" w:hAnsi="Times New Roman" w:eastAsia="Times New Roman" w:cs="Times New Roman"/>
                <w:color w:val="auto"/>
                <w:spacing w:val="2"/>
                <w:sz w:val="17"/>
                <w:szCs w:val="17"/>
                <w:highlight w:val="none"/>
              </w:rPr>
              <w:t>2</w:t>
            </w:r>
          </w:p>
        </w:tc>
      </w:tr>
    </w:tbl>
    <w:p>
      <w:pPr>
        <w:spacing w:before="125" w:line="4262" w:lineRule="exact"/>
        <w:textAlignment w:val="center"/>
        <w:rPr>
          <w:color w:val="0000FF"/>
          <w:highlight w:val="none"/>
        </w:rPr>
      </w:pPr>
      <w:r>
        <w:rPr>
          <w:color w:val="0000FF"/>
          <w:highlight w:val="none"/>
        </w:rPr>
        <w:drawing>
          <wp:inline distT="0" distB="0" distL="0" distR="0">
            <wp:extent cx="5802630" cy="2705735"/>
            <wp:effectExtent l="0" t="0" r="3810" b="6985"/>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74"/>
                    <a:stretch>
                      <a:fillRect/>
                    </a:stretch>
                  </pic:blipFill>
                  <pic:spPr>
                    <a:xfrm>
                      <a:off x="0" y="0"/>
                      <a:ext cx="5803264" cy="2706369"/>
                    </a:xfrm>
                    <a:prstGeom prst="rect">
                      <a:avLst/>
                    </a:prstGeom>
                  </pic:spPr>
                </pic:pic>
              </a:graphicData>
            </a:graphic>
          </wp:inline>
        </w:drawing>
      </w:r>
    </w:p>
    <w:p>
      <w:pPr>
        <w:spacing w:before="114" w:line="407" w:lineRule="exact"/>
        <w:ind w:left="2316"/>
        <w:rPr>
          <w:rFonts w:ascii="黑体" w:hAnsi="黑体" w:eastAsia="黑体" w:cs="黑体"/>
          <w:color w:val="auto"/>
          <w:sz w:val="20"/>
          <w:szCs w:val="20"/>
          <w:highlight w:val="none"/>
        </w:rPr>
      </w:pPr>
      <w:r>
        <w:rPr>
          <w:rFonts w:ascii="黑体" w:hAnsi="黑体" w:eastAsia="黑体" w:cs="黑体"/>
          <w:color w:val="auto"/>
          <w:spacing w:val="2"/>
          <w:position w:val="11"/>
          <w:sz w:val="20"/>
          <w:szCs w:val="20"/>
          <w:highlight w:val="none"/>
        </w:rPr>
        <w:t xml:space="preserve">图 </w:t>
      </w:r>
      <w:r>
        <w:rPr>
          <w:rFonts w:ascii="Times New Roman" w:hAnsi="Times New Roman" w:eastAsia="Times New Roman" w:cs="Times New Roman"/>
          <w:color w:val="auto"/>
          <w:spacing w:val="2"/>
          <w:position w:val="11"/>
          <w:sz w:val="20"/>
          <w:szCs w:val="20"/>
          <w:highlight w:val="none"/>
        </w:rPr>
        <w:t xml:space="preserve">6. 1-8    </w:t>
      </w:r>
      <w:r>
        <w:rPr>
          <w:rFonts w:ascii="黑体" w:hAnsi="黑体" w:eastAsia="黑体" w:cs="黑体"/>
          <w:color w:val="auto"/>
          <w:spacing w:val="2"/>
          <w:position w:val="11"/>
          <w:sz w:val="20"/>
          <w:szCs w:val="20"/>
          <w:highlight w:val="none"/>
        </w:rPr>
        <w:t>工</w:t>
      </w:r>
      <w:r>
        <w:rPr>
          <w:rFonts w:ascii="黑体" w:hAnsi="黑体" w:eastAsia="黑体" w:cs="黑体"/>
          <w:color w:val="auto"/>
          <w:spacing w:val="1"/>
          <w:position w:val="11"/>
          <w:sz w:val="20"/>
          <w:szCs w:val="20"/>
          <w:highlight w:val="none"/>
        </w:rPr>
        <w:t xml:space="preserve">频电场强度 </w:t>
      </w:r>
      <w:r>
        <w:rPr>
          <w:rFonts w:ascii="Times New Roman" w:hAnsi="Times New Roman" w:eastAsia="Times New Roman" w:cs="Times New Roman"/>
          <w:color w:val="auto"/>
          <w:spacing w:val="1"/>
          <w:position w:val="11"/>
          <w:sz w:val="20"/>
          <w:szCs w:val="20"/>
          <w:highlight w:val="none"/>
        </w:rPr>
        <w:t>4</w:t>
      </w:r>
      <w:r>
        <w:rPr>
          <w:rFonts w:ascii="Times New Roman" w:hAnsi="Times New Roman" w:eastAsia="Times New Roman" w:cs="Times New Roman"/>
          <w:color w:val="auto"/>
          <w:position w:val="11"/>
          <w:sz w:val="20"/>
          <w:szCs w:val="20"/>
          <w:highlight w:val="none"/>
        </w:rPr>
        <w:t>kV</w:t>
      </w:r>
      <w:r>
        <w:rPr>
          <w:rFonts w:ascii="Times New Roman" w:hAnsi="Times New Roman" w:eastAsia="Times New Roman" w:cs="Times New Roman"/>
          <w:color w:val="auto"/>
          <w:spacing w:val="1"/>
          <w:position w:val="11"/>
          <w:sz w:val="20"/>
          <w:szCs w:val="20"/>
          <w:highlight w:val="none"/>
        </w:rPr>
        <w:t>/</w:t>
      </w:r>
      <w:r>
        <w:rPr>
          <w:rFonts w:ascii="Times New Roman" w:hAnsi="Times New Roman" w:eastAsia="Times New Roman" w:cs="Times New Roman"/>
          <w:color w:val="auto"/>
          <w:position w:val="11"/>
          <w:sz w:val="20"/>
          <w:szCs w:val="20"/>
          <w:highlight w:val="none"/>
        </w:rPr>
        <w:t>m</w:t>
      </w:r>
      <w:r>
        <w:rPr>
          <w:rFonts w:ascii="Times New Roman" w:hAnsi="Times New Roman" w:eastAsia="Times New Roman" w:cs="Times New Roman"/>
          <w:color w:val="auto"/>
          <w:spacing w:val="1"/>
          <w:position w:val="11"/>
          <w:sz w:val="20"/>
          <w:szCs w:val="20"/>
          <w:highlight w:val="none"/>
        </w:rPr>
        <w:t xml:space="preserve"> </w:t>
      </w:r>
      <w:r>
        <w:rPr>
          <w:rFonts w:ascii="黑体" w:hAnsi="黑体" w:eastAsia="黑体" w:cs="黑体"/>
          <w:color w:val="auto"/>
          <w:spacing w:val="1"/>
          <w:position w:val="11"/>
          <w:sz w:val="20"/>
          <w:szCs w:val="20"/>
          <w:highlight w:val="none"/>
        </w:rPr>
        <w:t>等值线空间分布图</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31" w:name="_Toc13717"/>
      <w:r>
        <w:rPr>
          <w:rFonts w:hint="eastAsia" w:ascii="Times New Roman" w:hAnsi="Times New Roman" w:eastAsia="宋体" w:cs="Times New Roman"/>
          <w:snapToGrid/>
          <w:kern w:val="0"/>
          <w:sz w:val="24"/>
          <w:szCs w:val="24"/>
          <w:highlight w:val="none"/>
          <w:lang w:val="en-US" w:eastAsia="zh-CN" w:bidi="ar"/>
        </w:rPr>
        <w:t>5)工频电场强度、工频磁感应强度空间分布</w:t>
      </w:r>
      <w:bookmarkEnd w:id="131"/>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线高33m情况下工频电场强度及工频磁感应强度空间分布图见图6. 1-9 、图 6. 1- 10。</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  结果分析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在导线对地高度为33m 时，工频电场强度最大值为2.074kV/m，最大值位置距线路 中心23.0m(距边导线7.3m)；工频磁感应强度最大值为14.484µT ，最大值位置位于线路中心16m 。控制线下耕地、草地等场所工频电场强度小于10kV/m 所需最低线高为11.35m，此时工频电场强度最大值为9.952kV/m，最大值位置距线路中心- 16. 1m(距边导线0.4m)；工频磁感应强度最大值为55.7µT ，最大值位置位于线路中心-16.5m (距边导线0.8m)。若保证线路工程拆迁范围外工频电场强度均满足4kV/m 的要求，则需抬高线高至20.0m 。在导线对地高度为20.0m 时，工频电场强度最大值为3.974kV/m ，最大值位置距线路中心 22.24m(距边导线6.55m)；工频磁感应强度最大值为26.63µT ，最大值位置位于线路中心 16m(距边导线0.3m)。</w:t>
      </w:r>
    </w:p>
    <w:p>
      <w:pPr>
        <w:rPr>
          <w:color w:val="auto"/>
          <w:highlight w:val="none"/>
        </w:rPr>
        <w:sectPr>
          <w:headerReference r:id="rId27" w:type="default"/>
          <w:footerReference r:id="rId28" w:type="default"/>
          <w:pgSz w:w="11906" w:h="16839"/>
          <w:pgMar w:top="400" w:right="1298" w:bottom="1156" w:left="1387" w:header="0" w:footer="996" w:gutter="0"/>
          <w:pgBorders>
            <w:top w:val="none" w:sz="0" w:space="0"/>
            <w:left w:val="none" w:sz="0" w:space="0"/>
            <w:bottom w:val="none" w:sz="0" w:space="0"/>
            <w:right w:val="none" w:sz="0" w:space="0"/>
          </w:pgBorders>
          <w:pgNumType w:fmt="decimal"/>
          <w:cols w:space="720" w:num="1"/>
        </w:sectPr>
      </w:pPr>
    </w:p>
    <w:p>
      <w:pPr>
        <w:spacing w:before="205" w:line="5287" w:lineRule="exact"/>
        <w:textAlignment w:val="center"/>
        <w:rPr>
          <w:color w:val="0000FF"/>
          <w:highlight w:val="none"/>
        </w:rPr>
      </w:pPr>
      <w:r>
        <w:rPr>
          <w:color w:val="0000FF"/>
          <w:highlight w:val="none"/>
        </w:rPr>
        <w:drawing>
          <wp:inline distT="0" distB="0" distL="0" distR="0">
            <wp:extent cx="5751195" cy="3357245"/>
            <wp:effectExtent l="0" t="0" r="9525" b="10795"/>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75"/>
                    <a:stretch>
                      <a:fillRect/>
                    </a:stretch>
                  </pic:blipFill>
                  <pic:spPr>
                    <a:xfrm>
                      <a:off x="0" y="0"/>
                      <a:ext cx="5751576" cy="3357371"/>
                    </a:xfrm>
                    <a:prstGeom prst="rect">
                      <a:avLst/>
                    </a:prstGeom>
                  </pic:spPr>
                </pic:pic>
              </a:graphicData>
            </a:graphic>
          </wp:inline>
        </w:drawing>
      </w:r>
    </w:p>
    <w:p>
      <w:pPr>
        <w:spacing w:before="46" w:line="228" w:lineRule="auto"/>
        <w:ind w:left="2391"/>
        <w:rPr>
          <w:rFonts w:ascii="黑体" w:hAnsi="黑体" w:eastAsia="黑体" w:cs="黑体"/>
          <w:color w:val="0000FF"/>
          <w:sz w:val="20"/>
          <w:szCs w:val="20"/>
          <w:highlight w:val="none"/>
        </w:rPr>
      </w:pPr>
      <w:r>
        <w:rPr>
          <w:rFonts w:ascii="黑体" w:hAnsi="黑体" w:eastAsia="黑体" w:cs="黑体"/>
          <w:color w:val="0000FF"/>
          <w:spacing w:val="2"/>
          <w:sz w:val="20"/>
          <w:szCs w:val="20"/>
          <w:highlight w:val="none"/>
        </w:rPr>
        <w:t xml:space="preserve">图 </w:t>
      </w:r>
      <w:r>
        <w:rPr>
          <w:rFonts w:ascii="Times New Roman" w:hAnsi="Times New Roman" w:eastAsia="Times New Roman" w:cs="Times New Roman"/>
          <w:color w:val="0000FF"/>
          <w:spacing w:val="1"/>
          <w:sz w:val="20"/>
          <w:szCs w:val="20"/>
          <w:highlight w:val="none"/>
        </w:rPr>
        <w:t xml:space="preserve">6. 1-9    </w:t>
      </w:r>
      <w:r>
        <w:rPr>
          <w:rFonts w:ascii="黑体" w:hAnsi="黑体" w:eastAsia="黑体" w:cs="黑体"/>
          <w:color w:val="0000FF"/>
          <w:spacing w:val="1"/>
          <w:sz w:val="20"/>
          <w:szCs w:val="20"/>
          <w:highlight w:val="none"/>
        </w:rPr>
        <w:t>线高</w:t>
      </w:r>
      <w:r>
        <w:rPr>
          <w:rFonts w:hint="eastAsia" w:ascii="Times New Roman" w:hAnsi="Times New Roman" w:eastAsia="宋体" w:cs="Times New Roman"/>
          <w:color w:val="0000FF"/>
          <w:spacing w:val="1"/>
          <w:sz w:val="20"/>
          <w:szCs w:val="20"/>
          <w:highlight w:val="none"/>
          <w:lang w:val="en-US" w:eastAsia="zh-CN"/>
        </w:rPr>
        <w:t>33</w:t>
      </w:r>
      <w:r>
        <w:rPr>
          <w:rFonts w:ascii="Times New Roman" w:hAnsi="Times New Roman" w:eastAsia="Times New Roman" w:cs="Times New Roman"/>
          <w:color w:val="0000FF"/>
          <w:sz w:val="20"/>
          <w:szCs w:val="20"/>
          <w:highlight w:val="none"/>
        </w:rPr>
        <w:t>m</w:t>
      </w:r>
      <w:r>
        <w:rPr>
          <w:rFonts w:ascii="Times New Roman" w:hAnsi="Times New Roman" w:eastAsia="Times New Roman" w:cs="Times New Roman"/>
          <w:color w:val="0000FF"/>
          <w:spacing w:val="1"/>
          <w:sz w:val="20"/>
          <w:szCs w:val="20"/>
          <w:highlight w:val="none"/>
        </w:rPr>
        <w:t xml:space="preserve"> </w:t>
      </w:r>
      <w:r>
        <w:rPr>
          <w:rFonts w:ascii="黑体" w:hAnsi="黑体" w:eastAsia="黑体" w:cs="黑体"/>
          <w:color w:val="0000FF"/>
          <w:spacing w:val="1"/>
          <w:sz w:val="20"/>
          <w:szCs w:val="20"/>
          <w:highlight w:val="none"/>
        </w:rPr>
        <w:t>时工频电场强度空间分布图</w:t>
      </w:r>
    </w:p>
    <w:p>
      <w:pPr>
        <w:spacing w:before="130" w:line="5369" w:lineRule="exact"/>
        <w:textAlignment w:val="center"/>
        <w:rPr>
          <w:color w:val="0000FF"/>
          <w:highlight w:val="none"/>
        </w:rPr>
      </w:pPr>
      <w:r>
        <w:rPr>
          <w:color w:val="0000FF"/>
          <w:highlight w:val="none"/>
        </w:rPr>
        <mc:AlternateContent>
          <mc:Choice Requires="wpg">
            <w:drawing>
              <wp:inline distT="0" distB="0" distL="114300" distR="114300">
                <wp:extent cx="5751830" cy="3409315"/>
                <wp:effectExtent l="0" t="0" r="8890" b="4445"/>
                <wp:docPr id="16" name="组合 16"/>
                <wp:cNvGraphicFramePr/>
                <a:graphic xmlns:a="http://schemas.openxmlformats.org/drawingml/2006/main">
                  <a:graphicData uri="http://schemas.microsoft.com/office/word/2010/wordprocessingGroup">
                    <wpg:wgp>
                      <wpg:cNvGrpSpPr/>
                      <wpg:grpSpPr>
                        <a:xfrm>
                          <a:off x="0" y="0"/>
                          <a:ext cx="5751830" cy="3409315"/>
                          <a:chOff x="0" y="0"/>
                          <a:chExt cx="9057" cy="5369"/>
                        </a:xfrm>
                      </wpg:grpSpPr>
                      <pic:pic xmlns:pic="http://schemas.openxmlformats.org/drawingml/2006/picture">
                        <pic:nvPicPr>
                          <pic:cNvPr id="10" name="图片 3"/>
                          <pic:cNvPicPr>
                            <a:picLocks noChangeAspect="1"/>
                          </pic:cNvPicPr>
                        </pic:nvPicPr>
                        <pic:blipFill>
                          <a:blip r:embed="rId76"/>
                          <a:stretch>
                            <a:fillRect/>
                          </a:stretch>
                        </pic:blipFill>
                        <pic:spPr>
                          <a:xfrm>
                            <a:off x="0" y="0"/>
                            <a:ext cx="9057" cy="5369"/>
                          </a:xfrm>
                          <a:prstGeom prst="rect">
                            <a:avLst/>
                          </a:prstGeom>
                          <a:noFill/>
                          <a:ln>
                            <a:noFill/>
                          </a:ln>
                        </pic:spPr>
                      </pic:pic>
                      <pic:pic xmlns:pic="http://schemas.openxmlformats.org/drawingml/2006/picture">
                        <pic:nvPicPr>
                          <pic:cNvPr id="11" name="图片 4"/>
                          <pic:cNvPicPr>
                            <a:picLocks noChangeAspect="1"/>
                          </pic:cNvPicPr>
                        </pic:nvPicPr>
                        <pic:blipFill>
                          <a:blip r:embed="rId77"/>
                          <a:stretch>
                            <a:fillRect/>
                          </a:stretch>
                        </pic:blipFill>
                        <pic:spPr>
                          <a:xfrm>
                            <a:off x="2015" y="905"/>
                            <a:ext cx="310" cy="262"/>
                          </a:xfrm>
                          <a:prstGeom prst="rect">
                            <a:avLst/>
                          </a:prstGeom>
                          <a:noFill/>
                          <a:ln>
                            <a:noFill/>
                          </a:ln>
                        </pic:spPr>
                      </pic:pic>
                      <wps:wsp>
                        <wps:cNvPr id="13" name="文本框 13"/>
                        <wps:cNvSpPr txBox="1"/>
                        <wps:spPr>
                          <a:xfrm>
                            <a:off x="1098" y="928"/>
                            <a:ext cx="1235" cy="724"/>
                          </a:xfrm>
                          <a:prstGeom prst="rect">
                            <a:avLst/>
                          </a:prstGeom>
                          <a:noFill/>
                          <a:ln>
                            <a:noFill/>
                          </a:ln>
                        </wps:spPr>
                        <wps:txbx>
                          <w:txbxContent>
                            <w:p>
                              <w:pPr>
                                <w:spacing w:before="20" w:line="174" w:lineRule="exact"/>
                                <w:ind w:left="942"/>
                                <w:rPr>
                                  <w:rFonts w:ascii="Times New Roman" w:hAnsi="Times New Roman" w:eastAsia="Times New Roman" w:cs="Times New Roman"/>
                                  <w:sz w:val="12"/>
                                  <w:szCs w:val="12"/>
                                </w:rPr>
                              </w:pPr>
                              <w:r>
                                <w:rPr>
                                  <w:rFonts w:ascii="Times New Roman" w:hAnsi="Times New Roman" w:eastAsia="Times New Roman" w:cs="Times New Roman"/>
                                  <w:spacing w:val="3"/>
                                  <w:position w:val="1"/>
                                  <w:sz w:val="12"/>
                                  <w:szCs w:val="12"/>
                                </w:rPr>
                                <w:t>10</w:t>
                              </w:r>
                              <w:r>
                                <w:rPr>
                                  <w:rFonts w:ascii="Times New Roman" w:hAnsi="Times New Roman" w:eastAsia="Times New Roman" w:cs="Times New Roman"/>
                                  <w:position w:val="1"/>
                                  <w:sz w:val="12"/>
                                  <w:szCs w:val="12"/>
                                </w:rPr>
                                <w:t>kV</w:t>
                              </w:r>
                            </w:p>
                            <w:p>
                              <w:pPr>
                                <w:spacing w:line="297" w:lineRule="auto"/>
                                <w:rPr>
                                  <w:rFonts w:ascii="Arial"/>
                                  <w:sz w:val="21"/>
                                </w:rPr>
                              </w:pPr>
                            </w:p>
                            <w:p>
                              <w:pPr>
                                <w:spacing w:before="35" w:line="174" w:lineRule="exact"/>
                                <w:ind w:left="20"/>
                                <w:rPr>
                                  <w:rFonts w:ascii="Times New Roman" w:hAnsi="Times New Roman" w:eastAsia="Times New Roman" w:cs="Times New Roman"/>
                                  <w:sz w:val="12"/>
                                  <w:szCs w:val="12"/>
                                </w:rPr>
                              </w:pPr>
                              <w:r>
                                <w:rPr>
                                  <w:rFonts w:ascii="Times New Roman" w:hAnsi="Times New Roman" w:eastAsia="Times New Roman" w:cs="Times New Roman"/>
                                  <w:spacing w:val="14"/>
                                  <w:position w:val="1"/>
                                  <w:sz w:val="12"/>
                                  <w:szCs w:val="12"/>
                                </w:rPr>
                                <w:t>2</w:t>
                              </w:r>
                              <w:r>
                                <w:rPr>
                                  <w:rFonts w:ascii="Times New Roman" w:hAnsi="Times New Roman" w:eastAsia="Times New Roman" w:cs="Times New Roman"/>
                                  <w:position w:val="1"/>
                                  <w:sz w:val="12"/>
                                  <w:szCs w:val="12"/>
                                </w:rPr>
                                <w:t>kV</w:t>
                              </w:r>
                            </w:p>
                          </w:txbxContent>
                        </wps:txbx>
                        <wps:bodyPr lIns="0" tIns="0" rIns="0" bIns="0" upright="1"/>
                      </wps:wsp>
                      <pic:pic xmlns:pic="http://schemas.openxmlformats.org/drawingml/2006/picture">
                        <pic:nvPicPr>
                          <pic:cNvPr id="14" name="图片 6"/>
                          <pic:cNvPicPr>
                            <a:picLocks noChangeAspect="1"/>
                          </pic:cNvPicPr>
                        </pic:nvPicPr>
                        <pic:blipFill>
                          <a:blip r:embed="rId78"/>
                          <a:stretch>
                            <a:fillRect/>
                          </a:stretch>
                        </pic:blipFill>
                        <pic:spPr>
                          <a:xfrm>
                            <a:off x="6365" y="805"/>
                            <a:ext cx="362" cy="262"/>
                          </a:xfrm>
                          <a:prstGeom prst="rect">
                            <a:avLst/>
                          </a:prstGeom>
                          <a:noFill/>
                          <a:ln>
                            <a:noFill/>
                          </a:ln>
                        </pic:spPr>
                      </pic:pic>
                      <wps:wsp>
                        <wps:cNvPr id="15" name="文本框 15"/>
                        <wps:cNvSpPr txBox="1"/>
                        <wps:spPr>
                          <a:xfrm>
                            <a:off x="6403" y="850"/>
                            <a:ext cx="293" cy="202"/>
                          </a:xfrm>
                          <a:prstGeom prst="rect">
                            <a:avLst/>
                          </a:prstGeom>
                          <a:noFill/>
                          <a:ln>
                            <a:noFill/>
                          </a:ln>
                        </wps:spPr>
                        <wps:txbx>
                          <w:txbxContent>
                            <w:p>
                              <w:pPr>
                                <w:spacing w:before="20" w:line="161" w:lineRule="exact"/>
                                <w:ind w:left="20"/>
                                <w:rPr>
                                  <w:rFonts w:ascii="宋体" w:hAnsi="宋体" w:eastAsia="宋体" w:cs="宋体"/>
                                  <w:sz w:val="12"/>
                                  <w:szCs w:val="12"/>
                                </w:rPr>
                              </w:pPr>
                              <w:r>
                                <w:rPr>
                                  <w:rFonts w:ascii="Times New Roman" w:hAnsi="Times New Roman" w:eastAsia="Times New Roman" w:cs="Times New Roman"/>
                                  <w:spacing w:val="5"/>
                                  <w:position w:val="1"/>
                                  <w:sz w:val="12"/>
                                  <w:szCs w:val="12"/>
                                </w:rPr>
                                <w:t>5</w:t>
                              </w:r>
                              <w:r>
                                <w:rPr>
                                  <w:rFonts w:ascii="Times New Roman" w:hAnsi="Times New Roman" w:eastAsia="Times New Roman" w:cs="Times New Roman"/>
                                  <w:spacing w:val="4"/>
                                  <w:position w:val="1"/>
                                  <w:sz w:val="12"/>
                                  <w:szCs w:val="12"/>
                                </w:rPr>
                                <w:t>0</w:t>
                              </w:r>
                              <w:r>
                                <w:rPr>
                                  <w:rFonts w:ascii="宋体" w:hAnsi="宋体" w:eastAsia="宋体" w:cs="宋体"/>
                                  <w:spacing w:val="4"/>
                                  <w:position w:val="1"/>
                                  <w:sz w:val="12"/>
                                  <w:szCs w:val="12"/>
                                </w:rPr>
                                <w:t>µ</w:t>
                              </w:r>
                              <w:r>
                                <w:rPr>
                                  <w:rFonts w:ascii="宋体" w:hAnsi="宋体" w:eastAsia="宋体" w:cs="宋体"/>
                                  <w:position w:val="1"/>
                                  <w:sz w:val="12"/>
                                  <w:szCs w:val="12"/>
                                </w:rPr>
                                <w:t>T</w:t>
                              </w:r>
                            </w:p>
                          </w:txbxContent>
                        </wps:txbx>
                        <wps:bodyPr lIns="0" tIns="0" rIns="0" bIns="0" upright="1"/>
                      </wps:wsp>
                    </wpg:wgp>
                  </a:graphicData>
                </a:graphic>
              </wp:inline>
            </w:drawing>
          </mc:Choice>
          <mc:Fallback>
            <w:pict>
              <v:group id="_x0000_s1026" o:spid="_x0000_s1026" o:spt="203" style="height:268.45pt;width:452.9pt;" coordsize="9057,5369" o:gfxdata="UEsDBAoAAAAAAIdO4kAAAAAAAAAAAAAAAAAEAAAAZHJzL1BLAwQUAAAACACHTuJAZUl7SNYAAAAF&#10;AQAADwAAAGRycy9kb3ducmV2LnhtbE2PQUvDQBCF74L/YRnBm92NJcXGbIoU9VQEW0G8TZNpEpqd&#10;Ddlt0v57Ry96eTC84b3v5auz69RIQ2g9W0hmBhRx6auWawsfu5e7B1AhIlfYeSYLFwqwKq6vcswq&#10;P/E7jdtYKwnhkKGFJsY+0zqUDTkMM98Ti3fwg8Mo51DrasBJwl2n741ZaIctS0ODPa0bKo/bk7Pw&#10;OuH0NE+ex83xsL587dK3z01C1t7eJOYRVKRz/HuGH3xBh0KY9v7EVVCdBRkSf1W8pUllxt5COl8s&#10;QRe5/k9ffANQSwMEFAAAAAgAh07iQHI8mOhGAwAAowwAAA4AAABkcnMvZTJvRG9jLnhtbN1XzW4T&#10;MRC+I/EO1t7p/iVpsmpSAaVVJQQRhQdwHO+P2F1btvPTO6Jw48QFLtx5AyTepu1rMOPdTfMjoEVp&#10;pXJIMvba42++mfnW2dufFzmZcqUzUfYdf8dzCC+ZGGdl0nfevD581HWINrQc01yUvO+ccu3sDx4+&#10;2JvJiAciFfmYKwJOSh3NZN9JjZGR62qW8oLqHSF5CQ9joQpqYKgSd6zoDLwXuRt4XsedCTWWSjCu&#10;NcweVA+d2qO6jkMRxxnjB4JNCl6ayqviOTUQkk4zqZ2BRRvHnJmXcay5IXnfgUiN/YZDwB7htzvY&#10;o1GiqEwzVkOg14GwFlNBsxIOXbg6oIaSico2XBUZU0KL2OwwUbhVIJYRiML31rg5UmIibSxJNEvk&#10;gnRI1Brr/+yWvZgOFcnGUAkdh5S0gIxf/nh3/ukDgQlgZyaTCBYdKXkih6qeSKoRBjyPVYG/EAqZ&#10;W15PF7zyuSEMJtu7bb8bAuUMnoUtrxf67Yp5lkJ6Nvax9Fm9s+e1d6tt7bDTwz1uc6SLyBZAZMYi&#10;+NQUgbVB0d8LE3aZieJAOHorp8OMDVU1WKIJwqhoOv/y8/LjGQkRFW7ANdUOilCeC/ZWk1I8TWmZ&#10;8MdaQi0CyzaG1eUuDleOG+WZPMzyHIlFe7vNQVTEixGHnKvjsQVEI20UNyzFA2M4+BWArchePLAo&#10;r4AhZg0Vcd0a+EMmgS6lzREXBUEDYMHpkAUa0elzXeNoluB0KZAcwEejvFyZgOrAGYu1QmdNAFvl&#10;CIw7KBF/rURa97tEAoS/3RIBsWs7BNQAyqLy3mhF6Nc6EXTsuYt+v6MqmUl4remm42C0ISQ30tqT&#10;lEpUFHS7JCJhUyEXn88uvn6/+Pae+FZI6nWotcTMnwhQT9uhOP+bdvO9Hryykcugu8qlH4TAMoru&#10;bmBr8DbJvEKIlpmP5lA1aI7E+BSiyY9L4BKSaxpDNcaoMSZSZUm6kEncDbm4y9ZtNYmp1d2+A1Hr&#10;7qe625rabut2wk7Vut2N1oWOtdX2X7cuBF+9/5da12oYVitUyU1at9PyQAmgP7vt+irayGDQgwfY&#10;uYF36zKIwCttQWu7nWtvaXB3tRe3+p6Nl+PlMdjL/y0GvwBQSwMECgAAAAAAh07iQAAAAAAAAAAA&#10;AAAAAAoAAABkcnMvbWVkaWEvUEsDBBQAAAAIAIdO4kB+AZp61WcAANBnAAAVAAAAZHJzL21lZGlh&#10;L2ltYWdlMS5qcGVnAdBnL5j/2P/gABBKRklGAAEBAAABAAEAAP/bAEMACAYGBwYFCAcHBwkJCAoM&#10;FA0MCwsMGRITDxQdGh8eHRocHCAkLicgIiwjHBwoNyksMDE0NDQfJzk9ODI8LjM0Mv/bAEMBCQkJ&#10;DAsMGA0NGDIhHCEyMjIyMjIyMjIyMjIyMjIyMjIyMjIyMjIyMjIyMjIyMjIyMjIyMjIyMjIyMjIy&#10;MjIyMv/AABEIAWcCX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CpeanY6eFN5eW9sGztM0qoDjrjJpllrGm6iM2OoWt0NobMEyvweh4PSotV1&#10;G0tYZoZpCsrRMVUIxzwR2FYPha9t18B6RYuXS6h0qFJImLwsrLENwLcbSMHntQBrf8JVpbReZG80&#10;yeYsWYYmk+ZgCuQoOM7hjOM1ak1qwiMaTXMcM8qb0t5WCysPZD8x/KvLNMtJIJbeC4gtb2FbvMJX&#10;fchoDJy6oxkITy1wDgcocsTg1d1yaW0s9HkF3FLanS1g2+QJYTkDJZiCMl1j2k7RkDORmgD0i31e&#10;xuld4bhXiSFJ2l/g2MCQd3ToM9eAQT1FZ95400Gylt0bULeXz32BoZkcKcgZbByBznPoDXCeGb2z&#10;vLDWLS2XRre5Fi0eYo2VkwAsgYbARt4yOSSQM8ZLprW5jmknkmhWBGeR0+yrG9wULq0W6NQeRknO&#10;44XIByaAPS7vVbKyiMlxcxoAu/BYZI9QOp/CkGrWb27T28wukUAn7N+9OD04XNclqV/A+oXKXF1Y&#10;iZrW2gncSiNkJEpYxFyOV8yNuf4T3JFR2F9Fqvh28uZdZsbN2liZzEwKJHGyg5AKsFdgxycHDjp0&#10;oA3o/GmjTWkN5HLcNaytEizC2k2hpSoQE44yXXr0zVzUPEFjpsjxTfaHmRA/lw27yEgkgY2gjJKn&#10;A9q8rkieCaxvXSwhW2t1fbDANttjyDtKmBzkfORliQOQRjB6DxZax6tqk8huI4zDJbC3AdkkkMbM&#10;7FF6SAGReg4wcHNAHcW2tWV1A8yPLHGmNzXELwgZ4x84HOeMU228QaXdyzQw3sJkik8plLYJbAIx&#10;nqMEcjiuS0b+zpfBTRnUrW3umlMztPOGMMpkZ1Dq3Ct14IxkH72OYrd9Pvb6K3utW02OC0lXzDHe&#10;gm54WQE5H97H3SMYI6cUAdvJqcUfn/u538kqreXGXzn0xnPuOo+hGYrLXbG/hvJYXdVs5TFcCWNo&#10;zGwVXIIYD+FlP415vPp2t3us6y+lRzvAt1fxuI3wBMyW3lnHmJzw+G5xzxzWr4Ytyuka9Hql3LAY&#10;9QjE5DKxkcWlsNpJBDEtxj+I8cg4IB3Fvqlvc3b2qbxKsSTYddu5Gzgj8QQfSqdx4s0S2uoLZtRt&#10;WklZh8s6YQAcliTwOg9cmsDTor+88Q6al5qN49zb2T3FyFaEfZ5HZNkTBUGcrv4OR8oPB2ms/wAW&#10;QajDqIvp9QuoUF3pyJ9nj+RFa4IcLkMS2NpOOvAIIAoA9BtL61v4zJaXMNxGDtLROHAPpkd+RUGo&#10;avZaW0AvJ1i8+QRIT03Hpn0HbJ4yR61D4fmmuNKSWeWWVmkl2yTRhGZBIwQlQBj5QvYVzXj3Trq8&#10;t7u6jtZvLt7KZTJuAVgVBzxMh4x3B+lAHVafrFpqVg17BJ/o6s672IAwpI3deAcZGexBqpaeLNHv&#10;JYY1uRG01uLlPNwuVJwRn+8MjI9xWCNElXwnr1jdwXUMdykkzsHA3Dy1UpnzZGwQnPPc4xUEt3FH&#10;qv2UFmtbieCVpvJJ8kKrF4wRyATGg6f8tW69gDvlYMAQcg8g0ucVRtVt/wC0rl4rZ0laKPfMUIWR&#10;fm2gHvjn6bhUOu3n2Gzim8xkX7TCrFVJO0uAeB2waAJ7vWdNsJFjvL+1tpHGVSaZUJHsCeehq1DN&#10;HPGskTq8bgMrqchgehB7iucs7mXUINNnZJjt1S4z5iEEIPPCE57bSuPYiumAA7UALRRRQAUUUUAF&#10;FFFABRRRQAUUUUAFFFFABRRRQAUUUUAFFFFABRRRQAUUUUAFFFFABRSUUALSUUUALRSUUALRSUUA&#10;V7u8WzSN3ViHlSIY9WYAfzqwKw/FRC6TGTNLCBdQfvIV3Ov7xegwc/ka5+88TaJp0/kX3ja/tZsZ&#10;8uaGNGx64MNaU6VSo7Qi2/LUTaW53tJXnn/CaeF/+ig3H/fMP/xmj/hNPC//AEUG4/75h/8AjNbf&#10;UcV/z7l9zFzR7nolFed/8Jp4X/6KDcf98w//ABmj/hNPC/8A0UG4/wC+Yf8A4zR9RxX/AD7l9zDm&#10;j3PRKqteompRWJVt8kLShu2FKg/+hCuF/wCE08L/APRQbj/vmH/4zUB8V+EmvEuj4/uPOSNow2Iv&#10;ukgkf6r1UUfUcV/z7l9zDmj3PS6K87/4TTwv/wBFBuP++Yf/AIzR/wAJp4X/AOig3H/fMP8A8Zo+&#10;o4r/AJ9y+5hzR7nolFed/wDCaeF/+ig3H/fMP/xmj/hNPC//AEUG4/75h/8AjNH1HFf8+5fcw5o9&#10;z0Skrzz/AITTwv8A9FBuP++Yf/jNH/Ca+F/+ig3H/fMP/wAZo+o4r/n3L7mHNHud1b3i3E91EqkG&#10;3lETE9yUVv5MKtV5rD4s8JwSzyJ4/uA07iSTiLk7Qv8Azy9FFTf8Jp4X/wCig3H/AHzD/wDGaPqO&#10;K/59y+5hzR7nolFed/8ACaeF/wDooNx/3zD/APGaP+E08L/9FBuP++Yf/jNH1HFf8+5fcw5o9z0S&#10;ivO/+E08L/8ARQbj/vmH/wCM0f8ACaeF/wDooNx/3zD/APGaPqOK/wCfcvuYc0e56EVHJqrY3EOq&#10;abDdKh8qeMNtf0PY1wx8aeGP+ig3H/fMP/xmobTxX4SsrSK2g8f3CxRKFUYiOAP+2VH1HFf8+5fc&#10;w5o9z0cQRiQyBBvIClsDJA6DP4n86VY1QYVQB6AV59/wmnhf/ooNx/3zD/8AGaP+E08L/wDRQbj/&#10;AL5h/wDjNH1HFf8APuX3MOaPc75baJDlI1U5J+UAck5J/E9aatjarctcrbxCduDKEG4/j1rg/wDh&#10;NPC//RQbj/vmH/4zR/wmnhf/AKKDcf8AfMP/AMZo+o4r/n3L7mHNHuegrGqliBgtycdz/kVXvrmP&#10;T7GW5kVikYGQOvUCuG/4TTwv/wBFBuP++Yf/AIzUN14r8JXls9vN4/uGjfqMRDvn/nlR9RxX/PuX&#10;3MOaPc9HCgjvSGGMyCQoN4BUNjkA4yM+nA/KvPh408L/APRQLj/vmH/4zS/8Jp4X/wCig3H/AHzD&#10;/wDGaPqOK/59y+5hzR7noIjUOXCjcRgnuacVFeef8Jp4X/6KDcf98w//ABmj/hNPC/8A0UG4/wC+&#10;Yf8A4zR9RxX/AD7l9zDmj3PQUiSMtsQLuO5sDGT6mmJawRrtSJEXdu2qoAznOfrmuB/4TTwv/wBF&#10;BuP++Yf/AIzR/wAJp4X/AOig3H/fMP8A8Zo+o4r/AJ9y+5hzR7nczXKQXdtAVJa4ZlUjthS3P5VO&#10;8McgAdAwBDAMM4I6GvOZfFnhOWeGV/H9wXhYshxFwSCD/wAsvQmpv+E08L/9FBuP++Yf/jNH1HFf&#10;8+5fcw5o9z0MKB0pssSTRNHIgdGGGVhkEV59/wAJp4X/AOig3H/fMP8A8Zo/4TTwv/0UG4/75h/+&#10;M0fUcV/z7l9zDmj3PQigKlSMgjBB70BAK89/4TTwv/0UG4/75h/+M0f8Jp4X/wCig3H/AHzD/wDG&#10;aPqOK/59y+5hzR7noYUCqLyW93fy2UkZZoBHNk9Mknb+RWuK/wCE08L/APRQbj/vmH/4zUC+K/Ca&#10;Xclyvj+482RVRjiLkKSR/wAsv9o0fUcV/wA+5fcw5o9z0naKdXnf/CaeF/8AooNx/wB8w/8Axmj/&#10;AITTwv8A9FBuP++Yf/jNH1HFf8+5fcw5o9z0SivO/wDhNPC//RQbj/vmH/4zR/wmnhf/AKKDcf8A&#10;fMP/AMZo+o4r/n3L7mHNHueiUh4Feef8Jp4X/wCig3H/AHzD/wDGaT/hNPC//RQbj/vmH/4zR9Rx&#10;X/PuX3MOaPc7yyvEvoGmRWAEjx8+qsVP6irNea23izwnaxGOLx/cBS7ORiLqxLH/AJZepNTf8Jp4&#10;X/6KDcf98w//ABmj6jiv+fcvuYc0e56JRXnf/CaeF/8AooNx/wB8w/8Axmj/AITTwv8A9FBuP++Y&#10;f/jNH1HFf8+5fcw5o9z0SivO/wDhNPC//RQbj/vmH/4zR/wmnhf/AKKDcf8AfMP/AMZo+o4r/n3L&#10;7mHNHud7e3S2VjPdOCUhjaRgOpAGalRt6Bh0IzXn1zrOm6tod+dO8WajeqIXVvLgjZc7ejEQ8fmK&#10;723/AOPaP/dH8q55wlB8s1Z+ZSdyUnFJmuZ+IV3c2Pgq+uLSeSCZTEFkjOGGZFBwfoTXiv8Awkev&#10;f9Bu/wD+/wC1cdfFQotKR62XZPXx8HOk0knbU+kc0mTXzefEevYP/E71D/v+1e+eG5pbjwxpU88h&#10;klls4Xd26sxQEk06GJhXvy9CMyyqtgOX2rTv2NaikorpPMFopKKAFopKKAFopKKACilooASilooA&#10;SilooASilooAxvEYkOnwiF0ST7XBtZ1LKD5i9QCP5188fGYXC+PCLmWKWT7LH80UZQY57Fj/ADr6&#10;E8Uosmkxo1sLlTdQAwtjD/vF454/OvnT4uQpB42KJp62A+zRnyV2478/LxX0nC3+/r0f6GNf4DhK&#10;KKK/TDjCiiigQUUUUAFFFFABRRRQAUUUUAFFFWbaxuLr/Vxnb/fbgf8A16yqVY0/iZSi3sVqK34N&#10;DhQAzs0jeg4FMutEUqWtiVb+4xyD+Nc311X2djT2MrGHRSurIxVgQwOCD2pK7IyUldGQUUUVQgoo&#10;ooAKKKKACiiigAoooosAUUUUAFFFFABRRRQAUUVLb20t1KI4lye57D61E5qCuxpN7EVFdDDoluke&#10;Jd0jHqc4/IVXuNC4LW0n/AX/AMa5FjVfVOxr7GVjGoqSaCW3fbLGyH3HB/Go664VIzV4syaa3Cii&#10;irEFFFFABRRRQAUUUUWAKKKKACiiigD2X4SLdnwN4jMM8CQ7m3pJEWZv3fYhhjj2Ne723/Hun+6P&#10;5V8//Cy3jl8G69I2kx3TKxxcNszF8nUZ59+K+gbb/j3j/wB0fyr8mz1f8KNX1O+l8COW+Jf/ACIO&#10;of70P/o1K8JFe7/Ez/kQdQ/3of8A0aleECvjsz+Neh9/wn/u9T1/QRvumvovwr/yKOjf9eMH/oC1&#10;86t9019EeGJY08JaIruqlrKAKCcZ/dr0qsr+18jDi7al8/0NsdKKYJoyzL5i7lGWGRkfWnJIkiBk&#10;dWU9CpyK9g+LFopaKAEopaKAEopaKACiiigAooooAKKKKAMrXNZGjxWzeWrvcTCJQzFQPlLEkgHs&#10;p7VnN4ujEmRAkltGYEnuI5QVVpcbdvHzDkZPHUda2r+1uLlI/st41tIjbtwQOG4xgg9ufbnFYEHg&#10;mC2jSCO7l+zM0Uk8bKD5rxtuBz2ycZA9B0oAt+J5oTpcYa4aMfaoMtEcuv7xeQBnn8K+efi60TeN&#10;8xXE9wv2aP55wQ3fjkD+VfQWvaVaxW0M9rZ2cV39sgKzGAEgmReTjBP514H8ZluV8eEXckUkv2WP&#10;mKMoMc9iT/OvpOFn/t69GY1/hPPaKKK/TTjCiiigQUUUUAFFFFABRRQASQACSegFJtJXYwqe2s57&#10;tsRJx3Y8AVo2WjFsSXXA7R/41tIixoFRQqjgAV59XFOWlP7zaFLqzPtdHt4cNKPNcevQfhWkAAMD&#10;gelLRXLbq9zoSS2CiiimMztR01btd6YWYDg9m9jXOMrIxR1KspwQe1dpWdqOnC6TzIwBMo4/2vY1&#10;pRquk/IxqU+bVHN0UrKUYqwIYdQaSvUjJS2OawUUUVQgooooAKKKu2mlz3SbwRGnYsOv0rKpWhT+&#10;IqMXLYpUVYurOa0k2yDg9GHQ1XpwqRmrxBprcKKKK0JCiiigAooqW3t5LqYRRjk9T2A9aic1BXY0&#10;ri21rJdzCOMe5PYCuntLSO0iCRjnux6k0WlrHaRCNB15LHqTVivKqVHUd2dcIKIUUUVJYySNJUKS&#10;IGU9iM1k3WiKctbNtP8Acbp+BrZopJNO8XZicU9zjZYpIHKSoVYdjTK6+4toblNkqBh2PcfSsC90&#10;qW2+aMGSL1A5X612UsV9mp95zzpNbGfRSZGcZ59KWu2MlLYysFFFFUIKKKKACiiigAooooA9d+Fj&#10;wr4M18SXd1E5ZtscQOx/3f8AF8p/nXvlrLG0KBXUnaOAfavC/hKl43gXxH5MsCwZYSLJEWZv3fYh&#10;hjj2Ne2afpdhaIkttZW0MmwDdHEqnGPUCvyXPv8AkYVfU76XwIw/iUjSeBL9EIDF4QM9P9aleH/2&#10;bef34PyavdPiH/yJV5/10g/9HJXklfE5vVcKkbdj7Phxy9jOztr+hitpt7g/vIPyavTrmwu5/Dul&#10;m0iMtzPocMEDGJmEUuFIZGHCnJGc44UHPBrimHBr2zwt/wAilo3/AF4wf+gCtMnqufPfyMuJOa1O&#10;7vv+hxV9pd/Kgjgs5vtSSXTX7iMjz4mlDBQ38W5egGemOK63wzAYpdVkihaCymuw9tGYzHhfLQMQ&#10;vYFg3b1PeuhxSYr2z5UWiiigAooooAKKKKACiiigAooooAKKKKACiiigDD8VIsmkoj2wuVN1ADD8&#10;vz/vF4+bj86+dPi5FHD422R6cLBfs0Z8kbPfn5SRX0X4pZV0qMvM8Ki7gzIn3l/eLyOD/KvnX4uv&#10;G/jbMd5LdL9mj/eS4z344A/lX0nC3+/r0f6GNf4Dg6KKK/TDiCiiimAUUUUAFFFS29vJczCKMZJ6&#10;n0HrUTmoK7Gk27IbFFJPKI41LMe1dHYabHaLuOHmPVvT6VLZ2cVnFtQZY/eY9TVmvLq1ZVXrsdUK&#10;ajvuHFLRRUGgUUUUAFFFFABSUtFAGFqtm8zu5iYyFgEYdCPQDrmsYbg5VlIIPcYrspIklXa4JHXg&#10;4IqjqGmi4iUxACRRjn+Iemazw6lSq8zehnUhfY5yinPG8blHUqw6gim17cZxkrpnK1YKACTgAknt&#10;U1tazXb7Ykz6segrobLTYbQBvvy/3yP5elc1bFKOkNWaQpuRS0/SOk10Oeqxn+tbQA+lFFcLvJ80&#10;tzpilFWQyWJJoykihlPUGuev9Me1JkjDPD+q/WukoIBGDRGUoPmiEoqSszi6K3r3RkkzJbYR+6dj&#10;/hWHJG8TlJFKsOoNehRxMZ6PRnLKDiNooqa2tZbqTZEufVuwradSMFeTJSb2GQwyXEojjXLGuosr&#10;OOzh2Lyx+83qaLOyis4tqDLH7z9zVmvMq1JVZXex1U6fLqxaKKKg0CiiigQUUUUAFNbO07Tz2p1J&#10;SauBzl1psjOixxETbST8wO892rO2upKyLtYcEGuxeGOTG9Q2ORkdKo6npwul8yLAlX/x6pwvNQlq&#10;7ozqU7q6OcopSCrEEEEcEHtSV7cZKSujlCiiiqEFFFFABRRRQB658LLeKXwdr0j6Qt26sdtwfL/d&#10;fJ/tHPvxX0Db/wDHun+6P5V8/wDwrkhXwbr6vfzwOWO2JMbZPk75U/TqK9/tv+PeP/dH8q/Jc+v/&#10;AGjV9f0O+l8COc+If/IlXn/XSD/0cleSCvWviKSPBV5hWY+ZD8qjJP71OgryHfN/z5Xn/gO/+FfD&#10;ZzFupG3Y+w4eqwhRnzO2pIx+U17X4XP/ABSWjf8AXjB/6AK8PZ5sH/Qrz/wHb/CvQf7c1Gw0PR47&#10;JmEcGjwXExCKQmdozJnnbtD8LzwfatMli1z/ACMuIasJqnyu+/6Ho+R60ZFef33iXVraCC5jnB+2&#10;y3EAjMYxb7JQit6nAyTnIJrptDu7mW61SzuZjN9iuREkpUAspjR+ccZBYj8K94+YNuiiigAooooA&#10;KKKKAEpaSigAooooAWkoooAWkoooAx/EYlNhCIGRZftcG0upKg+YvUAivnj4zC5Xx4RdvE8v2WPm&#10;JCq457En+dfQnipFk0lEe2+0qbqAGEY+f94vHzED8zXzp8XIo4fG2yLTzYL9mjPknZ78/KSK+k4W&#10;S+vr0f6GNf4ThKKKK/TDiCiiigAooopNpK7GPiieaVY4xlmOAK6ixsks4dq8ufvN6mq+lWH2WLzJ&#10;B++cc5/hHpWjXlVarqyv06HVThyq73CiiioNQooooEFFFFABRRRQAUUUUAFGKKKAIZ7WG5XEsat6&#10;HHIquuj2atnyi3szEir1FTyoLJjUjWNQqKFUdABgU6iimlbYAooopgFFFFABio5reK4XbLGrD3FS&#10;UUmk9wKI0ezDZ8o/TecVcjjWJAiKFUdgMU6ilyoEkgoooqhhRRRQIKKKKACiiigAooooAKKKKAMv&#10;VdO89TNCv70dQP4h/jXP12lYOsWHlt9piHyMfnHofWtcPW9m+V7MxqwvqjJooor1DmCiiigAoooo&#10;A9l+Ei3jeBvEZgkgWHc3mK8ZZj+77EEAcexr3e2/490/3R/Kvn/4WQRSeDded9JN06sdtx+7xF8n&#10;X5mB9+Aa+gLf/j3j/wB0fyr8mz5f8KNX1O+l8CMLxx/yK0//AF2g/wDRyVw1dz44/wCRVn/67Qf+&#10;jkrhhX5zxH/Gh6fqfS5N/Dl6iN90/Su50XSLC/8ADeiy3VpDNIljCoZ1zxsU49xkA49q4ZvuH6V6&#10;N4Z/5FbSP+vKH/0AVtw3/wAvPl+pnnX2Pn+hKdC01pZpGsbcvOrLKSgO4N94H64GfWrNnYW1hCYr&#10;WFIkLFiFHUnqT6mrFFfUnhC0lFFABRRRQAtJRRQAUtFFACUUtFABSUtFACUZFY3iXWhoum+YjRfa&#10;pcpbrK21S+Cck+gAJP0x1IrnLfxZqE9kl+HhaGEWKyIqZ84zhd5BzxjcMfQ59gDofFLIukxs87QK&#10;LqDMq4yn7xeeQR+lfOvxdkik8b7or17xfs0f719ue/HygD9K9/13VY5oYLW18wXP2yAKZbeQJkSD&#10;qcAY/GvBvjMLoePD9raEy/ZY/wDVAhcc+tfScLf7+vR/oY1/hPPaKKK/TDiCiiimAVp6PZ+fN58g&#10;zHH0B7n/AOtWdHG0sqxoMsxwK622t1t4EiToo/OvPxdW/wC7XzN6MLu7JaKWiuU6BKKWigBKKWig&#10;ApKCajEjS8QqGHdzwv8A9eplNR3Gk3sSUUgtFPMrNIfTOB+VR3USQQgRL5auwDMg+6O5rKVVxXM1&#10;oaeydiWis5JZYXdY4iY8eYqux3benHucZ/EVog5p0a6qrQzasFFLRWwhKKWigBKKWigBKKOlR+Yz&#10;k+TGZMfxZwPz7/hUymo7jSb2JaSo1ly2x1KP/dbv9PWpKIyUtgs0FFLRVCEopaKAEopaKAEopGYK&#10;u4nAHUmmqkk/OTHH64+Zv8KiU+XTqUot7D6KUWUGOU3H+8xJP501rZ05hkP+45yPz61HtJdUW6TH&#10;UlRrL82x1KP6Hv8AQ96kFaRkpbGbVgopaKoQlFLRQAlNdFkRkYZVhgg0+ihq4HJXtsbS5aM8r1U+&#10;oqvXSava/aLUuo/eR/MPcdxXN13YWrzLle6OWpHlYUUUV2GQUUUUAeu/CqSFPBuvrJqUlu5Y7YVK&#10;4k+TvlSfbgivf7b/AI9o/wDdH8q8I+Ev2z/hBfEZgMAgBbzBIrFseX/Dg+le06bq1teKkMQn37Af&#10;ngdB+bACvyXPv+RjV9TvpfAih44/5Faf/rtB/wCjkrhhXe+MYYrjw88MyLJG9xbhkYZBHnJXO/8A&#10;CM6H/wBAm0/79CvzfiWrThWgp326evqe5luIdKEla+pht90/SuttdXu9K8J6E8FlFcrLbW8SKZyj&#10;s7KAABtIPHJORwD6VmN4Z0Paf+JTadP+eQrf0bS0utI8N3LOQtnao6RgcFjEFB/AFvzrXhmrTm6n&#10;Jfpv8/MjMq7q8ulrEU/jSG2BkktH8iRpUtnVwTM8bBCMfw5J4OenXFa+lao2oG6ilg8i5tJfKmjD&#10;bgCVDAg8ZBDDsKyJ/BcVySkl4/kRtK9qioAYXd95bP8AFgjgYHHXNa2laU2ntdTSzie5u5fOmkCb&#10;ASFVQAMnAAUdzX1h5Rp0lLRQAlFLRQAUlLRQAUUUUAFFFFAGbcy6m1w6WlvAsa/8tJpD8x9lAPHu&#10;SOQeO9SWkt8ZDHeQRJxlZIZCyt7EEAg/n9azfFrRpptv5ghZDdxB1uJvLhYZ6OcHj0GDk7al0E23&#10;lSfZoNMhXf8AMLCYSKTjvhVwaANeaCOdCkiB1IIIIrMHhvSllt5FtADbqixgOwACfcyM4bb2Jzit&#10;eigDC8UoraTGj25uFN1ADEuMv+8XjkgfrXzr8XIoovGxWGxeyT7Mn7p9ue/Pykj9a+i/FLImlRtJ&#10;cG2UXUBMwIGz94vPII/MV86/F2SKXxuWivzfL9mj/fEofXj5QBX0nCt/r69H+hjX+E4Oiiiv004w&#10;ooo/DJqZNRV2Br6Hb7pHuGHC/Kv171vVWsrcW1pHF3A5+verNeNdybk+p2xjyqwUUUUxhRRRQAUx&#10;3CLk/QAd6VnCKWJ4p0MJz5sg+fsP7o/xrOc+i3LjG7GJbtL803C/88x/X1q0AAMAYHtSjpRmoUba&#10;nQklsGKMUZ5ozVDK5sojcCY7iVOQpPAPrj1pkoeFi55iPt93/wCtVvNBAxis1BR+HQmUU0VhRTCv&#10;2dwn/LNj8p9D6U8VtCXMc8lbQWiig1ZIhpruEXJ/ADqaHcIMn6ADqTT4YTnzJPv9h/dFZTn0W5cY&#10;OTGrbvLzMcL/AM8x/U/0qyFAGAABS0ZqVG2p0JJbDJI1kXa65FVnV7fkkyR+vdfr61cpDQ49VuKU&#10;U9yuMEZHSlpkifZyXUfuu4/u+/0p2c9K0hK++5zyi07C0UUVZIU12CLlulKTgEk4FJBGZWEzjgfc&#10;H9aznK2i3LjHmYsUDOwebtyqen196s0UZqErHQklsFGKM0ZqhjJI0kUq6giqzLJb8kl4v73dfr6i&#10;rlJUuPVbilFS3K4IPSlqORDbHcP9Ueo/u/8A1qeDWkJ306nNKPKxaKKKskKKKKAEIrldRtvs166A&#10;YRvmX6GurrK1y3D2yTAcxnB+hpwlyTUiKivE5+iiivYWpyBRRRTEeufCyGGTwbrzyaXJcurNtnXZ&#10;iL933ywPvwDX0Bb/APHvH/uj+VeAfCqaFPBuvpJqrWzsx224aPEvydMMpPtwRX0Bbf8AHtH/ALo/&#10;lX5Nn1/7Qq+v6HfS+BGT4q/5Af8A282//o5Kzq0fFf8AyA/+3m3/APRyVnV+V8W/x6fp+p6eD+Fi&#10;P9xvpWx4c/5FnSv+vOH/ANAFY7fcP0q5pGq2Nh4c0ZLu7hhd7OIqHYDI2qM/TJAz7ituEd6vy/Un&#10;GdDoaKzjremiWeI39uHgVmlBcDYF+8T9MjPpVi0vra/h821nSVMlSVPQjqD6GvtjiLNFFFABRRRQ&#10;AUUUUAFFFFABRRSUAZt0uorO5t0tbiFuRHM5jK/8CCtke2O/XtT7KO98wvdC3iH8MUGWA9SWIGfy&#10;Hfr2edTtFuzbNJtlEgjwR1YoXx/3yCafHqFvLeG1jYtIIlmyBldrEgHPT+E0AWqKKKAMbxH5v9nw&#10;+Ts837XBt35258xeuK+ePjN9p/4Tw/axCJfssf8Aqs7cc+tfQnilUfSUWSB50N1BmJMZb94vAyR/&#10;OvnT4uRxReNtsNnLaJ9mj/dy4z354J/nX0nC1vr69H+hjX+E4Siiiv0w4gqzpsaT3i7mASM7mz7V&#10;Wq7pcTMrvkrG5EZKkHr2wf5152YV3ThZdTWnG7OnFFIvApa5lsdYtFFJTELSUVHMzYCKcO52qfT3&#10;/KpnLlVxpXHQr50pkP3EOF9z3P8ASrdNRBGgRRgAYFO7VlFW33OqK5VYKQnAycAUqq8kixopd3IV&#10;VUcknoK9E0HwXa2kaXGpItxdddh5SM+mO59zXBj8xp4OPvat7I48ZjqWFjeer7HHad4c1bVUElta&#10;hYT0lmbYp+nc/lirtx4J1y3jLqlvcY/hikw34BgAfzr08AAYAwPQUtfLzz3FufMmku1j56WeYlzv&#10;GyXY8QdXilaOVGjkQ4ZHGCD7ikzXrWs+HbDW0/0iPZOowk6cOv8AiPY15fqWnXGk6hJZ3A+deVYd&#10;HU9CK+hy7NoYv3JaS/M9zAZlDFe7tLsUpI1lRkboarRswLRv99Dg+47GrgqtdIRiZB8yDkf3lr1n&#10;7r5kd843QtITgUgYMoIOQeQaZt8+QxfwDG8+vtWkp2RglfQfboZH89hx/wAswfT1/GrVJ0+lAySA&#10;qlmJwFAyST0ArLSKvJnSkooM45PStCw0PVdTj82zsZHhPSRiEU/TJGfwrsNA8E28EcdzqqCe4OGE&#10;J5SP6j+I/Xj+ddgAFUKoAA4AHavmcbn7T5MOvmzwMXnig+Wgr+bPGL3T73TZRHfWskDH7pbBVvoR&#10;xVavarq0t723eC5hSWJuqOMivP8AxN4S/sqJr6w3NaD/AFkZOTF7g91/lW2Az2NVqnXVn36GuBzm&#10;FZqnVVn+BypqoV8iUJ/yzb7vsfSreaZLEJYyjdD3Hb3r6Frqtz2ZR5lYiozTEZssj/fU4OO/oapS&#10;3BluYxEHYEHYMlQT6+4oqV4wipdzmtrYubfPmMf8C4L+/oKuAVBZO8lurSABskZHAb3/ABqxmlB8&#10;y5u50wVkBNTWdld6jceRZ27zydwvQe5J4H41qeG/DsmvXDM7NHZxHEjjqx67R/U9q9MsNOtNMthb&#10;2cCRRjnCjkn1J6k14eZZ1HDt0qWsvwR5OPzaGHbpwV5fgjzweBdbaPdusw2PuGVs/ntrFv8ATb7S&#10;pAl9bNDk4Vs7lb6MOPw617PUVxbw3ULQzxRyxMMMjrkH8K8ijn2KhK8/eR5VHPK8ZXqJNHiYNLkV&#10;1viXwgLCF77TVY268ywE5KD1X29q5EV9Vg8bSxcOeHzR9LhsVTxMOemBGQQehqmo8mUw/wAOMp9P&#10;T8P8Ku1BdIXi3KMuh3L7+3410y095dDacbobS01GDoGU5BGRTq3TurnKFFFJTAWoriIT28kR/jUr&#10;UtJSkroZxeCCQeo4NFWdRj8rUJ1HTduH481Wr1cPPnppnDJWdgooorYk9l+Ev2z/AIQbxH5At/J3&#10;N5nmZ3f6vtjjp617xb/8e8f+6P5V8/fCuGB/B2vNJp088isdsyY2x/J3yw+vQ19AW3/HvH/uj+Vf&#10;kufW/tCr6nfS+BGN4xDnw64Ryj/aLfDAA4/fJ61zflX/AP0FJf8AvzH/AIV03i7/AJADf9fFv/6O&#10;SsKvzPiio4V4WS26pPr5mdavUptKDsVHiv8Aaf8AiaS9P+eMf/xNIujancaZZ3VkJXafRreCF1lC&#10;LDKuTudcjcvzdOehGOatv90/Sul8N/8AIr6T/wBecP8A6AK24WqOXtLpdNkl37BRrTqX53c5K98N&#10;6rcwQ2qW4AspbiYSGRcXO+UOq9cjIznOBmuo0K0uYrnVLu4hMH2y5EqQswJVRGic44ySpP5VtUV9&#10;edAtFFFABRRRQAUUUUAJS0lFABRRRQB5p4p0a9ufEDyRpI9uLoXEkj6c9ywXyduIypG3kYwATkg9&#10;jnX8D2kdi8sUMZObaDz2aNojHIAfk8t8Mq4II4xksepqHxF4sutM1fU4bJQ4gsY3Pmqyqj+YUyuR&#10;hv8AWKcjj5cdemt4Zu77UfMuZ7hmiUhDG4QnlEkVsqq44cgjB56GgDpaSiigDE8UsiaVG0lz9mQX&#10;UBM2VGz94vOWBH5186/F6WKbxvvh1D7en2aP99uQ+vHyACvo3xJ5v9nw+QEaX7XBtDkhSfMXrivn&#10;f4y/af8AhPD9rSFZfssfELErjn1Ar6Phb/f16P8AQxr/AAnn1FFFfppxBW/osMRs/M8pN4cjdgZr&#10;ArpdHAGmxkdyT+prgxtnypm9Hcv0UUVynQFFFFABTIRvuye0a8fU/wD6v1p5pLMcSt/ekP6cf0rG&#10;q9UjSmryLXWig00q74SP/WOQq/UnAqZyUIuT6G7dldnceBdFUg6xOmSSUtwew6Fvx6fTPrXckhQc&#10;nAAzk1DZWqWVjBax/chjCL9AMVQ1iQyy29kDhZMyS47ouOPxJH5GvzuvWni67lLqfAY3FOtUlVnt&#10;+gkupzzkiyCLH/z2lUkN/uqCMj3zTFutSiO4ywTj+4YyhP0IJx+RqteX8NkoMhJYjIVRyR6+w9zV&#10;S21tJWKzosYzwyNuA+vGR9elayeCpSVGpJczPDWIxlRe0px91eR0tpex3aNtDJIv3434K/8A1ves&#10;bxhoo1PSGmiTN3bAyR4HLD+JfxA/PFLPJ9lkivgcCI4k94z1/Lg/hXQdRWU4ywtZSg9tUengcW3y&#10;1o6NM8PDZUEHINFXtbtBYa9fWqDEaS5X6MA2Pw3Y/CqIFfoOHqqtSjUXVH6NSqKpBTXUqGCWI7Id&#10;pjPTP8H+IqeKIRIRkkk5JPc1LigitFGw1FJ3ErsPAuii4mbVp1ykTFIAR1bu34dB75rjZGKxsyj5&#10;gOPrXtGmWSadpdtaIBthjC/U45P55rwM/wAU6dJUo/a39Dx86xLpUlTjvL8iW5uYrWEyythegAGS&#10;T6AdzWY97qE53R+XbJ2DrvY/XkAfTn60yeT7XqTtnMVv+7T0L/xH8On51n32rfZ5PJgRZJB97OcD&#10;2+UEn+lfNRjQo0vbYh2R8JWrVpVfY4dXfU1otTntzi8RXj/57RAjb9V5P4jP0FaZCTRY4eNh9QQa&#10;52x1BL2M8BZV+8mc/iPar+ky+VLLYseE/eRf7hPI/A/oRSrUqbgq1F3iysNiKkpunVVpI858Q6Od&#10;E1ZrdQfs8g3wH/Z7r+H8sVl9q9F8fWazaEt1gb7eZSD7MdpH6j8q85HSvsMmxUsRhlzbx0/yP0LK&#10;8S6+HTlutCGaAu3mIcSAY56MPSoEsMbcOVj3BzGQDtIOeD2q9ijFenKlGW56Dim7iDOKltraW8u4&#10;bSAfvZnCL7Z7/QdairqvAFos+tXN0wB+zRAL9XJyfyX9a5cxxH1fDSqLfoc+Mr+woSqdjvNOsINM&#10;sIrS3GI41wM9Se5PuetR3eo+VIYbePzZu/OFT/eP9OtS39z9kspZsZYcIvqx4A/Mishdlna7pZPu&#10;8u5/iY9T+Jr4ahS9rJzm9Op+cYvEypK+8pE3n6nnP2qAH+75Bx/6FmrVpqRkkEFzGIpj90g5R/of&#10;X2P61gNrqi42+T+76csN+fp/TOfatANDf23ytlG6EcFSP5EVpD6piU40JXaOT6ziqLTrx91m+Rkc&#10;jOa8q8U6L/Yuq/ulxaXGXi44U91/qPY+1elaZctdWKPIR5q5R/dlOCfxxmsbxzaC58NyTAfNausw&#10;PoBw3/jpNVlmJlhsTF9Hoz6XK8S6GIjro9GeaDmkoHFLX6B0PtijENjyxdArcfQ8/wCNS0yQbb7/&#10;AH4/5H/69Pp0npbsc0lZhRRRWpAUGiigDntcTbfK395B/M1mVsa+Bvt27kMP5Vj13YJ/u7dmzlq/&#10;EFFFFdZkeu/CqaCPwZr6Sav9ldmbbb74x5v7v0YFj6cEV7/bf8e0f+6P5V4P8Jftv/CDeI/Ijt2h&#10;3N5hkYhh+77ADniveLf/AI90/wB0fyr8mz3/AJGNX1O+l8CMjxd/yAG/6+Lf/wBHJWFWx42lMHhi&#10;WURmQrPAdqkZP75PWuL/AOEib/oF3X/fcf8A8VX5txNQnVrQcV0/U4sbVpwklOSRtt90/Sul8Nn/&#10;AIpfSf8Arzh/9AFefN4iYqf+JXddP78f/wAVWlNetZ6Lo92biJlttJikFgZXSSZiF+7tIBPGB15P&#10;TnNa8MUJ0/ac3l+pWCqQqN8jTPQ9w9aXIrzO+1W/iQSQXs32qSS6W+QSE+REsoAbb/DtXoRjOc81&#10;1nhqcyzarHHM09lDdhLaQyF8r5aFgGPUBi3c+navrTvOhpKKKACiiigBaSiigBaKKKACiiigDkNd&#10;stHv7+9+3m4814kskEMUjsGw8mQEzu6g4IwCgq74eNtFcXFtbNtxiR4hprWoBPG45AySB+ntWD4l&#10;0m8vdZllimm8hbqPfELcyqv7hgJAEw+edvXHI/HS8I2slnfagjxyBZSsiObWSJTlnO35/QMB9AKA&#10;NXxG9slkgubv7NliIy0piR22nAdhyB369QK4ax1S+ltoJJry4bUQbFbSN5SvnIWAkbb/ABA/Ockd&#10;ACa9RZVYYYAj0IpCikg4GRQBy3iKe7ls44rjSnNqbuEFo5wWYeYOg4PP1rwP4uJDH422wW01un2a&#10;P5Jj83fnqa+i/FDJHpUbPc/ZlF1ATNlRs/eLz8wI/Ovnb4vyRy+N90WoC/X7NH++DIfXj5ABX0nC&#10;v+/r0f6GNf4TgqKKK/TDjCun0of8S2H6H+dcxXTaR/yDYvbI/U1wY1e9H5m1Ddl+iiiuU6AooooA&#10;Q0WP/Hufd2/9CNBosj8kg/uyMP6/1rGp8aNaW5ZNWdMjEut6dGejXUQP/fQqvSLM1rLHcIMvC6yK&#10;PdTn+lYYqLlQnFbtP8i60XKnJLsz3AdKwpGL61eE9Y1SMfTG7/2atqKRZoEljbKOoZT6g9KydQjN&#10;tqST/wDLO5AjY+jjJH5jI/AV+fYRqNZXPzTFwk6M4rc5aa+J1S8l2gvG5SMMMgbTjOPUdR/vE9QM&#10;w2+pyagjJNlzgGNmySCTgcknhs4I/HHTN2/tRZXs1wYi9vMwckfwt7+nU+nXrkCq1uYDmGxgYyNn&#10;kD7uRj+6uOOhx75OAK+WzDD1Xi5qUG5N6H1mWYrLllTUrXsbGlSC90VQ+SpDR88kjkD9MVv6PM1x&#10;o9nK33mhUn64rDit2sdPitYcefI2xSOm5skn6Dk/QV0ltAlpbRQRj5IkCL9AMV9XiLxpU4T+JLU+&#10;PwiTdScfhb0PMfGi7fFdzj+KONj+WP6VhDpWp4muheeJr+VSCiuI1PrtAB/UGsqvuMri44Smn2P0&#10;nAxccNBPsh1IaM0Gu86gRd9xCh6NKin8WAr289K8Ocsqlk++vzL9RyK9rtLhLyzhuYz8kqBx9CM1&#10;8jxHFqrCXSx81n8XzQl01OcinMOiNdYy5Rpcf7TZb+ZrkLfU5vMe3iRHYcsZMENz3yD/AC9Txmu1&#10;NqqLcabMCF+bZj+KNuhH0zj6iuQlsRZXM0VxGxk3ZUru+ZT3BBBH59u/b5XPISnRpzSvFL7mefwp&#10;VwtHH1Fi+rv8h1hq7vrMe5drI4R8HqDx/X9B6V2aMY9ZsWH8YkjP0K7v/ZRXLaPpS3F+JlTbBGQz&#10;HBG5uoAzz25/ya62yiNzqYnA/dWysob1c4zj6D+db5bCVPAy59E3ocedToVc2csNsr3G+L0DeE9R&#10;z/DFvH1Bz/SvK69K8dXIg8NSRZ+a4kSID1Gcn9Aa80GcV9bw5FqlOXS59LkMWqEn0uOopMmgV9Ie&#10;4BruPh0o8rU27+ai/gF/+ua4cgV1/wAPLkR39/atjMqJKvvtJB/mteNnsW8G7dGjzM4i3hJW8jrN&#10;Zbc9lAfuvNuP/AVLD9QKwdcn2z2sBJVTucleowP8N344ro9WgaW0EsYJlgbzEA78EEfiCRWHqFs1&#10;2kF3bYZ4xleM7lOD+PQcema+MqxlUwNSnT+L9D4GThDF0qlX4dvmYUmtSQ3fkIoWBfl8sKSmPQjP&#10;zZx1Iz7jtpaJcZ1K6t1yExvAJzjBx1/T6AVniWxSdXaBhIvyhTyee2CvJ+rDPUjrnX0m0MMk97MP&#10;L8wAKG4wo7nPPYflnvXh5HQmsYpRi0lufTcT4jATwUY0fiaRtaQdt5fRj7u5JMehIwf/AEEU/wAQ&#10;x+b4c1ND3tZP/QTS6PEwge5cENcNvCnsuML+nP41S8ZXf2TwxdgH5pwIB/wI4P6Zr37e0r2j1Z42&#10;Epy5qcOuh5Yp3KDTqQcUvav0hKy1P0QqXH/H7F/uN/Sn0yY5vVH92P8Amf8A61Pp0uvqc1T4gooo&#10;rUgKKKSgDF1/pb/Vv6Vi1s6+fmtx/vH+VY1d2C+B+py1fiCiiiuwyPXPhZHA3gzX3ksrmeRWbZJG&#10;SFQ+X35H8jXuWm3N9KqJcWAgj2D5/ODfoBXh/wAKpoY/BevpJq4tHZm2wb4x5v7v0YFvbgivfrb/&#10;AI90z/dH8q/Jc+/5GFX1O+l8CMLxz/yKk/8A12g/9HJXn+K9A8c/8ipP/wBdoP8A0clcAK/O+In+&#10;+h6fqfKcR/xoen6iN90/SvSPDsMcnhjRmeNGZbOEqSuSPkXpXm7/AHT9K9M8Nf8AIr6R/wBeUP8A&#10;6AK14c3qfI14a3qfL9TSFvGGZvLTc4wxxy31p0cSRIEjRUUdFUYAp9FfUH1QUUUUAFFFFABRRRQA&#10;UUUUAFFFFAHnnijXfFVrrEVrYWsUNv8AaTGssZlYyqYywz/ozqOR/CScjHTJGv4Ql1K5kuLjUdzS&#10;mKON2UyiMyK0gYqHRMHbszhQMjvim68dF/tyL+0bi+he3Mc6tHPNsy4kiAwhwnQ88Zz7mrXhq908&#10;77WxkvHSRmuUFyGJUNtJG5uTktu55+agDpKKKKAMbxJ5v9nQ+SqNL9rg2rIxCk+YvUgH+VfO/wAZ&#10;ftH/AAnZ+1RQxyfZY/lhcsuOe5A/lX0L4pCNpMYkjkkQ3UAKx53H94vTGDXzr8XUhTxsRBDcQp9m&#10;j+WcsW7/AN4k19Jwt/v69H+hjX+E4Oiiiv004wrodDfdYFe6uR/WuerZ0CTmeM+zD+v9K4cavdi/&#10;M1ov3jcooorjOkKKKKACmW523Mqf3gHH16H+lPqKUmNkmH8B5/3e/wDj+FZVVpzdi4OzuXcZpCKN&#10;2eRS9qWjOk9F8I60v/CNlblubH5GIBY+WPunA56cfhXQI9rq1grr+8tplDKSCMjsfUV45FczWsgk&#10;QlohzLBn5ZgOdre1djo/iEXtzZz28l3dXMisbmFSQgOOI1QnAC8Et7c8tivhs2y+WGqucPhZ8rmO&#10;WOE3Uhs9ToZrS7s84V7uH/ZA8xfqP4vw5+tQwl2/d2ljKrE8l4jGgPqSf6ZrZsbxL+0WdFZQSVKt&#10;1UgkEce4NWOlcUcZUirHzM8FRcrtWKNnpvkSefPKZp8YDYwqjuFH9etR6/qi6Po893keYBtiHq54&#10;X9efoDVy7u4LK3e4uJFjiQZZmPSvK/EGuza7ehyGjtYsiGI/+hH3P6VvgMHUxtbXZbs9jLsC8RUS&#10;StFb/wCRkrnqxJY8knqT3NKaP51BcyMkW1D+8fhfb3/CvvbKEbLofb7ISS62uQqblX75B6fT1NTK&#10;ysoZTkHkEVXRAihVGABgU2NvImx0jkP5N/8AX/n9aPejqzONS71LnvXoHgTVhNp7aZIcS23Mf+1G&#10;Tx+R4+mK8+zU9ndz2F5Fd2z7JozkHsfUH1BrgzPBfW6PKviWxz4/CLFUXDqtj2C8sku0X5ikqHKS&#10;L1U/1HtWNc20i4jvrH7So+7LFFvB/wCA9Qf096taB4ittctsjEd0g/ewk8j3HqPetmvh+apQbpyX&#10;yZ8JXwtp8tVWa+TMK2sLm4QKifYrccbSo8wj2HRf1PtWzDBHbRLFEoVFGAKkzXIeKfFgsw1hpzq1&#10;0eJJQciL2/3v5VUI1sXUUI6s0wmDdSfs6K3/AK1MHxrqw1DWRaRNmCzypI/ikPX8hx+dc52pAPcn&#10;3PehmCqWJwByT6V97g8NHC0FTXQ+9w1CNCkqcegyWYRLk8k8BR1JpsM3mZVhtcdVzn8R7VAgMjmZ&#10;hy33Qf4VolU4DoMuhyPf1H410e9bmK9pqXKt6XqDaTq1vfjJWJsSAd0PDD8ufwqnG4kRXU5B5pxB&#10;NRWpRrU3TlsyqkI1IOEtme2xuk0aujBkYBlI6EGsy402WF2lsmBUnJgbgE99p7fTp9K5Lwj4oFjs&#10;02/cC2JxDKx/1f8Asn29D26V6ECCM1+f4ihWwVVxf/DnwWOwTozdKqro50y/vMtp1154GMeRk/8A&#10;fXT9auQabLcEPekLH1FunI/4Ee/0HH1rWxVPUrqezsTNa2rXUoZQIVOCwLAHntgEmoniqk1bY4aO&#10;EpRkuVa+bIdT1P7GIorcwNPJKIv3j4VCQSN2MkZxge5FcN4v1ttSeCxeJoJrVybiInID4wMHuMHI&#10;Pv60zxBqFrFDItvbx3NxNK0scpwrw5b545lPJGcjHsOmAa5tUwzuWdnc7mZ2LMT7k817GSZfOdRV&#10;5rRbH12WZek1Vkth4qGadYQuVZmY4CqMk1P0rNvmkabyymEwCkhyApGSTkdOwr6utNwjdHvt2HpJ&#10;HLPJIhbdgKysMFce341NVSyG6LzmZmeQYJY54GcY9qt1rQu4Js5pO7uFFFFbEhSGlpDQxnP664N3&#10;GndUz+ZrLq5qknmajMey4UfgKp134Nfuk+5x1HeTCiiiuszPZPhN9s/4QfxF5ENs8O5vMaSQqw/d&#10;9gFOfzFe8W3/AB7R/wC6P5V4B8K0t28G68Zba7kkDHa8RYIvyfxYIH517/bf8e6f7o/lX5Ln3/Ix&#10;q+p30vgRgePHWPwlcO7BVE0BJPb98leb/wBpWf8Az9Q/99j/ABr03xoM+Gpc9PPg/wDRyVyHlpn7&#10;q/lXz9bIoZk1OU7W02PjuKMRClXgpJvT9TBbUrPaf9Kh6f3x/jXbxeIjpHhfw/FbxLPPLb2ocFsC&#10;OJiiFz+LAAd/wNYzIu0/KvT0rptO0DTdY8K6SL20ilb7JbHeUBb5QrAZ9Mjp7mnRyWOW35ZX5v0N&#10;uFq8Krqcqta36lO68ZXlrHHcNbQNDdyTQ2qjIYOkgRS56YJOeOnvW9o2pXF5Lf2t2sX2iynETtEC&#10;FcFFcEA8jhsfhUMnhPTZnlaQSur+ZtjMh2xFzuYp6EkZz27Yq/p+mQ6csvltJJJNJ5kskrbmdsAZ&#10;J+gA/Cug+vL1FFFABRRRQAUUUUAFFJS0AFJRRQB514p8J3mreJbiW0EzB4I2aVn+6xMi7VJICgKS&#10;fl53bSQa2fAun3uj6R/Z97aPCytvVikSDBA+X5HbJBzzgA+mapeIrlP7UuLGV7oRSTRzSG1vlt32&#10;LEcjd5isORnjjANaPhQ3ReRLiO4VrW2t7OQzzLIxlTeWJIZieHQ5PJzQB1NFFJQBi+J2VNLjZrkW&#10;yi6gzMSPk/eLzzx+dfOvxfkSXxvuTUFvh9mj/fKUPrx8vFfRniTzP7Oi8pEeT7XBtWRtqk+YvU4O&#10;Pyr52+Mn2j/hOv8ASYIYZPssfywuWXHPcqP5V9Jwt/v69H+hjX+E8/ooor9MOIKu6VN5Oox+j5Q/&#10;jVKlVirBlOGByD71jiIc9NpFwdnc7Oio4JhPAkq9GGakry4u6udotJRRTELSHBByKKKBiWz7MwMe&#10;V5Q+q/8A1v8ACrVU5ELAFTh1OVPoanhmEq8ja44ZfSudLlfKdEJXViWmobi3uRcWl1Lby7CheM4J&#10;U8kU7NGKVSnGpHlmroqUVJWZ2GmeOorG0gtZdNYRxoEBgccY9j/jV24+IdoqkW1hcyPjgyFUX+ZP&#10;6VwWKMV5E8hwkpc2q8jzJZRhZS5rfiXtW1m+1qcSXkg2KcpCnCJ/ifc/pVHFGKM16tGhTowUKasj&#10;0adKFOPJBWQhIAJJwB3qmpMspmPTGEHt6/j/AIU6d/Ofyl+4p+c+vt/jTq0iud36IipLogpsiB0K&#10;nvTqDWzSaszIdBMWBR/9YvX3HqKnFU3QkhlOHXof6VPFMsqk9GHDKexrFe6+VnRCd1YmilkgmSaG&#10;Ro5UOVdDgiussfiBeQwhL2zS5YDAkjfYT9Rgj8sVyQorkxWX0MVrUWvcxxGDo4j+JG50WreM9R1K&#10;MwwILOBvvbG3Ow9N3GPw/OucAA6cClozV4XB0cNG1JWKoYalQjy01YSqsz+c5iX7in5z6+1PnmOf&#10;KiP7zuf7o/xpiKEUKo4FdFud26FVJ20Q6iiit7GA2FvJm8s/cc5X2PcfjVvNVHQOpU96kt5SwKOf&#10;3i9fcetYW5Hbob05dGTkAitzRfFd/oyCAqLq1HSN2wyf7rensc/hWHmjrWGJwtLEx5aquKvQp148&#10;lRXR36/EOw8rLWV6JP7gCn9c1kah47vroOlpAtrEwxuY7pPz6D9a5fFGK8+jkeFpy5rX9TjpZTha&#10;cua1/UQ/NK8rHLyHc7Hqx9TS0dKM17CSSsj0kraCZNVmlMsrKMeWvH1PelnlLHyoz838Tf3R/jSK&#10;oRQqjAHAoXvPyMqk+iFHFLSUVsYi0lFFAhaZI4RGc9FBJp1Z+sTGKwZR1kOz/GlK9rLcG7K5zjOZ&#10;HZz1Ykn8aSiivXpx5YqK6HC3d3CiiirEevfCqaOPwXr6NqqWrMxxATGDL+7/ANoZ9uK9+tv+PdP9&#10;0fyrwb4Tfa/+EH8ReTbW0kWW3vJKVZf3fYBTn8xXvVv/AMe8f+6P5V+TZ9/yMavqd9L4EYnjP/kW&#10;pf8Arvb/APo5K5LvXW+M/wDkWpf+u9v/AOjkrkqWX/A/U+D4w/3in6fqI33T9K7jw3/yK+k/9ecP&#10;/oArh2+6fpXTaXrdrpvhzSkuBNtFhC7usRZI12gZY9AM/wAjUZj9k34N/wCX3y/U6cdKWsN/FWmR&#10;PMsksirGJMOYjtcoQrhT/EQTjAq/YalDqSSNDvVon8uRJEKsjYBwQfYg/iK8w+5LtFFJQAtFJRQA&#10;tFFJQAUtJS0AJRRRQBkX3hux1G6aa58xw7B2iJBjLBSoYqR1AP6CnaR4ftdFec2jybZtuYztCqRn&#10;kAAYJzz9BWtSUAQXd9a2EXm3lzDbxZxvlkCDP1NRf2rYedDD9ttzLMA0SeauZAehUZ5H0qh4mmvI&#10;bOFtP043V2X2pJsVhbgggyYJBPGRgdc9hmuYj8P3lvG1la2lz5c72TxXEm0GIREF9/PB4JGP79AH&#10;TeKNjaTH5qyshuoMiLduI8xem3nP0r51+LqwL42xbx3KJ9mj4uC+7v8A3+cV794hiv4rWKWXVYYr&#10;cXcJyYANg8wY5JxxXgfxfkEvjgsL5L3/AEaP96m3Hfj5eK+k4V/39ej/AEMa/wAJwVFFFfphxBRR&#10;RQBu6FcbontyeVO5fof/AK/86165G1uGtrlJl/hPI9R3rrUZXRWU5VhkGvIqw9nNo66crxFoooqT&#10;QKKKKACmMhJDqdrjo39D7U+lpSipKzGnYWKcPkONjqMsD0+oPpSwXMVwD5bZx6jH4/Sq86u8ZWPb&#10;nuG6EdxVEs8O6KTcvBaOONjyx4AB9B/WuKtUnSa0ujZVO5uZoqKFvlVGdWkCjdg/rTpJEjQs7BV9&#10;TW6krXNbofmq0spZjHEf95h29h7/AMqY0sk3Cbo4/U/eP+FOVVRQqgAChJz9DKc+iBVCqAowBS0U&#10;VslYxCiiimIKY6EkOp2yDo39D7U+ilKKkrMadh0U4c7G+WQfw+v0qeqjxrIMN26EHkUgknjGMCVe&#10;xJ2kf41i+aO+ptGonuW6rSTlyUhPsz9h9PU0w+bN/rDsX+4p6/U09VCgAAADoBQk5+SCVTsIiKgw&#10;v1+tOoorZKysjEKKKKYgpjpuwQdrL0YdqfRSlFSVmNOw+GbzAVYbZB1X+o9qmzVR4w2CCQw6MOop&#10;VuTH8s4x/tj7p/wrBtw0kbxmnuWs0UmQQCOhqGS6jRioy7j+FOT/APW/Gm5JGl0TnpVWScuSkJ/3&#10;pOw+nqaa3mTf6w7E/uKev1NPUBRgAADoBQk5b6IynU6IREVFwBxS0UVsklojAKKKKYBRRRQBBeSC&#10;OBl3MHYELtBJ6e1c3fz+bMioGCKORv3DPsa6G/mjtofOb768J9TXJhcEknOTUUsPOpXU+iMqsrKw&#10;6iiivcOUKKKKAPXfhWtsfBmvGaK8aQMdjQmQIPk/i2nH517/AG3/AB7R/wC6P5V4D8KpQngrxAv9&#10;qR2pYtiFtmZf3fbPPtxXuOm2+oRrG1xfRTRbB8iwbDn65Nfk2ff8jCr6nfS+BFHxpEJ/DckTFgGn&#10;twSrYP8Ark6GuVHh+2P/AC8Xv/gS3+Ndd4t/5AJ/6+bf/wBHJWOK8pSktmfPZ3/Fj6GQ/h+2Cn/S&#10;L3p/z8v/AI1sWun6hqOh6DCqxPpkdlA8sRlKNK4VcBuD8g647n26tf7h+ldB4c/5FfSf+vOH/wBA&#10;FDk3uzTI95/I5278IX13HFbmaBYrOSaa2fJJd3kDqGGOAMYPXOa6HRtPuLWfULu68sT3s4lZI2LK&#10;gCKgGSBnhc9O9a1FSfQi0lLSUAFFFFAC0lLSUALRRRQAUUUUAFFFFACYzRgelLRQBi+Jd/8AZsXl&#10;xJK/2uDCO21WPmLwTg4/Kvnf4x+d/wAJ1+/tobd/ssfyRPvXHPOcD+VfQ3ikRnSoxKJTH9qg3CLd&#10;vx5i9NvzZ+lfOvxdEC+NyLZblY/s0fFz5m7PP/PTnFfScLf7+vR/oY1/gODooor9NOMKKKKBBW3o&#10;l5lTaueRyn07isSnI7RuHQ4ZTkGubE0faR03RcJcrudkKWqtjeLeW4kHDdHHoatCvNTOzfUKKKKY&#10;BRRRQAUmKWiiwEbwxyfeQHHQ9xSLAituxk+rHJH51LRUOEW72HcTFLRRViCiiigAooooAKKKKACk&#10;paKADFFFFABRRRQAUUUUAFFFFABikxS0UWuMhNtFnhSB6AkD8qkRFQAKAAOwFOoqFCKd0guFFFFW&#10;IKKKKACiiigApDxRWVrF95MZt4z+8cfMR/CKWrdluDaSuzO1S8+1XOFP7uPhfc9zVGiivVo0lTik&#10;cUpczuFFFFbEhRRRQB7F8Jxcf8IR4h8qzt5Y9zb5JJdrJ+77Dac/mK96tv8Aj2j/AN0fyrwD4Vi1&#10;Pg3X/OW8MoZthh87YP3f8Wz5f++v5V7/AG3/AB7p/uj+Vfkuff8AIxq+p30vgRk+Lf8AkAn/AK+b&#10;f/0clYwq98Qbt7DwddXUaK7RSwOFY4BxMleW/wDCxNR/6Blr/wB/2/8Aia4sPgq+ITdKN7Hk5ngq&#10;2IqRlTV7I9Df7jfSug8OsB4Y0jJAzZw/+gCvG2+IeolSP7Mten/PZv8A4mvQ4rN7zw34Pu0EzND9&#10;kYpGx2gFBliB1x6npmliMJWw9vaxtcvK8HWw/N7RWvY7QSISV3jI6jPSlV1cAqwIPQivMb/Tr112&#10;QWlx9sWS6bUXWJgZoTKCFDYw+V6AZIHHFdd4Yh8uTVXhgaCwkuw1rGYzGAvloGIU4wCwbsO571zH&#10;rnRUUUUAFFFFABRRRQAUUUUAFFFFABRRRQAUUUUAYnidiulxETrARdwfvWAIT94vJzXzt8YHL+OC&#10;Tex3h+zR/vYwAO/HBNfRXibcdMiCQpM32uDEbtgN+8XgnB/lXzt8YhIPHREtpFat9lj/AHcT7h35&#10;zgfyr6Thb/f16P8AQxr/AAHAUUUV+mHGFFFFMQUUUUgJ7S7eznEicg8MvqK6qGZJ4lkjOVYVx1W7&#10;C/eyl7tEx+Zf6iuHEUNeeJtTqW0Z1VFRwypNEskbBlYcGpM1xpnSFFFFMAooooAKKKKACiiigApK&#10;M1WvL6Kyj3OcsfuqO9JsNtSzmgMD0IP41yl1f3F2fnfan9xen/16rKSjZXKn1BxWyw1Vq+xk6yO0&#10;zS1zdrrE8JAmPmp79R+Nb1vcxXUe+Jtw7juPrWUoyi7TVi4zUtiaikzRQULRRmkoAWkzVO81GGzG&#10;GO6Q9EHX8fSsK41K5ucgyFEP8KcU4wnP4ETKcY7nUb1zjIz6Uua4rGDnv61pWeryW5CTtvi6ZJ5H&#10;41c6NSCu7WIjVTdjo80VUtr1Z85eM9NrK3Bz2+tW6wp1FNXRqLRRRVgFFFFABRRRQAUUUUAFFJVa&#10;9vY7OLc3Ln7q+tJsHoNv75bOHd1kbhF9f/rVzDu0js7tlmOSadPPJcSmWQ5Y/p7Co678NQ5fenuc&#10;tSfNsFFFFdhkFFFFABRRRQB6/wDCmRk8F+IFGoxW4LN+5dVJk/d9sn8K99tv+PeP/dH8q8E+FCzH&#10;wT4h2WME6bm3SvJho/3fYbTn16ivfLf/AI94/wDdH8q/Jc+/5GNX1/Q76XwI5b4m/wDIg6h/vQ/+&#10;jUrwcV7x8TP+RA1H/eh/9GpXhA617HDn8Gfr+h00xG+6a+jfCf8AyJ+i/wDXhB/6LWvnJvumvo3w&#10;of8Aij9E/wCvCD/0WtY8S7U/n+gqhs0UgNLXyxmFFFFABRRRQAUUUUAJS0lLQAlFFFAC0lLSUALS&#10;VR1fVrTRNOlvr1ysMYydq5Y+wA6mqk3iaygvFtmSY/6oSSqnyRGThAxz1PtnGRnFADfFPl/2VH5v&#10;m+X9qg3eTv348xemz5s/SvnX4u/Z/wDhN/8ARvtPl/Zo/wDj583fnn/np82P0r6L8Ssw0yIrMkLf&#10;a4MSOMhf3i8nkV87/GJnbxyTJdxXTfZY/wB5EoUd+MAmvpOFv9/Xo/0Ma/wnAUUUV+mHEFFFFABR&#10;RRQAUUUUAWrK+kspMr80Z+8nr/8AXrpLe5iuoxJE2R3HcfWuRqWC4ltpA8TbW/Q/WuKvhr+9Dc2p&#10;1eXRnX0VQsdUiugEb5Jf7vY/Sr9cSfRnSmmroKKKKYBRRRQAUUVXu7uOzhMjnJ6KvqaTdgG3t7HZ&#10;Qlm5c/dX1NczPO9xK0kjZY/pSzzyXMpkkOWP6VFXfh8Py+9Lc5alTm0WwUUUV1mQVLBcS20vmRNt&#10;Pf0P1qKipnCM1aQ07bHT2OpRXg2/clHVT3+lXa4tSVYMpII5BFbNprYWPbdBiR0dRnP1rzKtCVLV&#10;ao6YVU9GbdZF/rAjzFbEM/Qv2H09ap32rPc5ji3JF37Fqzqulh3U1lohTq9IiszMxZiSx5JPekoo&#10;r0YxUVZHO3cKQqG6ilopSipKzAltZzC7I4BjfgtjlR7V1kUiSxh42DKehFcdVzT797OXnLRMfmX+&#10;orzp4NU7zh8zaFXozqKKbG6yIrowZWGQRTqwTudAUUUUwCiiigAooJwCScAVjX2sBcx2p3N3k7D6&#10;UtW+WK1E2luXL7UYrNSvDSkcL/U1zk88lxKZJGyxpjMXYsxJY9STyaSu+hhlH3pas5p1HIKKKK6z&#10;IKKKKACiiigAooooA9d+FYtP+EM1/wA8Xvm7js8nztn3P4tny/8AfX8q9/tv+PaP/dH8q8E+FDyL&#10;4J8QhL+CBSzZikQFpP3fY5GPToa97t/+PeP/AHR/KvybPv8AkYVfX9DvpfAjlviewT4f6ixzgNDn&#10;Az/y1SvAftkP/TT/AL9N/hXv3xP/AOSfal/vQ/8Ao1K+fwK9fh2MnRnZ9f0Nedx2FN5CR/y0/wC/&#10;Tf4V7jaalfaf4Z0S5Xzk0u30iKa5eHyy2dq9Q3OAoY8D/CvDW6Gvofw/o9hqHhXQprq1SR10+Bcs&#10;Oq7FOD6jPOD3rHiSMkqd33/QOZyItM1u/m1WyM0gaG+lu4/J2AeV5TYUg9c4HOc8ntXWdqowaRY2&#10;9695FbItw+7Lgf3jlsemSBnHXHNXu1fLiFpKWkoAKKKKAFpKWkoAKWiigBKKWkoAWkpaKAKOr2T6&#10;jo97ZIyo9xBJErN0BZSM/rWFdeFrme6lVZofsly9tLcbgd4aHH3e2G2r16YPXNdXRQBy3iDSYora&#10;KdFnuJDeQnyZLhijZkHGCSP0rwX4wqyeOMNZx2h+yx/u42BHfngCvofxT5f9lR+aZRH9qg3GHdvx&#10;5i9NvzZ+lfOvxdMB8b/6Mbkx/Zo/+PnzN+ef+enzYr6Thb/f16P9DGv8JwdFFFfphxBRRRTAKKKK&#10;QBRRRQAUUUUAFaVprMluNlwxePs38Q/xrNoIB61hWoKotNy4yaZ0Vvfl92wvOuMgnCnjqT6DpitC&#10;Ng8auOjAEVxqlkOUcrkYOD1FasGuSJhZo1ZQMZXg/wCFeXHDVqV+bVHRGqnub9FVre/trkfu5Ru/&#10;utwabeahDaIdzBn7IDyaOZPRGl1a4+7vI7OHe5yf4VHUmuZubmS6lMkh57DsB7UlxcSXUxklOT0A&#10;7AVFXfh8Pb357nLUqc2iCiiiuwyCiiigAooooAKKKKACiiigAooooAKKKKACiiigC7p+oPZybTlo&#10;WPzL6e4rpI5ElRXRgykZBFcdV2w1B7N8feiPVf6iuCvh7e/A3p1LaM6eioormKePfHIpX69KrXGr&#10;W1vwG8x/7qc/rXHzJ6I6G0tS9VK71O3tcru3yD+Bf6+lY11qtzcZVT5SHsvX86o10U8NOer0X4mM&#10;qyWxautQnvOHbbH/AHF6f/XqrRRXfTpRpq0TByb3CiiitCQooooAKKKKYBRRRSAKKKKAPYPhTGz+&#10;CfEJGnQ3ADNmZmAaP932yM+/Fe36bpUNoqSxyXLNsAxJO7j8ia8N+FZtR4N1/wA43ol3HZ5PnbPu&#10;fxbPl/76/lXv9t/x7x/7o/lX5Nn3/Iwq+p30vgRy3xO/5J9qX+9D/wCjUrwCvf8A4n/8k/1H/eh/&#10;9GpXz/nFe1w00qM79/0KYN0P0r6V8J/8idon/XhB/wCi1r5qJ4Ne/wCl6y2keDNGmezlkto9Nt3l&#10;lVlAUFVGADyx9v68VjxM01Tt5/oETr6Kw7LxJFeahFbfZ5EjnaZLeYkYkMRw/HUd8euD0rc7V8oU&#10;LSUtFACUUtFABSUtFABRRRQAUUUUAFFFFABRRRQBi+Jd/wDZsXlypE/2uDEjruVT5i8kZGfzr52+&#10;MRmPjo+fdQ3L/ZY/3kKbV78Yyf519EeJ136XEvkLcZu4P3TYw/7xeOeK+dvi+nl+OCv2FLL/AEaP&#10;90hXHfn5eK+k4V/39ejMa/wnA0UUV+mnGFFFFAgooooAKKKKACiiigAooooAKKKKVkAY9aMAdBRR&#10;S5I3vYdwoooqhBRRRQAUUUUAFFFFABRRRQAUUUUAFFFFABRRRQAUUUUAFFFFACYHpS0UVKhFO6Q7&#10;hRRRVCCiiigAooooAKKKKACiiigAooooAKKKKAPYvhObj/hCPEIjvbeGPc26OSPcz/u+x3DHp0Ne&#10;92//AB7p/uj+VeA/CmLf4L8QN/Zkdzhm/fNtzF+77Z59+K9+tv8Aj3j/AN0fyr8lz7/kY1fX9Dvp&#10;fAjjfi7/AMkw1j6Rf+jUr5W3v/fb8zX1T8Xf+SX6z/uxf+jUr5Ur6bhGlCeHqcyvr+hjXbTVhxkf&#10;H32/M19V6No1zqXh/wAM3H2yNbe20+3ZbaSEupk2KQ5wwyR2z069a+Uj0r7H8I/8ibof/YPt/wD0&#10;Wtc/GFOMFS5Vbf8AQeHbd7kdj4c+y6lDcNdeZBbNM9vF5eChlOWy2eccgcDr3rfxgUUV8UdIUUUU&#10;AFFFFABRRRQAUUUUAFFFFABRRRQAUUUUAYfikoNKjMrSqn2qDJi3bh+8Xpt5z9K+dfi60LeNswPc&#10;un2aPm4D7u/9/nFfRXimXydKjk8+KArdwYlmGUX94vJGR/OvOPFfgPS/GGs/2pfeMbCKby1j2woo&#10;XA+sh9a9rIcbRweK9rWdlZmdWLlGyPAKK9k/4U14f/6He2/75T/4uj/hTXh//od7b/vlP/i6+1/1&#10;oy7+Z/czm9hM8bor2T/hTXh//od7b/vlP/i6P+FNeH/+h3tv++U/+Lo/1oy7+Z/cw9hM8bor2T/h&#10;TXh//od7b/vlP/i6T/hTfh7OP+E3ts+m1P8A4uj/AFoy7+Z/cw9hM8cor2T/AIU14f8A+h3tv++U&#10;/wDi6P8AhTXh/wD6He2/75T/AOLo/wBaMu/mf3MPYTPG6K9k/wCFNeH/APod7b/vlP8A4uj/AIU1&#10;4f8A+h3tv++U/wDi6P8AWjLv5n9zD2EzxuivZP8AhTXh/wD6He2/75T/AOLo/wCFNeH/APod7b/v&#10;lP8A4uj/AFoy7+Z/cw9hM8bor2MfBvw8c48b23HX5U/+Lpf+FNeH/wDod7b/AL5T/wCLo/1oy7+Z&#10;/cw9hM8bor2T/hTXh/8A6He2/wC+U/8Ai6P+FNeH/wDod7b/AL5T/wCLo/1oy7+Z/cw9hM8bor2T&#10;/hTXh/8A6He2/wC+U/8Ai6P+FNeH/wDod7b/AL5T/wCLo/1oy7+Z/cw9hM8bor2T/hTXh/8A6He2&#10;/wC+U/8Ai6QfBvw8QCPG9sR67U/+Lo/1oy7+Z/cw9hM8cor2T/hTXh//AKHe2/75T/4uj/hTXh//&#10;AKHe2/75T/4uj/WjLv5n9zD2EzxuivZP+FNeH/8Aod7b/vlP/i6P+FNeH/8Aod7b/vlP/i6P9aMu&#10;/mf3MPYTPG6K9k/4U14f/wCh3tv++U/+LpD8G/DwGT43tgP91P8A4uj/AFoy7+Z/cw9hM8cor2T/&#10;AIU14f8A+h3tv++U/wDi6P8AhTXh/wD6He2/75T/AOLo/wBaMu/mf3MPYTPG6K9k/wCFNeH/APod&#10;7b/vlP8A4uj/AIU14f8A+h3tv++U/wDi6P8AWjLv5n9zD2EzxuivZP8AhTXh/wD6He2/75T/AOLo&#10;/wCFNeH/APod7b/vlP8A4uj/AFoy7+Z/cw9hM8bor2M/Bvw8CB/wm9tz/sp/8XS/8Ka8P/8AQ723&#10;/fKf/F0f60Zd/M/uYewmeN0V7J/wprw//wBDvbf98p/8XR/wprw//wBDvbf98p/8XR/rRl38z+5h&#10;7CZ43RXsn/CmvD//AEO9t/3yn/xdH/CmvD//AEO9t/3yn/xdH+tGXfzP7mHsJnjdFeyf8Ka8P/8A&#10;Q723/fKf/F0n/Cm/D2SP+E3tsjttT/4uj/WjLv5n9zD2EzxyivZP+FNeH/8Aod7b/vlP/i6P+FNe&#10;H/8Aod7b/vlP/i6P9aMu/mf3MPYTPG6K9k/4U14f/wCh3tv++U/+Lo/4U14f/wCh3tv++U/+Lo/1&#10;oy7+Z/cw9hM8bor2T/hTXh//AKHe2/75T/4uj/hTXh//AKHe2/75T/4uj/WjLv5n9zD2EzxuivYx&#10;8G/DxGR43tj/AMBT/wCLpf8AhTXh/wD6He2/75T/AOLo/wBaMu/mf3MPYTPG6K9k/wCFNeH/APod&#10;7b/vlP8A4uj/AIU14f8A+h3tv++U/wDi6P8AWjLv5n9zD2EzxuivZP8AhTXh/wD6He2/75T/AOLo&#10;/wCFNeH/APod7b/vlP8A4uj/AFoy7+Z/cw9hMg+FbWy+DdfEsl4shY7FhEuw/J/FtG386+gLb/j3&#10;j/3R/KvKdF0Cy8F+GdWtLLxTp1zFcI0jrIg3n5SMKRJx+Rr1a3/494/90fyr4DNcRTxOMnVpO6bO&#10;qnFqNmcb8Xf+SX6z/uxf+jUr5Ur7K8UaBD4n8PXWj3E0kMVyFDPHjcMMG4z7ivN/+Gf9E/6DGof9&#10;8p/hXtZBnOHwFKcK17t30XkZ1abk7o+fT0r688OapY2PhLw9FdXcUMkunweWrsAWxGo4H4j864T/&#10;AIZ/0X/oMah/3yn+FdVqWiXdhb2kGkx3z3VrYJaWlykwWNWXAHmrxkcAnqDjp0rLiHNsPmCp+xv7&#10;t9/Ow6VNwvc7cdKKQdBS180bBRRRQAUUUUAFFFFACUUUUAFFFFABRRRQAUUU2Tf5beXjfj5d3TNA&#10;FHV4PtUEEeUGLmJ/nOAQrhiB74FTxm0kZkjELshwwUAkH3rldd07W7vWdKuZLeGWG2uomRYpWwhO&#10;d7sCOeMAenPrwzwvp91b6lYlrSWD7NpzQXbumPNmMgIO7+Lo5z/te9AHZ+RD/wA8k/75FJ5EX/PJ&#10;P++RUlFADPIi/wCeSf8AfIo8iL/nkn/fIp9FAEZhhAz5Sf8AfIrMa3gk16O5U25jhtpIpFyMqzMh&#10;GR9FNaFz9p8sfZhEXzz5mcY/CuC1nTLm8vZzp+l3Cx/ZpUuYjEEDfvkdgrD75cK3r17ZIIB3sQtp&#10;0DxLE6HoygEGpPIi/wCeSf8AfIrE8NW8kcurz+Q8FtcXnmW8bpsO3y0Unb2ywP8APvW9QAzyIv8A&#10;nkn/AHyKPIi/55J/3yKfRQAzyIv+eSf98imtFCqkmOMAf7IqWs3WDILK4Mtqt1ZeS3nQKpeSQYPy&#10;qvQ56YoAhso7WCXULp5LYwT3AeNwwIA8tFxn1yprUEULDIjjx/uiuCt7GX7VDqd3YSPHLNLJcWcV&#10;sxWEmIIgCkfMcKQWx1b0rrfDdvc2nhvTre7z9oit0WQHsQOlAGj5EX/PJP8AvkUeRF/zyT/vkU+i&#10;gBnkRf8APJP++RR5EX/PJP8AvkU+igCJ4oFUlo4wBySVFZuj20On6TYWNwYPPWJVwCDuIHb1qPX7&#10;G51HRtUtZUDwvA/lJC7B3O04Bx1Ge3eubu9MvGZ4/sUr3M0FitrMI8iEo2Xyf4cdffNAHeeRF/zy&#10;T/vkUeRF/wA8k/75FPGaKAGeRF/zyT/vkUeRF/zyT/vkU+igBnkRf88k/wC+RWbrlrDPpE8I8iNn&#10;wA0mFGcg9a1a5vxJbs+pabcyWsl1ZxLOssaR+ZhmQBTt7/xD/gVAG+sMJGREmP8AdFO8iL/nkn/f&#10;IrO8N21zZ+G9Otrwk3MVuiSZ7MAOK1KAGeRF/wA8k/75FHkRf88k/wC+RT6KAGeRF/zyT/vkUnkw&#10;j/lkn/fIqSkIyMUAZd7bwvfWdx+4WK2djLuwMZQgfzFX0jgkQMscZU8ggAg1xj6NJZ3V4VtJ5LNd&#10;YiuZFO6RpU8hQW5yWxJg/wDAfat/wtbTWui7JomhDXE0kUTDBSNpGZFx2wpHHbpQBr+RF/zyT/vk&#10;UeRF/wA8k/75FPooAZ5EX/PJP++RR5EX/PJP++RT6KAIpEt4kLukSqvJJAAFZkUVsmrTXrPbeRcR&#10;RRxHcOWUvnH/AH0Kl8QSpDo00j6e+obSpW2RNxdsjb+AODntjNcRLo9wlpclrSa6e7srlYxHbMqw&#10;3Mj5wqnlV5GG/wBkmgD0byYT/wAsk/75FL5EX/PJP++RTbVXS1iSU7pFQBj6nHNS0AM8iL/nkn/f&#10;Io8iL/nkn/fIp9FADPIi/wCeSf8AfIqKU2kIHmiFATgbsDJ9KsVzni23jutPkhNnPJNJDKkU0UAl&#10;MZI6YPTd0z+ooAvaVbQ2kLWsvkGZppZQowTtZ2YcfQitLyIv+eSf98iuE03Tr9b+yFxYSRXw1Bbm&#10;aYDcgi+z7Su/vg4THtmu+oAZ5EX/ADyT/vkUeRF/zyT/AL5FPooAZ5EX/PJP++RR5EX/ADyT/vkU&#10;+igDO1a1iuNLurVFiWWeJ449wAyxU4qzbTRNGI0kR2jAVtrA4PpXK+I9O1i78SaZdRRK9vBdAQlJ&#10;D+6UxSB3YY65Kgc9h6mk8J2E9vf27mxltUh0uK3uN6bd8wYnr/Fjnn/aoA7OiiigAooooAKKKKAC&#10;iiigAooooAKKKKAFooooAKSlooAKKKKACiiigBCM0AUtFABSUtFABRRRQAlJtFOooAQDFLRRQAUU&#10;UUAFIRmlooAbtFKBilooAKKKKAKWq3x03Tbi8CK/koX2s+0H6nBwPfFc7H42WRnBOkRKi7jLNqe2&#10;NxuYZRvL+YfLz0xmt7WkupNLnSyUtcsoEYD7Oc+vYf55rkT4a1AWVxp94Lqa0ubIWki6c8XKHfuD&#10;GY56PwVxjPTgUAbVx4us7XUprKeW3R4YFdyZhgOQWxzj5QNvzY6uo6moIPFjXXh+TUYoMeXHBIZT&#10;G5hZJCMuvAJCjcTjsPQ5oudNvm1KS9+z3jwGOOEQRXio+3joAoxhmO795yB3worFg8O6sPDl7oS2&#10;skc0ghQXEtyGgVFIAWM8ucKpJyq5LcAA4ABLY+PtSm1XT7K70lLdrxvLjjm8yJ5CJCGdMqflVArY&#10;bbknAJxW5r3ipNI82KP7K88e35ZLqNSMkdVLA9Dmse48L3Rvt39n20yP9laZ/tDgMRMTJlWDeZhM&#10;feP09K1tYttXnN99kQ+QUjhjiSQKwwdxkTPy5+bbg4+5nnoQCyviNJ9Ne4tRbTTLNFF5SXSsAZHC&#10;KSybsDJ9OxrDsfH8l1clHhslDyqkaeZOHUEqoLfuSMMXUq3AIYe5rY8jUb2zjt3S5QpdQyvLfGHc&#10;UVw5CiHjOVA5x97vjFcdpfgHVLAwy+Xa/ayiOsgl2rA6eTtyFQbj8j9vmBwT/EQDqte8U3WmzRRW&#10;WnSz41CCzlkOzad+0kLlwd2GGCRjNasOs28lsZpw9riR4yk23IZQWP3SR0Ung9BWJ4n8MG8ltri1&#10;N28kmqW1xOqXLIqqu1SwGQBhVHI5q9d+F4XtCsNxPlFnaNZZWYGSVCu5ieTgFhzn7xoAuWWoyBYo&#10;79oIpp5WW22nAnXaXBAPIO0HI/2T2rFk8bbLmSHyrAFZniy9/gR7XK/vfk+TOMgc5q8Le41eW1i1&#10;DS3t7e3VZcvKu8TqylShRiQBhgc4yDjBBIrG/sTXPtMl6+4F7nzAkMqvOFDNt++fLHytgjn2PFAG&#10;vN4nNvpA1Fobe5hMhjL2Fz56g5A67Qc5yCAOMc1S8N+M5Ncu2tDaKZVZmLxyYXy8jBwec7XTPUEk&#10;4JwQIrjw491oP9mxWs6ie8mnnF+yNudkkcM3lnG3zSnAweKr+G/B8nhjWrYxAT7lxLcxoUG0qdyn&#10;c7E5cKwxgDOBwMAA7i4nS2heaVgkcalnY9AAMk1RXVre3tIJtTnt7F5k3iOeUIV9uTyRkA+9WtQt&#10;VvbC4tHJVZ4mjJXqAwI4/OsiXT7rUUgmniijl+wT20qHkB3MfTr8vyH8CPwALs2qQSWl1Pp80F49&#10;uCXjikDHI5K8dDjpmr0EqTwrLGwaNwGVh0IPQ1i/2fc2a3U1vHE8j2MNvGg4+dTJyeny/OvvgHj1&#10;17K3W0sobZGLLCixgnqQBigCxRRRQAUUUUAJSbR6U6igBAMUtFFABRRRQAUmBS0UAJiloooAKKKK&#10;ACiiigBCM0YpaKACiiigAooooAKKKKACiiigAooooAKKKKACiiigAooooAKKKKACiiigAooooAKK&#10;KKACiiigAooooAKKKKACiiigAooooAKKKKACiiigAooooATAowKKKADAowKKKAFxRgUUUAFHaiig&#10;AxRiiigAxSYoooAWkxRRQAYFLRRQAUUUUAFFFFABRRRQAUUUUAFFFFABRRRQAUUUUAFFFFABRRRQ&#10;AUUUUAFFFFABRRRQAUUUUAFFFFABRRRQAUUUUAf/2VBLAwQUAAAACACHTuJAJgkGAY8AAACKAAAA&#10;FAAAAGRycy9tZWRpYS9pbWFnZTMucG5nAYoAdf+JUE5HDQoaCgAAAA1JSERSAAAAGgAAABIIBgAA&#10;AEUZzqMAAABRSURBVDiN7c0hEkBQFEDR841shmWoFsZSjO2wBc1GdEH5Rffau+XGU9BiqY/owVow&#10;4MIcBG0YVWgPQuBA3wQCnxJKKKGEEvqxgg43ziBjQvcCpb8H3DA1NbYAAAAASUVORK5CYIJQSwME&#10;FAAAAAgAh07iQEq0J7SRAAAAjAAAABQAAABkcnMvbWVkaWEvaW1hZ2UyLnBuZwGMAHP/iVBORw0K&#10;GgoAAAANSUhEUgAAABYAAAASCAYAAABfJS4tAAAAU0lEQVQ4je3MsQ1AUBRA0fOFBJUoLPBXsCwL&#10;SKxgDIMYQKPR6F+i+be53UnoceIS04AVRhxBKMxYqkDwU4ELXOAC/wrX7yfkIDOjSWix4Q6CO+wP&#10;av8G8Sg76xE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MbSlckAAAAqAgAAGQAAAGRycy9fcmVscy9lMm9Eb2MueG1sLnJl&#10;bHO9kcFqwzAMhu+DvoPRvXGSQimjTi9l0OvoHkDYiuM2lo3tjfXtZ7bLCqW99SgJff+HtN19+1l8&#10;UcousIKuaUEQ62AcWwUfx7flBkQuyAbnwKTgQhl2w+Jl+04zlrqUJxezqBTOCqZS4quUWU/kMTch&#10;EtfJGJLHUstkZUR9Rkuyb9u1TP8ZMFwxxcEoSAezAnG8xJr8mB3G0WnaB/3picuNCOl8za5ATJaK&#10;Ak/G4V9z1US2IG879M9x6O85dM9x6JpTpN9DyKsPDz9QSwMEFAAAAAgAh07iQGacFBwaAQAAegIA&#10;ABMAAABbQ29udGVudF9UeXBlc10ueG1slZLLTsMwEEX3SPyD5S1KHLpACDXpghQkFlCh8gGWPUlc&#10;4oc8JrR/j522ElRpJZaemXPvPDxfbHVPBvCorCnpbV5QAkZYqUxb0o/1U3ZPCQZuJO+tgZLuAOmi&#10;ur6ar3cOkETaYEm7ENwDYyg60Bxz68DETGO95iE+fcscF5+8BTYrijsmrAlgQhaSBq3mNTT8qw9k&#10;uY3hfScbBy0lj/vC5FVSpZPAmGCTzMvqeRLJN66l04gz0y4pPk146PHEhTvXK8FDXCEbjDwZPzuM&#10;nkdyrMFOObyJ+znjkDJ/J/9tcODe4s28kkBW3IdXruN+mPTIpP02Hob8skjqUmNmm0YJyGuPdcTe&#10;YTh2dU4dZra24r/iy5E6arPx51Q/UEsBAhQAFAAAAAgAh07iQGacFBwaAQAAegIAABMAAAAAAAAA&#10;AQAgAAAAkXAAAFtDb250ZW50X1R5cGVzXS54bWxQSwECFAAKAAAAAACHTuJAAAAAAAAAAAAAAAAA&#10;BgAAAAAAAAAAABAAAABLbgAAX3JlbHMvUEsBAhQAFAAAAAgAh07iQIoUZjzRAAAAlAEAAAsAAAAA&#10;AAAAAQAgAAAAb24AAF9yZWxzLy5yZWxzUEsBAhQACgAAAAAAh07iQAAAAAAAAAAAAAAAAAQAAAAA&#10;AAAAAAAQAAAAAAAAAGRycy9QSwECFAAKAAAAAACHTuJAAAAAAAAAAAAAAAAACgAAAAAAAAAAABAA&#10;AABpbwAAZHJzL19yZWxzL1BLAQIUABQAAAAIAIdO4kCgxtKVyQAAACoCAAAZAAAAAAAAAAEAIAAA&#10;AJFvAABkcnMvX3JlbHMvZTJvRG9jLnhtbC5yZWxzUEsBAhQAFAAAAAgAh07iQGVJe0jWAAAABQEA&#10;AA8AAAAAAAAAAQAgAAAAIgAAAGRycy9kb3ducmV2LnhtbFBLAQIUABQAAAAIAIdO4kByPJjoRgMA&#10;AKMMAAAOAAAAAAAAAAEAIAAAACUBAABkcnMvZTJvRG9jLnhtbFBLAQIUAAoAAAAAAIdO4kAAAAAA&#10;AAAAAAAAAAAKAAAAAAAAAAAAEAAAAJcEAABkcnMvbWVkaWEvUEsBAhQAFAAAAAgAh07iQH4BmnrV&#10;ZwAA0GcAABUAAAAAAAAAAQAgAAAAvwQAAGRycy9tZWRpYS9pbWFnZTEuanBlZ1BLAQIUABQAAAAI&#10;AIdO4kBKtCe0kQAAAIwAAAAUAAAAAAAAAAEAIAAAAIhtAABkcnMvbWVkaWEvaW1hZ2UyLnBuZ1BL&#10;AQIUABQAAAAIAIdO4kAmCQYBjwAAAIoAAAAUAAAAAAAAAAEAIAAAAMdsAABkcnMvbWVkaWEvaW1h&#10;Z2UzLnBuZ1BLBQYAAAAADAAMANcCAADccQAAAAA=&#10;">
                <o:lock v:ext="edit" aspectratio="f"/>
                <v:shape id="图片 3" o:spid="_x0000_s1026" o:spt="75" type="#_x0000_t75" style="position:absolute;left:0;top:0;height:5369;width:9057;" filled="f" o:preferrelative="t" stroked="f" coordsize="21600,21600" o:gfxdata="UEsDBAoAAAAAAIdO4kAAAAAAAAAAAAAAAAAEAAAAZHJzL1BLAwQUAAAACACHTuJAbYHnAb4AAADb&#10;AAAADwAAAGRycy9kb3ducmV2LnhtbEWPT2sCQQzF74V+hyGCF9FZtyC6dVaoReixVUGPYSfdP+5k&#10;lpmp2n765lDoLeG9vPfLenN3vbpSiK1nA/NZBoq48rbl2sDxsJsuQcWEbLH3TAa+KcKmfHxYY2H9&#10;jT/ouk+1khCOBRpoUhoKrWPVkMM48wOxaJ8+OEyyhlrbgDcJd73Os2yhHbYsDQ0OtG2ouuy/nIGX&#10;7qc+nLY5P3Wr8Lpc5JN3d54YMx7Ns2dQie7p3/x3/WYFX+jlFxl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HnAb4A&#10;AADbAAAADwAAAAAAAAABACAAAAAiAAAAZHJzL2Rvd25yZXYueG1sUEsBAhQAFAAAAAgAh07iQDMv&#10;BZ47AAAAOQAAABAAAAAAAAAAAQAgAAAADQEAAGRycy9zaGFwZXhtbC54bWxQSwUGAAAAAAYABgBb&#10;AQAAtwMAAAAA&#10;">
                  <v:fill on="f" focussize="0,0"/>
                  <v:stroke on="f"/>
                  <v:imagedata r:id="rId76" o:title=""/>
                  <o:lock v:ext="edit" aspectratio="t"/>
                </v:shape>
                <v:shape id="图片 4" o:spid="_x0000_s1026" o:spt="75" type="#_x0000_t75" style="position:absolute;left:2015;top:905;height:262;width:310;" filled="f" o:preferrelative="t" stroked="f" coordsize="21600,21600" o:gfxdata="UEsDBAoAAAAAAIdO4kAAAAAAAAAAAAAAAAAEAAAAZHJzL1BLAwQUAAAACACHTuJAn/qj5rsAAADb&#10;AAAADwAAAGRycy9kb3ducmV2LnhtbEVP24rCMBB9F/yHMIIvokkVRarRB2XZhV0QLx8wNGNbbSal&#10;idXdrzcLgm9zONdZrh+2Ei01vnSsIRkpEMSZMyXnGk7Hj+EchA/IBivHpOGXPKxX3c4SU+PuvKf2&#10;EHIRQ9inqKEIoU6l9FlBFv3I1cSRO7vGYoiwyaVp8B7DbSXHSs2kxZJjQ4E1bQrKroeb1ZBNvyd/&#10;6tNd2vOuvSUDltv9z07rfi9RCxCBHuEtfrm/TJyfwP8v8QC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j5rsAAADb&#10;AAAADwAAAAAAAAABACAAAAAiAAAAZHJzL2Rvd25yZXYueG1sUEsBAhQAFAAAAAgAh07iQDMvBZ47&#10;AAAAOQAAABAAAAAAAAAAAQAgAAAACgEAAGRycy9zaGFwZXhtbC54bWxQSwUGAAAAAAYABgBbAQAA&#10;tAMAAAAA&#10;">
                  <v:fill on="f" focussize="0,0"/>
                  <v:stroke on="f"/>
                  <v:imagedata r:id="rId77" o:title=""/>
                  <o:lock v:ext="edit" aspectratio="t"/>
                </v:shape>
                <v:shape id="_x0000_s1026" o:spid="_x0000_s1026" o:spt="202" type="#_x0000_t202" style="position:absolute;left:1098;top:928;height:724;width:1235;"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0" w:line="174" w:lineRule="exact"/>
                          <w:ind w:left="942"/>
                          <w:rPr>
                            <w:rFonts w:ascii="Times New Roman" w:hAnsi="Times New Roman" w:eastAsia="Times New Roman" w:cs="Times New Roman"/>
                            <w:sz w:val="12"/>
                            <w:szCs w:val="12"/>
                          </w:rPr>
                        </w:pPr>
                        <w:r>
                          <w:rPr>
                            <w:rFonts w:ascii="Times New Roman" w:hAnsi="Times New Roman" w:eastAsia="Times New Roman" w:cs="Times New Roman"/>
                            <w:spacing w:val="3"/>
                            <w:position w:val="1"/>
                            <w:sz w:val="12"/>
                            <w:szCs w:val="12"/>
                          </w:rPr>
                          <w:t>10</w:t>
                        </w:r>
                        <w:r>
                          <w:rPr>
                            <w:rFonts w:ascii="Times New Roman" w:hAnsi="Times New Roman" w:eastAsia="Times New Roman" w:cs="Times New Roman"/>
                            <w:position w:val="1"/>
                            <w:sz w:val="12"/>
                            <w:szCs w:val="12"/>
                          </w:rPr>
                          <w:t>kV</w:t>
                        </w:r>
                      </w:p>
                      <w:p>
                        <w:pPr>
                          <w:spacing w:line="297" w:lineRule="auto"/>
                          <w:rPr>
                            <w:rFonts w:ascii="Arial"/>
                            <w:sz w:val="21"/>
                          </w:rPr>
                        </w:pPr>
                      </w:p>
                      <w:p>
                        <w:pPr>
                          <w:spacing w:before="35" w:line="174" w:lineRule="exact"/>
                          <w:ind w:left="20"/>
                          <w:rPr>
                            <w:rFonts w:ascii="Times New Roman" w:hAnsi="Times New Roman" w:eastAsia="Times New Roman" w:cs="Times New Roman"/>
                            <w:sz w:val="12"/>
                            <w:szCs w:val="12"/>
                          </w:rPr>
                        </w:pPr>
                        <w:r>
                          <w:rPr>
                            <w:rFonts w:ascii="Times New Roman" w:hAnsi="Times New Roman" w:eastAsia="Times New Roman" w:cs="Times New Roman"/>
                            <w:spacing w:val="14"/>
                            <w:position w:val="1"/>
                            <w:sz w:val="12"/>
                            <w:szCs w:val="12"/>
                          </w:rPr>
                          <w:t>2</w:t>
                        </w:r>
                        <w:r>
                          <w:rPr>
                            <w:rFonts w:ascii="Times New Roman" w:hAnsi="Times New Roman" w:eastAsia="Times New Roman" w:cs="Times New Roman"/>
                            <w:position w:val="1"/>
                            <w:sz w:val="12"/>
                            <w:szCs w:val="12"/>
                          </w:rPr>
                          <w:t>kV</w:t>
                        </w:r>
                      </w:p>
                    </w:txbxContent>
                  </v:textbox>
                </v:shape>
                <v:shape id="图片 6" o:spid="_x0000_s1026" o:spt="75" type="#_x0000_t75" style="position:absolute;left:6365;top:805;height:262;width:362;" filled="f" o:preferrelative="t" stroked="f" coordsize="21600,21600" o:gfxdata="UEsDBAoAAAAAAIdO4kAAAAAAAAAAAAAAAAAEAAAAZHJzL1BLAwQUAAAACACHTuJAWkYLebkAAADb&#10;AAAADwAAAGRycy9kb3ducmV2LnhtbEVPS4vCMBC+L/gfwgje1kQRV6rRgyCoiLhV72MztqXNpDTx&#10;sf9+Iwje5uN7zmzxtLW4U+tLxxoGfQWCOHOm5FzD6bj6noDwAdlg7Zg0/JGHxbzzNcPEuAf/0j0N&#10;uYgh7BPUUITQJFL6rCCLvu8a4shdXWsxRNjm0rT4iOG2lkOlxtJiybGhwIaWBWVVerMamsnlrHxa&#10;VVu1Oe1+jimF1WGvda87UFMQgZ7hI3671ybOH8Hrl3iAn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GC3m5AAAA2wAA&#10;AA8AAAAAAAAAAQAgAAAAIgAAAGRycy9kb3ducmV2LnhtbFBLAQIUABQAAAAIAIdO4kAzLwWeOwAA&#10;ADkAAAAQAAAAAAAAAAEAIAAAAAgBAABkcnMvc2hhcGV4bWwueG1sUEsFBgAAAAAGAAYAWwEAALID&#10;AAAAAA==&#10;">
                  <v:fill on="f" focussize="0,0"/>
                  <v:stroke on="f"/>
                  <v:imagedata r:id="rId78" o:title=""/>
                  <o:lock v:ext="edit" aspectratio="t"/>
                </v:shape>
                <v:shape id="_x0000_s1026" o:spid="_x0000_s1026" o:spt="202" type="#_x0000_t202" style="position:absolute;left:6403;top:850;height:202;width:293;"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0" w:line="161" w:lineRule="exact"/>
                          <w:ind w:left="20"/>
                          <w:rPr>
                            <w:rFonts w:ascii="宋体" w:hAnsi="宋体" w:eastAsia="宋体" w:cs="宋体"/>
                            <w:sz w:val="12"/>
                            <w:szCs w:val="12"/>
                          </w:rPr>
                        </w:pPr>
                        <w:r>
                          <w:rPr>
                            <w:rFonts w:ascii="Times New Roman" w:hAnsi="Times New Roman" w:eastAsia="Times New Roman" w:cs="Times New Roman"/>
                            <w:spacing w:val="5"/>
                            <w:position w:val="1"/>
                            <w:sz w:val="12"/>
                            <w:szCs w:val="12"/>
                          </w:rPr>
                          <w:t>5</w:t>
                        </w:r>
                        <w:r>
                          <w:rPr>
                            <w:rFonts w:ascii="Times New Roman" w:hAnsi="Times New Roman" w:eastAsia="Times New Roman" w:cs="Times New Roman"/>
                            <w:spacing w:val="4"/>
                            <w:position w:val="1"/>
                            <w:sz w:val="12"/>
                            <w:szCs w:val="12"/>
                          </w:rPr>
                          <w:t>0</w:t>
                        </w:r>
                        <w:r>
                          <w:rPr>
                            <w:rFonts w:ascii="宋体" w:hAnsi="宋体" w:eastAsia="宋体" w:cs="宋体"/>
                            <w:spacing w:val="4"/>
                            <w:position w:val="1"/>
                            <w:sz w:val="12"/>
                            <w:szCs w:val="12"/>
                          </w:rPr>
                          <w:t>µ</w:t>
                        </w:r>
                        <w:r>
                          <w:rPr>
                            <w:rFonts w:ascii="宋体" w:hAnsi="宋体" w:eastAsia="宋体" w:cs="宋体"/>
                            <w:position w:val="1"/>
                            <w:sz w:val="12"/>
                            <w:szCs w:val="12"/>
                          </w:rPr>
                          <w:t>T</w:t>
                        </w:r>
                      </w:p>
                    </w:txbxContent>
                  </v:textbox>
                </v:shape>
                <w10:wrap type="none"/>
                <w10:anchorlock/>
              </v:group>
            </w:pict>
          </mc:Fallback>
        </mc:AlternateContent>
      </w:r>
    </w:p>
    <w:p>
      <w:pPr>
        <w:spacing w:before="176" w:line="228" w:lineRule="auto"/>
        <w:ind w:left="2233"/>
        <w:rPr>
          <w:rFonts w:ascii="黑体" w:hAnsi="黑体" w:eastAsia="黑体" w:cs="黑体"/>
          <w:color w:val="auto"/>
          <w:sz w:val="20"/>
          <w:szCs w:val="20"/>
          <w:highlight w:val="none"/>
        </w:rPr>
      </w:pPr>
      <w:r>
        <w:rPr>
          <w:rFonts w:ascii="黑体" w:hAnsi="黑体" w:eastAsia="黑体" w:cs="黑体"/>
          <w:color w:val="auto"/>
          <w:spacing w:val="-1"/>
          <w:sz w:val="20"/>
          <w:szCs w:val="20"/>
          <w:highlight w:val="none"/>
        </w:rPr>
        <w:t>图</w:t>
      </w:r>
      <w:r>
        <w:rPr>
          <w:rFonts w:ascii="黑体" w:hAnsi="黑体" w:eastAsia="黑体" w:cs="黑体"/>
          <w:color w:val="auto"/>
          <w:sz w:val="20"/>
          <w:szCs w:val="20"/>
          <w:highlight w:val="none"/>
        </w:rPr>
        <w:t xml:space="preserve"> </w:t>
      </w:r>
      <w:r>
        <w:rPr>
          <w:rFonts w:ascii="Times New Roman" w:hAnsi="Times New Roman" w:eastAsia="Times New Roman" w:cs="Times New Roman"/>
          <w:color w:val="auto"/>
          <w:sz w:val="20"/>
          <w:szCs w:val="20"/>
          <w:highlight w:val="none"/>
        </w:rPr>
        <w:t xml:space="preserve">6. 1- 10    </w:t>
      </w:r>
      <w:r>
        <w:rPr>
          <w:rFonts w:ascii="黑体" w:hAnsi="黑体" w:eastAsia="黑体" w:cs="黑体"/>
          <w:color w:val="auto"/>
          <w:sz w:val="20"/>
          <w:szCs w:val="20"/>
          <w:highlight w:val="none"/>
        </w:rPr>
        <w:t>线高</w:t>
      </w:r>
      <w:r>
        <w:rPr>
          <w:rFonts w:hint="eastAsia" w:ascii="黑体" w:hAnsi="黑体" w:eastAsia="黑体" w:cs="黑体"/>
          <w:color w:val="auto"/>
          <w:sz w:val="20"/>
          <w:szCs w:val="20"/>
          <w:highlight w:val="none"/>
          <w:lang w:val="en-US" w:eastAsia="zh-CN"/>
        </w:rPr>
        <w:t>33</w:t>
      </w:r>
      <w:r>
        <w:rPr>
          <w:rFonts w:ascii="Times New Roman" w:hAnsi="Times New Roman" w:eastAsia="Times New Roman" w:cs="Times New Roman"/>
          <w:color w:val="auto"/>
          <w:sz w:val="20"/>
          <w:szCs w:val="20"/>
          <w:highlight w:val="none"/>
        </w:rPr>
        <w:t xml:space="preserve">m </w:t>
      </w:r>
      <w:r>
        <w:rPr>
          <w:rFonts w:ascii="黑体" w:hAnsi="黑体" w:eastAsia="黑体" w:cs="黑体"/>
          <w:color w:val="auto"/>
          <w:sz w:val="20"/>
          <w:szCs w:val="20"/>
          <w:highlight w:val="none"/>
        </w:rPr>
        <w:t>时工频磁感应强度空间分布图</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6.1.2.2    类比分析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本工程线路采用4分裂的JL/G1A-400/35钢芯铝绞线，分裂间距450mm ，单回路架设，本次类比监测采用陕西锦界、府谷电厂送出500kV 交流输变电工程中陕西段验收监测结果进行类比。</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32" w:name="_Toc30276"/>
      <w:r>
        <w:rPr>
          <w:rFonts w:hint="eastAsia" w:ascii="Times New Roman" w:hAnsi="Times New Roman" w:eastAsia="宋体" w:cs="Times New Roman"/>
          <w:snapToGrid/>
          <w:kern w:val="0"/>
          <w:sz w:val="24"/>
          <w:szCs w:val="24"/>
          <w:highlight w:val="none"/>
          <w:lang w:val="en-US" w:eastAsia="zh-CN" w:bidi="ar"/>
        </w:rPr>
        <w:t>( 1)类比对象的选择</w:t>
      </w:r>
      <w:bookmarkEnd w:id="132"/>
    </w:p>
    <w:p>
      <w:pPr>
        <w:rPr>
          <w:color w:val="auto"/>
          <w:highlight w:val="none"/>
        </w:rPr>
        <w:sectPr>
          <w:headerReference r:id="rId29" w:type="default"/>
          <w:footerReference r:id="rId30" w:type="default"/>
          <w:pgSz w:w="11906" w:h="16839"/>
          <w:pgMar w:top="1212" w:right="1418" w:bottom="1156" w:left="1418" w:header="970" w:footer="996" w:gutter="0"/>
          <w:pgBorders>
            <w:top w:val="none" w:sz="0" w:space="0"/>
            <w:left w:val="none" w:sz="0" w:space="0"/>
            <w:bottom w:val="none" w:sz="0" w:space="0"/>
            <w:right w:val="none" w:sz="0" w:space="0"/>
          </w:pgBorders>
          <w:pgNumType w:fmt="decimal"/>
          <w:cols w:space="720" w:num="1"/>
        </w:sectPr>
      </w:pP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类比对象选取与本工程线路的电压等级、架线方式、导线型号和分裂数、导线排列 方式均相同的同位于陕西榆林神木的《陕西锦界、府谷电厂送出500kV 交流输变电工程》 中的陕西段单回路输电线路监测断面进行类比分析。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类比对象与本工程相关情况见表 6. 1-9。</w:t>
      </w:r>
    </w:p>
    <w:p>
      <w:pPr>
        <w:spacing w:before="178" w:line="228" w:lineRule="auto"/>
        <w:ind w:left="2139"/>
        <w:rPr>
          <w:rFonts w:ascii="黑体" w:hAnsi="黑体" w:eastAsia="黑体" w:cs="黑体"/>
          <w:color w:val="auto"/>
          <w:sz w:val="20"/>
          <w:szCs w:val="20"/>
          <w:highlight w:val="none"/>
        </w:rPr>
      </w:pPr>
      <w:r>
        <w:rPr>
          <w:rFonts w:ascii="黑体" w:hAnsi="黑体" w:eastAsia="黑体" w:cs="黑体"/>
          <w:color w:val="auto"/>
          <w:spacing w:val="4"/>
          <w:sz w:val="20"/>
          <w:szCs w:val="20"/>
          <w:highlight w:val="none"/>
        </w:rPr>
        <w:t xml:space="preserve">表 </w:t>
      </w:r>
      <w:r>
        <w:rPr>
          <w:rFonts w:ascii="Times New Roman" w:hAnsi="Times New Roman" w:eastAsia="Times New Roman" w:cs="Times New Roman"/>
          <w:color w:val="auto"/>
          <w:spacing w:val="4"/>
          <w:sz w:val="20"/>
          <w:szCs w:val="20"/>
          <w:highlight w:val="none"/>
        </w:rPr>
        <w:t xml:space="preserve">6. 1-9    </w:t>
      </w:r>
      <w:r>
        <w:rPr>
          <w:rFonts w:ascii="黑体" w:hAnsi="黑体" w:eastAsia="黑体" w:cs="黑体"/>
          <w:color w:val="auto"/>
          <w:spacing w:val="4"/>
          <w:sz w:val="20"/>
          <w:szCs w:val="20"/>
          <w:highlight w:val="none"/>
        </w:rPr>
        <w:t>本工程输电线路与类比对象相关情况比</w:t>
      </w:r>
      <w:r>
        <w:rPr>
          <w:rFonts w:ascii="黑体" w:hAnsi="黑体" w:eastAsia="黑体" w:cs="黑体"/>
          <w:color w:val="auto"/>
          <w:spacing w:val="1"/>
          <w:sz w:val="20"/>
          <w:szCs w:val="20"/>
          <w:highlight w:val="none"/>
        </w:rPr>
        <w:t>较</w:t>
      </w:r>
      <w:r>
        <w:rPr>
          <w:rFonts w:ascii="黑体" w:hAnsi="黑体" w:eastAsia="黑体" w:cs="黑体"/>
          <w:color w:val="auto"/>
          <w:sz w:val="20"/>
          <w:szCs w:val="20"/>
          <w:highlight w:val="none"/>
        </w:rPr>
        <w:t>表</w:t>
      </w:r>
    </w:p>
    <w:p>
      <w:pPr>
        <w:spacing w:line="131" w:lineRule="exact"/>
        <w:rPr>
          <w:color w:val="0000FF"/>
          <w:highlight w:val="none"/>
        </w:rPr>
      </w:pPr>
    </w:p>
    <w:tbl>
      <w:tblPr>
        <w:tblStyle w:val="20"/>
        <w:tblW w:w="928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3"/>
        <w:gridCol w:w="2516"/>
        <w:gridCol w:w="2445"/>
        <w:gridCol w:w="246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1863" w:type="dxa"/>
            <w:tcBorders>
              <w:left w:val="single" w:color="000000" w:sz="10" w:space="0"/>
            </w:tcBorders>
            <w:vAlign w:val="top"/>
          </w:tcPr>
          <w:p>
            <w:pPr>
              <w:spacing w:line="257" w:lineRule="auto"/>
              <w:rPr>
                <w:rFonts w:ascii="Arial"/>
                <w:color w:val="auto"/>
                <w:sz w:val="18"/>
                <w:szCs w:val="18"/>
                <w:highlight w:val="none"/>
              </w:rPr>
            </w:pPr>
          </w:p>
          <w:p>
            <w:pPr>
              <w:spacing w:before="55" w:line="230" w:lineRule="auto"/>
              <w:ind w:left="886"/>
              <w:rPr>
                <w:rFonts w:ascii="宋体" w:hAnsi="宋体" w:eastAsia="宋体" w:cs="宋体"/>
                <w:color w:val="auto"/>
                <w:sz w:val="18"/>
                <w:szCs w:val="18"/>
                <w:highlight w:val="none"/>
              </w:rPr>
            </w:pPr>
            <w:r>
              <w:rPr>
                <w:rFonts w:ascii="宋体" w:hAnsi="宋体" w:eastAsia="宋体" w:cs="宋体"/>
                <w:color w:val="auto"/>
                <w:spacing w:val="5"/>
                <w:sz w:val="18"/>
                <w:szCs w:val="18"/>
                <w:highlight w:val="none"/>
              </w:rPr>
              <w:t>项目</w:t>
            </w:r>
          </w:p>
        </w:tc>
        <w:tc>
          <w:tcPr>
            <w:tcW w:w="2516" w:type="dxa"/>
            <w:vAlign w:val="top"/>
          </w:tcPr>
          <w:p>
            <w:pPr>
              <w:spacing w:line="257" w:lineRule="auto"/>
              <w:rPr>
                <w:rFonts w:ascii="Arial"/>
                <w:color w:val="auto"/>
                <w:sz w:val="18"/>
                <w:szCs w:val="18"/>
                <w:highlight w:val="none"/>
              </w:rPr>
            </w:pPr>
          </w:p>
          <w:p>
            <w:pPr>
              <w:spacing w:before="55" w:line="229" w:lineRule="auto"/>
              <w:ind w:left="849"/>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本</w:t>
            </w:r>
            <w:r>
              <w:rPr>
                <w:rFonts w:ascii="宋体" w:hAnsi="宋体" w:eastAsia="宋体" w:cs="宋体"/>
                <w:color w:val="auto"/>
                <w:spacing w:val="7"/>
                <w:sz w:val="18"/>
                <w:szCs w:val="18"/>
                <w:highlight w:val="none"/>
              </w:rPr>
              <w:t>工程</w:t>
            </w:r>
          </w:p>
        </w:tc>
        <w:tc>
          <w:tcPr>
            <w:tcW w:w="2445" w:type="dxa"/>
            <w:vAlign w:val="top"/>
          </w:tcPr>
          <w:p>
            <w:pPr>
              <w:spacing w:before="81" w:line="229" w:lineRule="auto"/>
              <w:ind w:left="534"/>
              <w:rPr>
                <w:rFonts w:ascii="宋体" w:hAnsi="宋体" w:eastAsia="宋体" w:cs="宋体"/>
                <w:color w:val="auto"/>
                <w:sz w:val="18"/>
                <w:szCs w:val="18"/>
                <w:highlight w:val="none"/>
              </w:rPr>
            </w:pPr>
            <w:r>
              <w:rPr>
                <w:rFonts w:ascii="Times New Roman" w:hAnsi="Times New Roman" w:eastAsia="Times New Roman" w:cs="Times New Roman"/>
                <w:color w:val="auto"/>
                <w:spacing w:val="7"/>
                <w:sz w:val="18"/>
                <w:szCs w:val="18"/>
                <w:highlight w:val="none"/>
              </w:rPr>
              <w:t xml:space="preserve">500 </w:t>
            </w:r>
            <w:r>
              <w:rPr>
                <w:rFonts w:ascii="宋体" w:hAnsi="宋体" w:eastAsia="宋体" w:cs="宋体"/>
                <w:color w:val="auto"/>
                <w:spacing w:val="7"/>
                <w:sz w:val="18"/>
                <w:szCs w:val="18"/>
                <w:highlight w:val="none"/>
              </w:rPr>
              <w:t>千伏锦忻Ⅲ</w:t>
            </w:r>
            <w:r>
              <w:rPr>
                <w:rFonts w:ascii="宋体" w:hAnsi="宋体" w:eastAsia="宋体" w:cs="宋体"/>
                <w:color w:val="auto"/>
                <w:spacing w:val="5"/>
                <w:sz w:val="18"/>
                <w:szCs w:val="18"/>
                <w:highlight w:val="none"/>
              </w:rPr>
              <w:t>线</w:t>
            </w:r>
          </w:p>
          <w:p>
            <w:pPr>
              <w:spacing w:before="21" w:line="256" w:lineRule="auto"/>
              <w:ind w:left="1051" w:right="121" w:hanging="921"/>
              <w:rPr>
                <w:rFonts w:ascii="宋体" w:hAnsi="宋体" w:eastAsia="宋体" w:cs="宋体"/>
                <w:color w:val="auto"/>
                <w:sz w:val="18"/>
                <w:szCs w:val="18"/>
                <w:highlight w:val="none"/>
              </w:rPr>
            </w:pPr>
            <w:r>
              <w:rPr>
                <w:rFonts w:ascii="Times New Roman" w:hAnsi="Times New Roman" w:eastAsia="Times New Roman" w:cs="Times New Roman"/>
                <w:color w:val="auto"/>
                <w:sz w:val="18"/>
                <w:szCs w:val="18"/>
                <w:highlight w:val="none"/>
              </w:rPr>
              <w:t>J</w:t>
            </w:r>
            <w:r>
              <w:rPr>
                <w:rFonts w:ascii="Times New Roman" w:hAnsi="Times New Roman" w:eastAsia="Times New Roman" w:cs="Times New Roman"/>
                <w:color w:val="auto"/>
                <w:spacing w:val="12"/>
                <w:sz w:val="18"/>
                <w:szCs w:val="18"/>
                <w:highlight w:val="none"/>
              </w:rPr>
              <w:t>5</w:t>
            </w:r>
            <w:r>
              <w:rPr>
                <w:rFonts w:ascii="Times New Roman" w:hAnsi="Times New Roman" w:eastAsia="Times New Roman" w:cs="Times New Roman"/>
                <w:color w:val="auto"/>
                <w:spacing w:val="8"/>
                <w:sz w:val="18"/>
                <w:szCs w:val="18"/>
                <w:highlight w:val="none"/>
              </w:rPr>
              <w:t>0</w:t>
            </w:r>
            <w:r>
              <w:rPr>
                <w:rFonts w:ascii="Times New Roman" w:hAnsi="Times New Roman" w:eastAsia="Times New Roman" w:cs="Times New Roman"/>
                <w:color w:val="auto"/>
                <w:spacing w:val="6"/>
                <w:sz w:val="18"/>
                <w:szCs w:val="18"/>
                <w:highlight w:val="none"/>
              </w:rPr>
              <w:t xml:space="preserve">77~5078 </w:t>
            </w:r>
            <w:r>
              <w:rPr>
                <w:rFonts w:ascii="宋体" w:hAnsi="宋体" w:eastAsia="宋体" w:cs="宋体"/>
                <w:color w:val="auto"/>
                <w:spacing w:val="6"/>
                <w:sz w:val="18"/>
                <w:szCs w:val="18"/>
                <w:highlight w:val="none"/>
              </w:rPr>
              <w:t>塔基南侧 (单回</w:t>
            </w:r>
            <w:r>
              <w:rPr>
                <w:rFonts w:ascii="宋体" w:hAnsi="宋体" w:eastAsia="宋体" w:cs="宋体"/>
                <w:color w:val="auto"/>
                <w:sz w:val="18"/>
                <w:szCs w:val="18"/>
                <w:highlight w:val="none"/>
              </w:rPr>
              <w:t xml:space="preserve"> </w:t>
            </w:r>
            <w:r>
              <w:rPr>
                <w:rFonts w:ascii="宋体" w:hAnsi="宋体" w:eastAsia="宋体" w:cs="宋体"/>
                <w:color w:val="auto"/>
                <w:spacing w:val="1"/>
                <w:sz w:val="18"/>
                <w:szCs w:val="18"/>
                <w:highlight w:val="none"/>
              </w:rPr>
              <w:t>路</w:t>
            </w:r>
            <w:r>
              <w:rPr>
                <w:rFonts w:ascii="宋体" w:hAnsi="宋体" w:eastAsia="宋体" w:cs="宋体"/>
                <w:color w:val="auto"/>
                <w:sz w:val="18"/>
                <w:szCs w:val="18"/>
                <w:highlight w:val="none"/>
              </w:rPr>
              <w:t>)</w:t>
            </w:r>
          </w:p>
        </w:tc>
        <w:tc>
          <w:tcPr>
            <w:tcW w:w="2460" w:type="dxa"/>
            <w:tcBorders>
              <w:right w:val="single" w:color="000000" w:sz="10" w:space="0"/>
            </w:tcBorders>
            <w:vAlign w:val="top"/>
          </w:tcPr>
          <w:p>
            <w:pPr>
              <w:spacing w:before="81" w:line="229" w:lineRule="auto"/>
              <w:ind w:left="542"/>
              <w:rPr>
                <w:rFonts w:ascii="宋体" w:hAnsi="宋体" w:eastAsia="宋体" w:cs="宋体"/>
                <w:color w:val="auto"/>
                <w:sz w:val="18"/>
                <w:szCs w:val="18"/>
                <w:highlight w:val="none"/>
              </w:rPr>
            </w:pPr>
            <w:r>
              <w:rPr>
                <w:rFonts w:ascii="Times New Roman" w:hAnsi="Times New Roman" w:eastAsia="Times New Roman" w:cs="Times New Roman"/>
                <w:color w:val="auto"/>
                <w:spacing w:val="7"/>
                <w:sz w:val="18"/>
                <w:szCs w:val="18"/>
                <w:highlight w:val="none"/>
              </w:rPr>
              <w:t xml:space="preserve">500 </w:t>
            </w:r>
            <w:r>
              <w:rPr>
                <w:rFonts w:ascii="宋体" w:hAnsi="宋体" w:eastAsia="宋体" w:cs="宋体"/>
                <w:color w:val="auto"/>
                <w:spacing w:val="7"/>
                <w:sz w:val="18"/>
                <w:szCs w:val="18"/>
                <w:highlight w:val="none"/>
              </w:rPr>
              <w:t>千伏锦忻Ⅲ</w:t>
            </w:r>
            <w:r>
              <w:rPr>
                <w:rFonts w:ascii="宋体" w:hAnsi="宋体" w:eastAsia="宋体" w:cs="宋体"/>
                <w:color w:val="auto"/>
                <w:spacing w:val="5"/>
                <w:sz w:val="18"/>
                <w:szCs w:val="18"/>
                <w:highlight w:val="none"/>
              </w:rPr>
              <w:t>线</w:t>
            </w:r>
          </w:p>
          <w:p>
            <w:pPr>
              <w:spacing w:before="21" w:line="256" w:lineRule="auto"/>
              <w:ind w:left="1057" w:right="118" w:hanging="919"/>
              <w:rPr>
                <w:rFonts w:ascii="宋体" w:hAnsi="宋体" w:eastAsia="宋体" w:cs="宋体"/>
                <w:color w:val="auto"/>
                <w:sz w:val="18"/>
                <w:szCs w:val="18"/>
                <w:highlight w:val="none"/>
              </w:rPr>
            </w:pPr>
            <w:r>
              <w:rPr>
                <w:rFonts w:ascii="Times New Roman" w:hAnsi="Times New Roman" w:eastAsia="Times New Roman" w:cs="Times New Roman"/>
                <w:color w:val="auto"/>
                <w:sz w:val="18"/>
                <w:szCs w:val="18"/>
                <w:highlight w:val="none"/>
              </w:rPr>
              <w:t>J</w:t>
            </w:r>
            <w:r>
              <w:rPr>
                <w:rFonts w:ascii="Times New Roman" w:hAnsi="Times New Roman" w:eastAsia="Times New Roman" w:cs="Times New Roman"/>
                <w:color w:val="auto"/>
                <w:spacing w:val="12"/>
                <w:sz w:val="18"/>
                <w:szCs w:val="18"/>
                <w:highlight w:val="none"/>
              </w:rPr>
              <w:t>5</w:t>
            </w:r>
            <w:r>
              <w:rPr>
                <w:rFonts w:ascii="Times New Roman" w:hAnsi="Times New Roman" w:eastAsia="Times New Roman" w:cs="Times New Roman"/>
                <w:color w:val="auto"/>
                <w:spacing w:val="8"/>
                <w:sz w:val="18"/>
                <w:szCs w:val="18"/>
                <w:highlight w:val="none"/>
              </w:rPr>
              <w:t>0</w:t>
            </w:r>
            <w:r>
              <w:rPr>
                <w:rFonts w:ascii="Times New Roman" w:hAnsi="Times New Roman" w:eastAsia="Times New Roman" w:cs="Times New Roman"/>
                <w:color w:val="auto"/>
                <w:spacing w:val="6"/>
                <w:sz w:val="18"/>
                <w:szCs w:val="18"/>
                <w:highlight w:val="none"/>
              </w:rPr>
              <w:t xml:space="preserve">77~5078 </w:t>
            </w:r>
            <w:r>
              <w:rPr>
                <w:rFonts w:ascii="宋体" w:hAnsi="宋体" w:eastAsia="宋体" w:cs="宋体"/>
                <w:color w:val="auto"/>
                <w:spacing w:val="6"/>
                <w:sz w:val="18"/>
                <w:szCs w:val="18"/>
                <w:highlight w:val="none"/>
              </w:rPr>
              <w:t>塔基北侧 (单回</w:t>
            </w:r>
            <w:r>
              <w:rPr>
                <w:rFonts w:ascii="宋体" w:hAnsi="宋体" w:eastAsia="宋体" w:cs="宋体"/>
                <w:color w:val="auto"/>
                <w:sz w:val="18"/>
                <w:szCs w:val="18"/>
                <w:highlight w:val="none"/>
              </w:rPr>
              <w:t xml:space="preserve"> </w:t>
            </w:r>
            <w:r>
              <w:rPr>
                <w:rFonts w:ascii="宋体" w:hAnsi="宋体" w:eastAsia="宋体" w:cs="宋体"/>
                <w:color w:val="auto"/>
                <w:spacing w:val="1"/>
                <w:sz w:val="18"/>
                <w:szCs w:val="18"/>
                <w:highlight w:val="none"/>
              </w:rPr>
              <w:t>路</w:t>
            </w:r>
            <w:r>
              <w:rPr>
                <w:rFonts w:ascii="宋体" w:hAnsi="宋体" w:eastAsia="宋体" w:cs="宋体"/>
                <w:color w:val="auto"/>
                <w:sz w:val="18"/>
                <w:szCs w:val="18"/>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863" w:type="dxa"/>
            <w:tcBorders>
              <w:left w:val="single" w:color="000000" w:sz="10" w:space="0"/>
            </w:tcBorders>
            <w:vAlign w:val="top"/>
          </w:tcPr>
          <w:p>
            <w:pPr>
              <w:spacing w:before="21" w:line="242" w:lineRule="exact"/>
              <w:ind w:left="734"/>
              <w:rPr>
                <w:rFonts w:ascii="Times New Roman" w:hAnsi="Times New Roman" w:eastAsia="Times New Roman" w:cs="Times New Roman"/>
                <w:color w:val="auto"/>
                <w:sz w:val="18"/>
                <w:szCs w:val="18"/>
                <w:highlight w:val="none"/>
              </w:rPr>
            </w:pPr>
            <w:r>
              <w:rPr>
                <w:rFonts w:ascii="宋体" w:hAnsi="宋体" w:eastAsia="宋体" w:cs="宋体"/>
                <w:color w:val="auto"/>
                <w:spacing w:val="3"/>
                <w:position w:val="2"/>
                <w:sz w:val="18"/>
                <w:szCs w:val="18"/>
                <w:highlight w:val="none"/>
              </w:rPr>
              <w:t>电压</w:t>
            </w:r>
            <w:r>
              <w:rPr>
                <w:rFonts w:ascii="Times New Roman" w:hAnsi="Times New Roman" w:eastAsia="Times New Roman" w:cs="Times New Roman"/>
                <w:color w:val="auto"/>
                <w:spacing w:val="3"/>
                <w:position w:val="2"/>
                <w:sz w:val="18"/>
                <w:szCs w:val="18"/>
                <w:highlight w:val="none"/>
              </w:rPr>
              <w:t>(</w:t>
            </w:r>
            <w:r>
              <w:rPr>
                <w:rFonts w:ascii="Times New Roman" w:hAnsi="Times New Roman" w:eastAsia="Times New Roman" w:cs="Times New Roman"/>
                <w:color w:val="auto"/>
                <w:position w:val="2"/>
                <w:sz w:val="18"/>
                <w:szCs w:val="18"/>
                <w:highlight w:val="none"/>
              </w:rPr>
              <w:t>kV</w:t>
            </w:r>
            <w:r>
              <w:rPr>
                <w:rFonts w:ascii="Times New Roman" w:hAnsi="Times New Roman" w:eastAsia="Times New Roman" w:cs="Times New Roman"/>
                <w:color w:val="auto"/>
                <w:spacing w:val="2"/>
                <w:position w:val="2"/>
                <w:sz w:val="18"/>
                <w:szCs w:val="18"/>
                <w:highlight w:val="none"/>
              </w:rPr>
              <w:t>)</w:t>
            </w:r>
          </w:p>
        </w:tc>
        <w:tc>
          <w:tcPr>
            <w:tcW w:w="2516" w:type="dxa"/>
            <w:vAlign w:val="top"/>
          </w:tcPr>
          <w:p>
            <w:pPr>
              <w:spacing w:before="85" w:line="197" w:lineRule="auto"/>
              <w:ind w:left="987"/>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500</w:t>
            </w:r>
          </w:p>
        </w:tc>
        <w:tc>
          <w:tcPr>
            <w:tcW w:w="2445" w:type="dxa"/>
            <w:vAlign w:val="top"/>
          </w:tcPr>
          <w:p>
            <w:pPr>
              <w:spacing w:before="85" w:line="197" w:lineRule="auto"/>
              <w:ind w:left="109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500</w:t>
            </w:r>
          </w:p>
        </w:tc>
        <w:tc>
          <w:tcPr>
            <w:tcW w:w="2460" w:type="dxa"/>
            <w:tcBorders>
              <w:right w:val="single" w:color="000000" w:sz="10" w:space="0"/>
            </w:tcBorders>
            <w:vAlign w:val="top"/>
          </w:tcPr>
          <w:p>
            <w:pPr>
              <w:spacing w:before="85" w:line="197" w:lineRule="auto"/>
              <w:ind w:left="1103"/>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863" w:type="dxa"/>
            <w:tcBorders>
              <w:left w:val="single" w:color="000000" w:sz="10" w:space="0"/>
            </w:tcBorders>
            <w:vAlign w:val="top"/>
          </w:tcPr>
          <w:p>
            <w:pPr>
              <w:spacing w:before="55" w:line="230" w:lineRule="auto"/>
              <w:ind w:left="708"/>
              <w:rPr>
                <w:rFonts w:ascii="宋体" w:hAnsi="宋体" w:eastAsia="宋体" w:cs="宋体"/>
                <w:color w:val="auto"/>
                <w:sz w:val="18"/>
                <w:szCs w:val="18"/>
                <w:highlight w:val="none"/>
              </w:rPr>
            </w:pPr>
            <w:r>
              <w:rPr>
                <w:rFonts w:ascii="宋体" w:hAnsi="宋体" w:eastAsia="宋体" w:cs="宋体"/>
                <w:color w:val="auto"/>
                <w:spacing w:val="7"/>
                <w:sz w:val="18"/>
                <w:szCs w:val="18"/>
                <w:highlight w:val="none"/>
              </w:rPr>
              <w:t>导线型号</w:t>
            </w:r>
          </w:p>
        </w:tc>
        <w:tc>
          <w:tcPr>
            <w:tcW w:w="2516" w:type="dxa"/>
            <w:vAlign w:val="top"/>
          </w:tcPr>
          <w:p>
            <w:pPr>
              <w:spacing w:before="22" w:line="242" w:lineRule="exact"/>
              <w:ind w:left="502"/>
              <w:rPr>
                <w:rFonts w:ascii="Times New Roman" w:hAnsi="Times New Roman" w:eastAsia="Times New Roman" w:cs="Times New Roman"/>
                <w:color w:val="auto"/>
                <w:sz w:val="18"/>
                <w:szCs w:val="18"/>
                <w:highlight w:val="none"/>
              </w:rPr>
            </w:pPr>
            <w:r>
              <w:rPr>
                <w:rFonts w:hint="eastAsia" w:ascii="Times New Roman" w:hAnsi="Times New Roman" w:eastAsia="Times New Roman" w:cs="Times New Roman"/>
                <w:color w:val="auto"/>
                <w:position w:val="1"/>
                <w:sz w:val="18"/>
                <w:szCs w:val="18"/>
                <w:highlight w:val="none"/>
                <w:lang w:val="en-US" w:eastAsia="zh-CN"/>
              </w:rPr>
              <w:t>JL/G1A-400/35</w:t>
            </w:r>
          </w:p>
        </w:tc>
        <w:tc>
          <w:tcPr>
            <w:tcW w:w="2445" w:type="dxa"/>
            <w:vAlign w:val="top"/>
          </w:tcPr>
          <w:p>
            <w:pPr>
              <w:spacing w:before="22" w:line="242" w:lineRule="exact"/>
              <w:ind w:left="656"/>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position w:val="1"/>
                <w:sz w:val="18"/>
                <w:szCs w:val="18"/>
                <w:highlight w:val="none"/>
              </w:rPr>
              <w:t>JL</w:t>
            </w:r>
            <w:r>
              <w:rPr>
                <w:rFonts w:ascii="Times New Roman" w:hAnsi="Times New Roman" w:eastAsia="Times New Roman" w:cs="Times New Roman"/>
                <w:color w:val="auto"/>
                <w:spacing w:val="12"/>
                <w:position w:val="1"/>
                <w:sz w:val="18"/>
                <w:szCs w:val="18"/>
                <w:highlight w:val="none"/>
              </w:rPr>
              <w:t>/</w:t>
            </w:r>
            <w:r>
              <w:rPr>
                <w:rFonts w:ascii="Times New Roman" w:hAnsi="Times New Roman" w:eastAsia="Times New Roman" w:cs="Times New Roman"/>
                <w:color w:val="auto"/>
                <w:position w:val="1"/>
                <w:sz w:val="18"/>
                <w:szCs w:val="18"/>
                <w:highlight w:val="none"/>
              </w:rPr>
              <w:t>G</w:t>
            </w:r>
            <w:r>
              <w:rPr>
                <w:rFonts w:ascii="Times New Roman" w:hAnsi="Times New Roman" w:eastAsia="Times New Roman" w:cs="Times New Roman"/>
                <w:color w:val="auto"/>
                <w:spacing w:val="6"/>
                <w:position w:val="1"/>
                <w:sz w:val="18"/>
                <w:szCs w:val="18"/>
                <w:highlight w:val="none"/>
              </w:rPr>
              <w:t>1</w:t>
            </w:r>
            <w:r>
              <w:rPr>
                <w:rFonts w:ascii="Times New Roman" w:hAnsi="Times New Roman" w:eastAsia="Times New Roman" w:cs="Times New Roman"/>
                <w:color w:val="auto"/>
                <w:position w:val="1"/>
                <w:sz w:val="18"/>
                <w:szCs w:val="18"/>
                <w:highlight w:val="none"/>
              </w:rPr>
              <w:t>A</w:t>
            </w:r>
            <w:r>
              <w:rPr>
                <w:rFonts w:ascii="Times New Roman" w:hAnsi="Times New Roman" w:eastAsia="Times New Roman" w:cs="Times New Roman"/>
                <w:color w:val="auto"/>
                <w:spacing w:val="6"/>
                <w:position w:val="1"/>
                <w:sz w:val="18"/>
                <w:szCs w:val="18"/>
                <w:highlight w:val="none"/>
              </w:rPr>
              <w:t>-630/45</w:t>
            </w:r>
          </w:p>
        </w:tc>
        <w:tc>
          <w:tcPr>
            <w:tcW w:w="2460" w:type="dxa"/>
            <w:tcBorders>
              <w:right w:val="single" w:color="000000" w:sz="10" w:space="0"/>
            </w:tcBorders>
            <w:vAlign w:val="top"/>
          </w:tcPr>
          <w:p>
            <w:pPr>
              <w:spacing w:before="22" w:line="242" w:lineRule="exact"/>
              <w:ind w:left="664"/>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position w:val="1"/>
                <w:sz w:val="18"/>
                <w:szCs w:val="18"/>
                <w:highlight w:val="none"/>
              </w:rPr>
              <w:t>JL</w:t>
            </w:r>
            <w:r>
              <w:rPr>
                <w:rFonts w:ascii="Times New Roman" w:hAnsi="Times New Roman" w:eastAsia="Times New Roman" w:cs="Times New Roman"/>
                <w:color w:val="auto"/>
                <w:spacing w:val="10"/>
                <w:position w:val="1"/>
                <w:sz w:val="18"/>
                <w:szCs w:val="18"/>
                <w:highlight w:val="none"/>
              </w:rPr>
              <w:t>/</w:t>
            </w:r>
            <w:r>
              <w:rPr>
                <w:rFonts w:ascii="Times New Roman" w:hAnsi="Times New Roman" w:eastAsia="Times New Roman" w:cs="Times New Roman"/>
                <w:color w:val="auto"/>
                <w:position w:val="1"/>
                <w:sz w:val="18"/>
                <w:szCs w:val="18"/>
                <w:highlight w:val="none"/>
              </w:rPr>
              <w:t>G</w:t>
            </w:r>
            <w:r>
              <w:rPr>
                <w:rFonts w:ascii="Times New Roman" w:hAnsi="Times New Roman" w:eastAsia="Times New Roman" w:cs="Times New Roman"/>
                <w:color w:val="auto"/>
                <w:spacing w:val="6"/>
                <w:position w:val="1"/>
                <w:sz w:val="18"/>
                <w:szCs w:val="18"/>
                <w:highlight w:val="none"/>
              </w:rPr>
              <w:t>1</w:t>
            </w:r>
            <w:r>
              <w:rPr>
                <w:rFonts w:ascii="Times New Roman" w:hAnsi="Times New Roman" w:eastAsia="Times New Roman" w:cs="Times New Roman"/>
                <w:color w:val="auto"/>
                <w:position w:val="1"/>
                <w:sz w:val="18"/>
                <w:szCs w:val="18"/>
                <w:highlight w:val="none"/>
              </w:rPr>
              <w:t>A</w:t>
            </w:r>
            <w:r>
              <w:rPr>
                <w:rFonts w:ascii="Times New Roman" w:hAnsi="Times New Roman" w:eastAsia="Times New Roman" w:cs="Times New Roman"/>
                <w:color w:val="auto"/>
                <w:spacing w:val="6"/>
                <w:position w:val="1"/>
                <w:sz w:val="18"/>
                <w:szCs w:val="18"/>
                <w:highlight w:val="none"/>
              </w:rPr>
              <w:t>-630/45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863" w:type="dxa"/>
            <w:tcBorders>
              <w:left w:val="single" w:color="000000" w:sz="10" w:space="0"/>
            </w:tcBorders>
            <w:vAlign w:val="top"/>
          </w:tcPr>
          <w:p>
            <w:pPr>
              <w:spacing w:before="56" w:line="230" w:lineRule="auto"/>
              <w:ind w:left="524"/>
              <w:rPr>
                <w:rFonts w:ascii="宋体" w:hAnsi="宋体" w:eastAsia="宋体" w:cs="宋体"/>
                <w:color w:val="auto"/>
                <w:sz w:val="18"/>
                <w:szCs w:val="18"/>
                <w:highlight w:val="none"/>
              </w:rPr>
            </w:pPr>
            <w:r>
              <w:rPr>
                <w:rFonts w:ascii="宋体" w:hAnsi="宋体" w:eastAsia="宋体" w:cs="宋体"/>
                <w:color w:val="auto"/>
                <w:spacing w:val="12"/>
                <w:sz w:val="18"/>
                <w:szCs w:val="18"/>
                <w:highlight w:val="none"/>
              </w:rPr>
              <w:t>子</w:t>
            </w:r>
            <w:r>
              <w:rPr>
                <w:rFonts w:ascii="宋体" w:hAnsi="宋体" w:eastAsia="宋体" w:cs="宋体"/>
                <w:color w:val="auto"/>
                <w:spacing w:val="8"/>
                <w:sz w:val="18"/>
                <w:szCs w:val="18"/>
                <w:highlight w:val="none"/>
              </w:rPr>
              <w:t>导线分裂数</w:t>
            </w:r>
          </w:p>
        </w:tc>
        <w:tc>
          <w:tcPr>
            <w:tcW w:w="2516" w:type="dxa"/>
            <w:vAlign w:val="top"/>
          </w:tcPr>
          <w:p>
            <w:pPr>
              <w:spacing w:before="87" w:line="197" w:lineRule="auto"/>
              <w:ind w:left="1070"/>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4</w:t>
            </w:r>
          </w:p>
        </w:tc>
        <w:tc>
          <w:tcPr>
            <w:tcW w:w="2445" w:type="dxa"/>
            <w:vAlign w:val="top"/>
          </w:tcPr>
          <w:p>
            <w:pPr>
              <w:spacing w:before="87" w:line="197" w:lineRule="auto"/>
              <w:ind w:left="118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4</w:t>
            </w:r>
          </w:p>
        </w:tc>
        <w:tc>
          <w:tcPr>
            <w:tcW w:w="2460" w:type="dxa"/>
            <w:tcBorders>
              <w:right w:val="single" w:color="000000" w:sz="10" w:space="0"/>
            </w:tcBorders>
            <w:vAlign w:val="top"/>
          </w:tcPr>
          <w:p>
            <w:pPr>
              <w:spacing w:before="87" w:line="197" w:lineRule="auto"/>
              <w:ind w:left="1189"/>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863" w:type="dxa"/>
            <w:tcBorders>
              <w:left w:val="single" w:color="000000" w:sz="10" w:space="0"/>
            </w:tcBorders>
            <w:vAlign w:val="top"/>
          </w:tcPr>
          <w:p>
            <w:pPr>
              <w:spacing w:before="24" w:line="242" w:lineRule="exact"/>
              <w:ind w:left="504"/>
              <w:rPr>
                <w:rFonts w:ascii="Times New Roman" w:hAnsi="Times New Roman" w:eastAsia="Times New Roman" w:cs="Times New Roman"/>
                <w:color w:val="auto"/>
                <w:sz w:val="18"/>
                <w:szCs w:val="18"/>
                <w:highlight w:val="none"/>
              </w:rPr>
            </w:pPr>
            <w:r>
              <w:rPr>
                <w:rFonts w:ascii="宋体" w:hAnsi="宋体" w:eastAsia="宋体" w:cs="宋体"/>
                <w:color w:val="auto"/>
                <w:spacing w:val="11"/>
                <w:position w:val="2"/>
                <w:sz w:val="18"/>
                <w:szCs w:val="18"/>
                <w:highlight w:val="none"/>
              </w:rPr>
              <w:t>分</w:t>
            </w:r>
            <w:r>
              <w:rPr>
                <w:rFonts w:ascii="宋体" w:hAnsi="宋体" w:eastAsia="宋体" w:cs="宋体"/>
                <w:color w:val="auto"/>
                <w:spacing w:val="8"/>
                <w:position w:val="2"/>
                <w:sz w:val="18"/>
                <w:szCs w:val="18"/>
                <w:highlight w:val="none"/>
              </w:rPr>
              <w:t>裂间距</w:t>
            </w:r>
            <w:r>
              <w:rPr>
                <w:rFonts w:ascii="Times New Roman" w:hAnsi="Times New Roman" w:eastAsia="Times New Roman" w:cs="Times New Roman"/>
                <w:color w:val="auto"/>
                <w:spacing w:val="8"/>
                <w:position w:val="2"/>
                <w:sz w:val="18"/>
                <w:szCs w:val="18"/>
                <w:highlight w:val="none"/>
              </w:rPr>
              <w:t>(</w:t>
            </w:r>
            <w:r>
              <w:rPr>
                <w:rFonts w:ascii="Times New Roman" w:hAnsi="Times New Roman" w:eastAsia="Times New Roman" w:cs="Times New Roman"/>
                <w:color w:val="auto"/>
                <w:position w:val="2"/>
                <w:sz w:val="18"/>
                <w:szCs w:val="18"/>
                <w:highlight w:val="none"/>
              </w:rPr>
              <w:t>mm</w:t>
            </w:r>
            <w:r>
              <w:rPr>
                <w:rFonts w:ascii="Times New Roman" w:hAnsi="Times New Roman" w:eastAsia="Times New Roman" w:cs="Times New Roman"/>
                <w:color w:val="auto"/>
                <w:spacing w:val="8"/>
                <w:position w:val="2"/>
                <w:sz w:val="18"/>
                <w:szCs w:val="18"/>
                <w:highlight w:val="none"/>
              </w:rPr>
              <w:t>)</w:t>
            </w:r>
          </w:p>
        </w:tc>
        <w:tc>
          <w:tcPr>
            <w:tcW w:w="2516" w:type="dxa"/>
            <w:vAlign w:val="top"/>
          </w:tcPr>
          <w:p>
            <w:pPr>
              <w:spacing w:before="88" w:line="197" w:lineRule="auto"/>
              <w:ind w:left="981"/>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4"/>
                <w:sz w:val="18"/>
                <w:szCs w:val="18"/>
                <w:highlight w:val="none"/>
              </w:rPr>
              <w:t>450</w:t>
            </w:r>
          </w:p>
        </w:tc>
        <w:tc>
          <w:tcPr>
            <w:tcW w:w="2445" w:type="dxa"/>
            <w:vAlign w:val="top"/>
          </w:tcPr>
          <w:p>
            <w:pPr>
              <w:spacing w:before="88" w:line="197" w:lineRule="auto"/>
              <w:ind w:left="1095"/>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500</w:t>
            </w:r>
          </w:p>
        </w:tc>
        <w:tc>
          <w:tcPr>
            <w:tcW w:w="2460" w:type="dxa"/>
            <w:tcBorders>
              <w:right w:val="single" w:color="000000" w:sz="10" w:space="0"/>
            </w:tcBorders>
            <w:vAlign w:val="top"/>
          </w:tcPr>
          <w:p>
            <w:pPr>
              <w:spacing w:before="88" w:line="197" w:lineRule="auto"/>
              <w:ind w:left="1103"/>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2"/>
                <w:sz w:val="18"/>
                <w:szCs w:val="18"/>
                <w:highlight w:val="none"/>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863" w:type="dxa"/>
            <w:tcBorders>
              <w:left w:val="single" w:color="000000" w:sz="10" w:space="0"/>
            </w:tcBorders>
            <w:vAlign w:val="top"/>
          </w:tcPr>
          <w:p>
            <w:pPr>
              <w:spacing w:before="58" w:line="229" w:lineRule="auto"/>
              <w:ind w:left="704"/>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架线方式</w:t>
            </w:r>
          </w:p>
        </w:tc>
        <w:tc>
          <w:tcPr>
            <w:tcW w:w="2516" w:type="dxa"/>
            <w:vAlign w:val="top"/>
          </w:tcPr>
          <w:p>
            <w:pPr>
              <w:spacing w:before="58" w:line="230" w:lineRule="auto"/>
              <w:ind w:left="850"/>
              <w:rPr>
                <w:rFonts w:ascii="宋体" w:hAnsi="宋体" w:eastAsia="宋体" w:cs="宋体"/>
                <w:color w:val="auto"/>
                <w:sz w:val="18"/>
                <w:szCs w:val="18"/>
                <w:highlight w:val="none"/>
              </w:rPr>
            </w:pPr>
            <w:r>
              <w:rPr>
                <w:rFonts w:ascii="宋体" w:hAnsi="宋体" w:eastAsia="宋体" w:cs="宋体"/>
                <w:color w:val="auto"/>
                <w:spacing w:val="7"/>
                <w:sz w:val="18"/>
                <w:szCs w:val="18"/>
                <w:highlight w:val="none"/>
              </w:rPr>
              <w:t>单回路</w:t>
            </w:r>
          </w:p>
        </w:tc>
        <w:tc>
          <w:tcPr>
            <w:tcW w:w="2445" w:type="dxa"/>
            <w:vAlign w:val="top"/>
          </w:tcPr>
          <w:p>
            <w:pPr>
              <w:spacing w:before="58" w:line="230" w:lineRule="auto"/>
              <w:ind w:left="152"/>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单回路 (与锦忻Ⅱ线并行</w:t>
            </w:r>
            <w:r>
              <w:rPr>
                <w:rFonts w:ascii="宋体" w:hAnsi="宋体" w:eastAsia="宋体" w:cs="宋体"/>
                <w:color w:val="auto"/>
                <w:spacing w:val="5"/>
                <w:sz w:val="18"/>
                <w:szCs w:val="18"/>
                <w:highlight w:val="none"/>
              </w:rPr>
              <w:t>)</w:t>
            </w:r>
          </w:p>
        </w:tc>
        <w:tc>
          <w:tcPr>
            <w:tcW w:w="2460" w:type="dxa"/>
            <w:tcBorders>
              <w:right w:val="single" w:color="000000" w:sz="10" w:space="0"/>
            </w:tcBorders>
            <w:vAlign w:val="top"/>
          </w:tcPr>
          <w:p>
            <w:pPr>
              <w:spacing w:before="58" w:line="230" w:lineRule="auto"/>
              <w:ind w:left="969"/>
              <w:rPr>
                <w:rFonts w:ascii="宋体" w:hAnsi="宋体" w:eastAsia="宋体" w:cs="宋体"/>
                <w:color w:val="auto"/>
                <w:sz w:val="18"/>
                <w:szCs w:val="18"/>
                <w:highlight w:val="none"/>
              </w:rPr>
            </w:pPr>
            <w:r>
              <w:rPr>
                <w:rFonts w:ascii="宋体" w:hAnsi="宋体" w:eastAsia="宋体" w:cs="宋体"/>
                <w:color w:val="auto"/>
                <w:spacing w:val="7"/>
                <w:sz w:val="18"/>
                <w:szCs w:val="18"/>
                <w:highlight w:val="none"/>
              </w:rPr>
              <w:t>单回路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863" w:type="dxa"/>
            <w:tcBorders>
              <w:left w:val="single" w:color="000000" w:sz="10" w:space="0"/>
            </w:tcBorders>
            <w:vAlign w:val="top"/>
          </w:tcPr>
          <w:p>
            <w:pPr>
              <w:spacing w:before="59" w:line="229" w:lineRule="auto"/>
              <w:ind w:left="704"/>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排列方式</w:t>
            </w:r>
          </w:p>
        </w:tc>
        <w:tc>
          <w:tcPr>
            <w:tcW w:w="2516" w:type="dxa"/>
            <w:vAlign w:val="top"/>
          </w:tcPr>
          <w:p>
            <w:pPr>
              <w:spacing w:before="59" w:line="230" w:lineRule="auto"/>
              <w:ind w:left="761"/>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水</w:t>
            </w:r>
            <w:r>
              <w:rPr>
                <w:rFonts w:ascii="宋体" w:hAnsi="宋体" w:eastAsia="宋体" w:cs="宋体"/>
                <w:color w:val="auto"/>
                <w:spacing w:val="7"/>
                <w:sz w:val="18"/>
                <w:szCs w:val="18"/>
                <w:highlight w:val="none"/>
              </w:rPr>
              <w:t>平排列</w:t>
            </w:r>
          </w:p>
        </w:tc>
        <w:tc>
          <w:tcPr>
            <w:tcW w:w="2445" w:type="dxa"/>
            <w:vAlign w:val="top"/>
          </w:tcPr>
          <w:p>
            <w:pPr>
              <w:spacing w:before="59" w:line="230" w:lineRule="auto"/>
              <w:ind w:left="873"/>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水</w:t>
            </w:r>
            <w:r>
              <w:rPr>
                <w:rFonts w:ascii="宋体" w:hAnsi="宋体" w:eastAsia="宋体" w:cs="宋体"/>
                <w:color w:val="auto"/>
                <w:spacing w:val="7"/>
                <w:sz w:val="18"/>
                <w:szCs w:val="18"/>
                <w:highlight w:val="none"/>
              </w:rPr>
              <w:t>平排列</w:t>
            </w:r>
          </w:p>
        </w:tc>
        <w:tc>
          <w:tcPr>
            <w:tcW w:w="2460" w:type="dxa"/>
            <w:tcBorders>
              <w:right w:val="single" w:color="000000" w:sz="10" w:space="0"/>
            </w:tcBorders>
            <w:vAlign w:val="top"/>
          </w:tcPr>
          <w:p>
            <w:pPr>
              <w:spacing w:before="59" w:line="230" w:lineRule="auto"/>
              <w:ind w:left="878"/>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水</w:t>
            </w:r>
            <w:r>
              <w:rPr>
                <w:rFonts w:ascii="宋体" w:hAnsi="宋体" w:eastAsia="宋体" w:cs="宋体"/>
                <w:color w:val="auto"/>
                <w:spacing w:val="7"/>
                <w:sz w:val="18"/>
                <w:szCs w:val="18"/>
                <w:highlight w:val="none"/>
              </w:rPr>
              <w:t>平排列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863" w:type="dxa"/>
            <w:tcBorders>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2" w:lineRule="exact"/>
              <w:ind w:left="0"/>
              <w:jc w:val="center"/>
              <w:textAlignment w:val="baseline"/>
              <w:rPr>
                <w:rFonts w:ascii="Times New Roman" w:hAnsi="Times New Roman" w:eastAsia="Times New Roman" w:cs="Times New Roman"/>
                <w:color w:val="auto"/>
                <w:sz w:val="18"/>
                <w:szCs w:val="18"/>
                <w:highlight w:val="none"/>
              </w:rPr>
            </w:pPr>
            <w:r>
              <w:rPr>
                <w:rFonts w:ascii="宋体" w:hAnsi="宋体" w:eastAsia="宋体" w:cs="宋体"/>
                <w:color w:val="auto"/>
                <w:spacing w:val="8"/>
                <w:position w:val="2"/>
                <w:sz w:val="18"/>
                <w:szCs w:val="18"/>
                <w:highlight w:val="none"/>
              </w:rPr>
              <w:t>对地最小距离</w:t>
            </w:r>
            <w:r>
              <w:rPr>
                <w:rFonts w:ascii="Times New Roman" w:hAnsi="Times New Roman" w:eastAsia="Times New Roman" w:cs="Times New Roman"/>
                <w:color w:val="auto"/>
                <w:spacing w:val="8"/>
                <w:position w:val="2"/>
                <w:sz w:val="18"/>
                <w:szCs w:val="18"/>
                <w:highlight w:val="none"/>
              </w:rPr>
              <w:t>(</w:t>
            </w:r>
            <w:r>
              <w:rPr>
                <w:rFonts w:ascii="Times New Roman" w:hAnsi="Times New Roman" w:eastAsia="Times New Roman" w:cs="Times New Roman"/>
                <w:color w:val="auto"/>
                <w:position w:val="2"/>
                <w:sz w:val="18"/>
                <w:szCs w:val="18"/>
                <w:highlight w:val="none"/>
              </w:rPr>
              <w:t>m</w:t>
            </w:r>
            <w:r>
              <w:rPr>
                <w:rFonts w:ascii="Times New Roman" w:hAnsi="Times New Roman" w:eastAsia="Times New Roman" w:cs="Times New Roman"/>
                <w:color w:val="auto"/>
                <w:spacing w:val="8"/>
                <w:position w:val="2"/>
                <w:sz w:val="18"/>
                <w:szCs w:val="18"/>
                <w:highlight w:val="none"/>
              </w:rPr>
              <w:t>)</w:t>
            </w:r>
          </w:p>
        </w:tc>
        <w:tc>
          <w:tcPr>
            <w:tcW w:w="2516" w:type="dxa"/>
            <w:vAlign w:val="center"/>
          </w:tcPr>
          <w:p>
            <w:pPr>
              <w:spacing w:line="237" w:lineRule="exact"/>
              <w:jc w:val="center"/>
              <w:rPr>
                <w:rFonts w:ascii="Times New Roman" w:hAnsi="Times New Roman" w:eastAsia="Times New Roman" w:cs="Times New Roman"/>
                <w:color w:val="auto"/>
                <w:sz w:val="18"/>
                <w:szCs w:val="18"/>
                <w:highlight w:val="none"/>
              </w:rPr>
            </w:pPr>
            <w:r>
              <w:rPr>
                <w:rFonts w:hint="eastAsia" w:ascii="Times New Roman" w:hAnsi="Times New Roman" w:eastAsia="宋体" w:cs="Times New Roman"/>
                <w:color w:val="auto"/>
                <w:spacing w:val="7"/>
                <w:position w:val="2"/>
                <w:sz w:val="18"/>
                <w:szCs w:val="18"/>
                <w:highlight w:val="none"/>
                <w:lang w:val="en-US" w:eastAsia="zh-CN"/>
              </w:rPr>
              <w:t>21</w:t>
            </w:r>
          </w:p>
        </w:tc>
        <w:tc>
          <w:tcPr>
            <w:tcW w:w="2445" w:type="dxa"/>
            <w:vAlign w:val="center"/>
          </w:tcPr>
          <w:p>
            <w:pPr>
              <w:spacing w:before="49" w:line="197" w:lineRule="auto"/>
              <w:ind w:left="1069"/>
              <w:jc w:val="center"/>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2</w:t>
            </w:r>
            <w:r>
              <w:rPr>
                <w:rFonts w:ascii="Times New Roman" w:hAnsi="Times New Roman" w:eastAsia="Times New Roman" w:cs="Times New Roman"/>
                <w:color w:val="auto"/>
                <w:spacing w:val="4"/>
                <w:sz w:val="18"/>
                <w:szCs w:val="18"/>
                <w:highlight w:val="none"/>
              </w:rPr>
              <w:t>8.6</w:t>
            </w:r>
          </w:p>
        </w:tc>
        <w:tc>
          <w:tcPr>
            <w:tcW w:w="2460" w:type="dxa"/>
            <w:tcBorders>
              <w:right w:val="single" w:color="000000" w:sz="10" w:space="0"/>
            </w:tcBorders>
            <w:vAlign w:val="center"/>
          </w:tcPr>
          <w:p>
            <w:pPr>
              <w:spacing w:before="49" w:line="197" w:lineRule="auto"/>
              <w:ind w:left="1077"/>
              <w:jc w:val="center"/>
              <w:rPr>
                <w:rFonts w:ascii="Times New Roman" w:hAnsi="Times New Roman" w:eastAsia="Times New Roman" w:cs="Times New Roman"/>
                <w:color w:val="auto"/>
                <w:sz w:val="18"/>
                <w:szCs w:val="18"/>
                <w:highlight w:val="none"/>
              </w:rPr>
            </w:pPr>
            <w:r>
              <w:rPr>
                <w:rFonts w:ascii="Times New Roman" w:hAnsi="Times New Roman" w:eastAsia="Times New Roman" w:cs="Times New Roman"/>
                <w:color w:val="auto"/>
                <w:spacing w:val="5"/>
                <w:sz w:val="18"/>
                <w:szCs w:val="18"/>
                <w:highlight w:val="none"/>
              </w:rPr>
              <w:t>2</w:t>
            </w:r>
            <w:r>
              <w:rPr>
                <w:rFonts w:ascii="Times New Roman" w:hAnsi="Times New Roman" w:eastAsia="Times New Roman" w:cs="Times New Roman"/>
                <w:color w:val="auto"/>
                <w:spacing w:val="4"/>
                <w:sz w:val="18"/>
                <w:szCs w:val="18"/>
                <w:highlight w:val="none"/>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863" w:type="dxa"/>
            <w:tcBorders>
              <w:left w:val="single" w:color="000000" w:sz="10" w:space="0"/>
            </w:tcBorders>
            <w:vAlign w:val="top"/>
          </w:tcPr>
          <w:p>
            <w:pPr>
              <w:spacing w:before="60" w:line="231" w:lineRule="auto"/>
              <w:ind w:left="704"/>
              <w:rPr>
                <w:rFonts w:ascii="宋体" w:hAnsi="宋体" w:eastAsia="宋体" w:cs="宋体"/>
                <w:color w:val="auto"/>
                <w:sz w:val="18"/>
                <w:szCs w:val="18"/>
                <w:highlight w:val="none"/>
              </w:rPr>
            </w:pPr>
            <w:r>
              <w:rPr>
                <w:rFonts w:ascii="宋体" w:hAnsi="宋体" w:eastAsia="宋体" w:cs="宋体"/>
                <w:color w:val="auto"/>
                <w:spacing w:val="8"/>
                <w:sz w:val="18"/>
                <w:szCs w:val="18"/>
                <w:highlight w:val="none"/>
              </w:rPr>
              <w:t>所在地区</w:t>
            </w:r>
          </w:p>
        </w:tc>
        <w:tc>
          <w:tcPr>
            <w:tcW w:w="2516" w:type="dxa"/>
            <w:vAlign w:val="top"/>
          </w:tcPr>
          <w:p>
            <w:pPr>
              <w:spacing w:before="60" w:line="230" w:lineRule="auto"/>
              <w:ind w:left="593"/>
              <w:rPr>
                <w:rFonts w:hint="eastAsia" w:ascii="宋体" w:hAnsi="宋体" w:eastAsia="宋体" w:cs="宋体"/>
                <w:color w:val="auto"/>
                <w:sz w:val="18"/>
                <w:szCs w:val="18"/>
                <w:highlight w:val="none"/>
                <w:lang w:eastAsia="zh-CN"/>
              </w:rPr>
            </w:pPr>
            <w:r>
              <w:rPr>
                <w:rFonts w:hint="eastAsia" w:ascii="宋体" w:hAnsi="宋体" w:eastAsia="宋体" w:cs="宋体"/>
                <w:color w:val="auto"/>
                <w:spacing w:val="9"/>
                <w:sz w:val="18"/>
                <w:szCs w:val="18"/>
                <w:highlight w:val="none"/>
                <w:lang w:eastAsia="zh-CN"/>
              </w:rPr>
              <w:t>黑龙江省大庆市</w:t>
            </w:r>
          </w:p>
        </w:tc>
        <w:tc>
          <w:tcPr>
            <w:tcW w:w="2445" w:type="dxa"/>
            <w:vAlign w:val="top"/>
          </w:tcPr>
          <w:p>
            <w:pPr>
              <w:spacing w:before="60" w:line="230" w:lineRule="auto"/>
              <w:ind w:left="704"/>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陕</w:t>
            </w:r>
            <w:r>
              <w:rPr>
                <w:rFonts w:ascii="宋体" w:hAnsi="宋体" w:eastAsia="宋体" w:cs="宋体"/>
                <w:color w:val="auto"/>
                <w:spacing w:val="6"/>
                <w:sz w:val="18"/>
                <w:szCs w:val="18"/>
                <w:highlight w:val="none"/>
              </w:rPr>
              <w:t>西省榆林市</w:t>
            </w:r>
          </w:p>
        </w:tc>
        <w:tc>
          <w:tcPr>
            <w:tcW w:w="2460" w:type="dxa"/>
            <w:tcBorders>
              <w:right w:val="single" w:color="000000" w:sz="10" w:space="0"/>
            </w:tcBorders>
            <w:vAlign w:val="top"/>
          </w:tcPr>
          <w:p>
            <w:pPr>
              <w:spacing w:before="60" w:line="230" w:lineRule="auto"/>
              <w:ind w:left="709"/>
              <w:rPr>
                <w:rFonts w:ascii="宋体" w:hAnsi="宋体" w:eastAsia="宋体" w:cs="宋体"/>
                <w:color w:val="auto"/>
                <w:sz w:val="18"/>
                <w:szCs w:val="18"/>
                <w:highlight w:val="none"/>
              </w:rPr>
            </w:pPr>
            <w:r>
              <w:rPr>
                <w:rFonts w:ascii="宋体" w:hAnsi="宋体" w:eastAsia="宋体" w:cs="宋体"/>
                <w:color w:val="auto"/>
                <w:spacing w:val="9"/>
                <w:sz w:val="18"/>
                <w:szCs w:val="18"/>
                <w:highlight w:val="none"/>
              </w:rPr>
              <w:t>陕</w:t>
            </w:r>
            <w:r>
              <w:rPr>
                <w:rFonts w:ascii="宋体" w:hAnsi="宋体" w:eastAsia="宋体" w:cs="宋体"/>
                <w:color w:val="auto"/>
                <w:spacing w:val="6"/>
                <w:sz w:val="18"/>
                <w:szCs w:val="18"/>
                <w:highlight w:val="none"/>
              </w:rPr>
              <w:t>西省榆林市</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类比对象与本工程线路的电压等级(均为500kV) 、架线方式、分裂数(均为4分裂) 、 导线排列方式(均为水平排列)均相同，导线型号、子导线分裂间距类似。类比工程断面处导线对地高度为28.6m，本工程导线对地最低高度约为21m ，类比线路高度与本工程抬高线高后导线对地高度基本相当。类比线路的选择是合理的。</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33" w:name="_Toc15751"/>
      <w:r>
        <w:rPr>
          <w:rFonts w:hint="eastAsia" w:ascii="Times New Roman" w:hAnsi="Times New Roman" w:eastAsia="宋体" w:cs="Times New Roman"/>
          <w:snapToGrid/>
          <w:kern w:val="0"/>
          <w:sz w:val="24"/>
          <w:szCs w:val="24"/>
          <w:highlight w:val="none"/>
          <w:lang w:val="en-US" w:eastAsia="zh-CN" w:bidi="ar"/>
        </w:rPr>
        <w:t>(2)类比监测因子</w:t>
      </w:r>
      <w:bookmarkEnd w:id="133"/>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监测断面上与线路中心不同距离测点地面1.5m 高度处的工频电场强度及工频磁感</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应强度。</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34" w:name="_Toc23742"/>
      <w:r>
        <w:rPr>
          <w:rFonts w:hint="eastAsia" w:ascii="Times New Roman" w:hAnsi="Times New Roman" w:eastAsia="宋体" w:cs="Times New Roman"/>
          <w:snapToGrid/>
          <w:kern w:val="0"/>
          <w:sz w:val="24"/>
          <w:szCs w:val="24"/>
          <w:highlight w:val="none"/>
          <w:lang w:val="en-US" w:eastAsia="zh-CN" w:bidi="ar"/>
        </w:rPr>
        <w:t>(3)类比监测布点</w:t>
      </w:r>
      <w:bookmarkEnd w:id="134"/>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500 千伏锦忻Ⅲ线、500 千伏府忻Ⅰ线单回输电线路最大弧垂导线对地高度28.6m，</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边导线距走廊中心距离15m 。断面监测起点为线路中心，测至距线路中心50m 处为止。</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35" w:name="_Toc11587"/>
      <w:r>
        <w:rPr>
          <w:rFonts w:hint="eastAsia" w:ascii="Times New Roman" w:hAnsi="Times New Roman" w:eastAsia="宋体" w:cs="Times New Roman"/>
          <w:snapToGrid/>
          <w:kern w:val="0"/>
          <w:sz w:val="24"/>
          <w:szCs w:val="24"/>
          <w:highlight w:val="none"/>
          <w:lang w:val="en-US" w:eastAsia="zh-CN" w:bidi="ar"/>
        </w:rPr>
        <w:t>(4)类比监测单位、监测时间、监测仪器</w:t>
      </w:r>
      <w:bookmarkEnd w:id="135"/>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1)监测单位</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西安志诚辐射环境检测有限公司。</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2)监测时间</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监测时间为 2021 年 11 月 14 日。</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3)监测仪器</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监测所用仪器见表 6. 1- 10。</w:t>
      </w:r>
    </w:p>
    <w:p>
      <w:pPr>
        <w:spacing w:before="180" w:line="230" w:lineRule="auto"/>
        <w:ind w:left="3321"/>
        <w:rPr>
          <w:rFonts w:ascii="黑体" w:hAnsi="黑体" w:eastAsia="黑体" w:cs="黑体"/>
          <w:color w:val="0000FF"/>
          <w:spacing w:val="-2"/>
          <w:sz w:val="20"/>
          <w:szCs w:val="20"/>
          <w:highlight w:val="none"/>
        </w:rPr>
      </w:pPr>
    </w:p>
    <w:p>
      <w:pPr>
        <w:spacing w:before="180" w:line="230" w:lineRule="auto"/>
        <w:ind w:left="3321"/>
        <w:rPr>
          <w:rFonts w:ascii="黑体" w:hAnsi="黑体" w:eastAsia="黑体" w:cs="黑体"/>
          <w:color w:val="auto"/>
          <w:sz w:val="20"/>
          <w:szCs w:val="20"/>
          <w:highlight w:val="none"/>
        </w:rPr>
      </w:pPr>
      <w:r>
        <w:rPr>
          <w:rFonts w:ascii="黑体" w:hAnsi="黑体" w:eastAsia="黑体" w:cs="黑体"/>
          <w:color w:val="auto"/>
          <w:spacing w:val="-2"/>
          <w:sz w:val="20"/>
          <w:szCs w:val="20"/>
          <w:highlight w:val="none"/>
        </w:rPr>
        <w:t xml:space="preserve">表 </w:t>
      </w:r>
      <w:r>
        <w:rPr>
          <w:rFonts w:ascii="Times New Roman" w:hAnsi="Times New Roman" w:eastAsia="Times New Roman" w:cs="Times New Roman"/>
          <w:color w:val="auto"/>
          <w:spacing w:val="-2"/>
          <w:sz w:val="20"/>
          <w:szCs w:val="20"/>
          <w:highlight w:val="none"/>
        </w:rPr>
        <w:t xml:space="preserve">6. 1- 10    </w:t>
      </w:r>
      <w:r>
        <w:rPr>
          <w:rFonts w:ascii="黑体" w:hAnsi="黑体" w:eastAsia="黑体" w:cs="黑体"/>
          <w:color w:val="auto"/>
          <w:spacing w:val="-2"/>
          <w:sz w:val="20"/>
          <w:szCs w:val="20"/>
          <w:highlight w:val="none"/>
        </w:rPr>
        <w:t>监测</w:t>
      </w:r>
      <w:r>
        <w:rPr>
          <w:rFonts w:ascii="黑体" w:hAnsi="黑体" w:eastAsia="黑体" w:cs="黑体"/>
          <w:color w:val="auto"/>
          <w:spacing w:val="-1"/>
          <w:sz w:val="20"/>
          <w:szCs w:val="20"/>
          <w:highlight w:val="none"/>
        </w:rPr>
        <w:t>仪器相关信息</w:t>
      </w:r>
    </w:p>
    <w:p>
      <w:pPr>
        <w:spacing w:line="128" w:lineRule="exact"/>
        <w:rPr>
          <w:color w:val="auto"/>
          <w:highlight w:val="none"/>
        </w:rPr>
      </w:pPr>
    </w:p>
    <w:tbl>
      <w:tblPr>
        <w:tblStyle w:val="20"/>
        <w:tblW w:w="928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75"/>
        <w:gridCol w:w="4111"/>
        <w:gridCol w:w="24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2675" w:type="dxa"/>
            <w:tcBorders>
              <w:left w:val="single" w:color="000000" w:sz="10" w:space="0"/>
            </w:tcBorders>
            <w:vAlign w:val="top"/>
          </w:tcPr>
          <w:p>
            <w:pPr>
              <w:spacing w:before="52" w:line="227" w:lineRule="auto"/>
              <w:ind w:left="431"/>
              <w:rPr>
                <w:rFonts w:ascii="宋体" w:hAnsi="宋体" w:eastAsia="宋体" w:cs="宋体"/>
                <w:color w:val="auto"/>
                <w:sz w:val="17"/>
                <w:szCs w:val="17"/>
                <w:highlight w:val="none"/>
              </w:rPr>
            </w:pPr>
            <w:r>
              <w:rPr>
                <w:rFonts w:ascii="宋体" w:hAnsi="宋体" w:eastAsia="宋体" w:cs="宋体"/>
                <w:color w:val="auto"/>
                <w:spacing w:val="11"/>
                <w:sz w:val="17"/>
                <w:szCs w:val="17"/>
                <w:highlight w:val="none"/>
              </w:rPr>
              <w:t>仪</w:t>
            </w:r>
            <w:r>
              <w:rPr>
                <w:rFonts w:ascii="宋体" w:hAnsi="宋体" w:eastAsia="宋体" w:cs="宋体"/>
                <w:color w:val="auto"/>
                <w:spacing w:val="9"/>
                <w:sz w:val="17"/>
                <w:szCs w:val="17"/>
                <w:highlight w:val="none"/>
              </w:rPr>
              <w:t>器名称、编号及型号</w:t>
            </w:r>
          </w:p>
        </w:tc>
        <w:tc>
          <w:tcPr>
            <w:tcW w:w="4111" w:type="dxa"/>
            <w:vAlign w:val="top"/>
          </w:tcPr>
          <w:p>
            <w:pPr>
              <w:spacing w:before="52" w:line="227" w:lineRule="auto"/>
              <w:ind w:left="1699"/>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检定部门</w:t>
            </w:r>
          </w:p>
        </w:tc>
        <w:tc>
          <w:tcPr>
            <w:tcW w:w="2499" w:type="dxa"/>
            <w:tcBorders>
              <w:right w:val="single" w:color="000000" w:sz="10" w:space="0"/>
            </w:tcBorders>
            <w:vAlign w:val="top"/>
          </w:tcPr>
          <w:p>
            <w:pPr>
              <w:spacing w:before="52" w:line="227" w:lineRule="auto"/>
              <w:ind w:left="896"/>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校准日期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2675" w:type="dxa"/>
            <w:tcBorders>
              <w:left w:val="single" w:color="000000" w:sz="10" w:space="0"/>
            </w:tcBorders>
            <w:vAlign w:val="top"/>
          </w:tcPr>
          <w:p>
            <w:pPr>
              <w:spacing w:before="27" w:line="252" w:lineRule="auto"/>
              <w:ind w:left="699" w:right="111" w:hanging="590"/>
              <w:rPr>
                <w:rFonts w:ascii="宋体" w:hAnsi="宋体" w:eastAsia="宋体" w:cs="宋体"/>
                <w:color w:val="auto"/>
                <w:sz w:val="17"/>
                <w:szCs w:val="17"/>
                <w:highlight w:val="none"/>
              </w:rPr>
            </w:pPr>
            <w:r>
              <w:rPr>
                <w:rFonts w:ascii="Times New Roman" w:hAnsi="Times New Roman" w:eastAsia="Times New Roman" w:cs="Times New Roman"/>
                <w:color w:val="auto"/>
                <w:sz w:val="17"/>
                <w:szCs w:val="17"/>
                <w:highlight w:val="none"/>
              </w:rPr>
              <w:t>SEM</w:t>
            </w:r>
            <w:r>
              <w:rPr>
                <w:rFonts w:ascii="Times New Roman" w:hAnsi="Times New Roman" w:eastAsia="Times New Roman" w:cs="Times New Roman"/>
                <w:color w:val="auto"/>
                <w:spacing w:val="8"/>
                <w:sz w:val="17"/>
                <w:szCs w:val="17"/>
                <w:highlight w:val="none"/>
              </w:rPr>
              <w:t>-</w:t>
            </w:r>
            <w:r>
              <w:rPr>
                <w:rFonts w:ascii="Times New Roman" w:hAnsi="Times New Roman" w:eastAsia="Times New Roman" w:cs="Times New Roman"/>
                <w:color w:val="auto"/>
                <w:spacing w:val="5"/>
                <w:sz w:val="17"/>
                <w:szCs w:val="17"/>
                <w:highlight w:val="none"/>
              </w:rPr>
              <w:t>6</w:t>
            </w:r>
            <w:r>
              <w:rPr>
                <w:rFonts w:ascii="Times New Roman" w:hAnsi="Times New Roman" w:eastAsia="Times New Roman" w:cs="Times New Roman"/>
                <w:color w:val="auto"/>
                <w:spacing w:val="4"/>
                <w:sz w:val="17"/>
                <w:szCs w:val="17"/>
                <w:highlight w:val="none"/>
              </w:rPr>
              <w:t xml:space="preserve">00  </w:t>
            </w:r>
            <w:r>
              <w:rPr>
                <w:rFonts w:ascii="宋体" w:hAnsi="宋体" w:eastAsia="宋体" w:cs="宋体"/>
                <w:color w:val="auto"/>
                <w:spacing w:val="4"/>
                <w:sz w:val="17"/>
                <w:szCs w:val="17"/>
                <w:highlight w:val="none"/>
              </w:rPr>
              <w:t xml:space="preserve">(探头 </w:t>
            </w:r>
            <w:r>
              <w:rPr>
                <w:rFonts w:ascii="Times New Roman" w:hAnsi="Times New Roman" w:eastAsia="Times New Roman" w:cs="Times New Roman"/>
                <w:color w:val="auto"/>
                <w:sz w:val="17"/>
                <w:szCs w:val="17"/>
                <w:highlight w:val="none"/>
              </w:rPr>
              <w:t>LF</w:t>
            </w:r>
            <w:r>
              <w:rPr>
                <w:rFonts w:ascii="Times New Roman" w:hAnsi="Times New Roman" w:eastAsia="Times New Roman" w:cs="Times New Roman"/>
                <w:color w:val="auto"/>
                <w:spacing w:val="4"/>
                <w:sz w:val="17"/>
                <w:szCs w:val="17"/>
                <w:highlight w:val="none"/>
              </w:rPr>
              <w:t>-01</w:t>
            </w:r>
            <w:r>
              <w:rPr>
                <w:rFonts w:ascii="宋体" w:hAnsi="宋体" w:eastAsia="宋体" w:cs="宋体"/>
                <w:color w:val="auto"/>
                <w:spacing w:val="4"/>
                <w:sz w:val="17"/>
                <w:szCs w:val="17"/>
                <w:highlight w:val="none"/>
              </w:rPr>
              <w:t>) 工频电</w:t>
            </w:r>
            <w:r>
              <w:rPr>
                <w:rFonts w:ascii="宋体" w:hAnsi="宋体" w:eastAsia="宋体" w:cs="宋体"/>
                <w:color w:val="auto"/>
                <w:sz w:val="17"/>
                <w:szCs w:val="17"/>
                <w:highlight w:val="none"/>
              </w:rPr>
              <w:t xml:space="preserve"> </w:t>
            </w:r>
            <w:r>
              <w:rPr>
                <w:rFonts w:ascii="宋体" w:hAnsi="宋体" w:eastAsia="宋体" w:cs="宋体"/>
                <w:color w:val="auto"/>
                <w:spacing w:val="9"/>
                <w:sz w:val="17"/>
                <w:szCs w:val="17"/>
                <w:highlight w:val="none"/>
              </w:rPr>
              <w:t>场和磁场分析仪</w:t>
            </w:r>
          </w:p>
        </w:tc>
        <w:tc>
          <w:tcPr>
            <w:tcW w:w="4111" w:type="dxa"/>
            <w:vAlign w:val="top"/>
          </w:tcPr>
          <w:p>
            <w:pPr>
              <w:spacing w:before="143" w:line="229" w:lineRule="auto"/>
              <w:ind w:left="1356"/>
              <w:rPr>
                <w:rFonts w:ascii="宋体" w:hAnsi="宋体" w:eastAsia="宋体" w:cs="宋体"/>
                <w:color w:val="auto"/>
                <w:sz w:val="17"/>
                <w:szCs w:val="17"/>
                <w:highlight w:val="none"/>
              </w:rPr>
            </w:pPr>
            <w:r>
              <w:rPr>
                <w:rFonts w:ascii="宋体" w:hAnsi="宋体" w:eastAsia="宋体" w:cs="宋体"/>
                <w:color w:val="auto"/>
                <w:spacing w:val="-12"/>
                <w:sz w:val="17"/>
                <w:szCs w:val="17"/>
                <w:highlight w:val="none"/>
              </w:rPr>
              <w:t>中</w:t>
            </w:r>
            <w:r>
              <w:rPr>
                <w:rFonts w:ascii="宋体" w:hAnsi="宋体" w:eastAsia="宋体" w:cs="宋体"/>
                <w:color w:val="auto"/>
                <w:spacing w:val="-9"/>
                <w:sz w:val="17"/>
                <w:szCs w:val="17"/>
                <w:highlight w:val="none"/>
              </w:rPr>
              <w:t>国计量科学研究院</w:t>
            </w:r>
          </w:p>
        </w:tc>
        <w:tc>
          <w:tcPr>
            <w:tcW w:w="2499" w:type="dxa"/>
            <w:tcBorders>
              <w:right w:val="single" w:color="000000" w:sz="10" w:space="0"/>
            </w:tcBorders>
            <w:vAlign w:val="top"/>
          </w:tcPr>
          <w:p>
            <w:pPr>
              <w:spacing w:before="143" w:line="230" w:lineRule="auto"/>
              <w:ind w:left="712"/>
              <w:rPr>
                <w:rFonts w:ascii="宋体" w:hAnsi="宋体" w:eastAsia="宋体" w:cs="宋体"/>
                <w:color w:val="auto"/>
                <w:sz w:val="17"/>
                <w:szCs w:val="17"/>
                <w:highlight w:val="none"/>
              </w:rPr>
            </w:pPr>
            <w:r>
              <w:rPr>
                <w:rFonts w:ascii="Times New Roman" w:hAnsi="Times New Roman" w:eastAsia="Times New Roman" w:cs="Times New Roman"/>
                <w:color w:val="auto"/>
                <w:spacing w:val="8"/>
                <w:sz w:val="17"/>
                <w:szCs w:val="17"/>
                <w:highlight w:val="none"/>
              </w:rPr>
              <w:t>2</w:t>
            </w:r>
            <w:r>
              <w:rPr>
                <w:rFonts w:ascii="Times New Roman" w:hAnsi="Times New Roman" w:eastAsia="Times New Roman" w:cs="Times New Roman"/>
                <w:color w:val="auto"/>
                <w:spacing w:val="6"/>
                <w:sz w:val="17"/>
                <w:szCs w:val="17"/>
                <w:highlight w:val="none"/>
              </w:rPr>
              <w:t>020</w:t>
            </w:r>
            <w:r>
              <w:rPr>
                <w:rFonts w:ascii="宋体" w:hAnsi="宋体" w:eastAsia="宋体" w:cs="宋体"/>
                <w:color w:val="auto"/>
                <w:spacing w:val="6"/>
                <w:sz w:val="17"/>
                <w:szCs w:val="17"/>
                <w:highlight w:val="none"/>
              </w:rPr>
              <w:t>年</w:t>
            </w:r>
            <w:r>
              <w:rPr>
                <w:rFonts w:ascii="Times New Roman" w:hAnsi="Times New Roman" w:eastAsia="Times New Roman" w:cs="Times New Roman"/>
                <w:color w:val="auto"/>
                <w:spacing w:val="6"/>
                <w:sz w:val="17"/>
                <w:szCs w:val="17"/>
                <w:highlight w:val="none"/>
              </w:rPr>
              <w:t>6</w:t>
            </w:r>
            <w:r>
              <w:rPr>
                <w:rFonts w:ascii="宋体" w:hAnsi="宋体" w:eastAsia="宋体" w:cs="宋体"/>
                <w:color w:val="auto"/>
                <w:spacing w:val="6"/>
                <w:sz w:val="17"/>
                <w:szCs w:val="17"/>
                <w:highlight w:val="none"/>
              </w:rPr>
              <w:t>月</w:t>
            </w:r>
            <w:r>
              <w:rPr>
                <w:rFonts w:ascii="Times New Roman" w:hAnsi="Times New Roman" w:eastAsia="Times New Roman" w:cs="Times New Roman"/>
                <w:color w:val="auto"/>
                <w:spacing w:val="6"/>
                <w:sz w:val="17"/>
                <w:szCs w:val="17"/>
                <w:highlight w:val="none"/>
              </w:rPr>
              <w:t>8</w:t>
            </w:r>
            <w:r>
              <w:rPr>
                <w:rFonts w:ascii="宋体" w:hAnsi="宋体" w:eastAsia="宋体" w:cs="宋体"/>
                <w:color w:val="auto"/>
                <w:spacing w:val="6"/>
                <w:sz w:val="17"/>
                <w:szCs w:val="17"/>
                <w:highlight w:val="none"/>
              </w:rPr>
              <w:t>日</w:t>
            </w:r>
          </w:p>
        </w:tc>
      </w:tr>
    </w:tbl>
    <w:p>
      <w:pPr>
        <w:spacing w:before="148" w:line="323" w:lineRule="exact"/>
        <w:ind w:left="612"/>
        <w:outlineLvl w:val="2"/>
        <w:rPr>
          <w:rFonts w:ascii="宋体" w:hAnsi="宋体" w:eastAsia="宋体" w:cs="宋体"/>
          <w:color w:val="auto"/>
          <w:sz w:val="23"/>
          <w:szCs w:val="23"/>
          <w:highlight w:val="none"/>
        </w:rPr>
      </w:pPr>
      <w:bookmarkStart w:id="136" w:name="_Toc18850"/>
      <w:bookmarkStart w:id="137" w:name="_Toc20945"/>
      <w:bookmarkStart w:id="138" w:name="_Toc11436"/>
      <w:bookmarkStart w:id="139" w:name="_Toc12872"/>
      <w:bookmarkStart w:id="140" w:name="_Toc18549"/>
      <w:r>
        <w:rPr>
          <w:rFonts w:ascii="Times New Roman" w:hAnsi="Times New Roman" w:eastAsia="Times New Roman" w:cs="Times New Roman"/>
          <w:color w:val="auto"/>
          <w:spacing w:val="12"/>
          <w:position w:val="3"/>
          <w:sz w:val="23"/>
          <w:szCs w:val="23"/>
          <w:highlight w:val="none"/>
        </w:rPr>
        <w:t>(</w:t>
      </w:r>
      <w:r>
        <w:rPr>
          <w:rFonts w:ascii="Times New Roman" w:hAnsi="Times New Roman" w:eastAsia="Times New Roman" w:cs="Times New Roman"/>
          <w:color w:val="auto"/>
          <w:spacing w:val="6"/>
          <w:position w:val="3"/>
          <w:sz w:val="23"/>
          <w:szCs w:val="23"/>
          <w:highlight w:val="none"/>
        </w:rPr>
        <w:t>5)</w:t>
      </w:r>
      <w:r>
        <w:rPr>
          <w:rFonts w:ascii="宋体" w:hAnsi="宋体" w:eastAsia="宋体" w:cs="宋体"/>
          <w:color w:val="auto"/>
          <w:spacing w:val="6"/>
          <w:position w:val="3"/>
          <w:sz w:val="23"/>
          <w:szCs w:val="23"/>
          <w:highlight w:val="none"/>
        </w:rPr>
        <w:t>类比监测工况</w:t>
      </w:r>
      <w:bookmarkEnd w:id="136"/>
      <w:bookmarkEnd w:id="137"/>
      <w:bookmarkEnd w:id="138"/>
      <w:bookmarkEnd w:id="139"/>
      <w:bookmarkEnd w:id="140"/>
    </w:p>
    <w:p>
      <w:pPr>
        <w:spacing w:before="189" w:line="227" w:lineRule="auto"/>
        <w:ind w:left="612"/>
        <w:rPr>
          <w:rFonts w:ascii="宋体" w:hAnsi="宋体" w:eastAsia="宋体" w:cs="宋体"/>
          <w:color w:val="auto"/>
          <w:sz w:val="23"/>
          <w:szCs w:val="23"/>
          <w:highlight w:val="none"/>
        </w:rPr>
      </w:pPr>
      <w:r>
        <w:rPr>
          <w:rFonts w:ascii="宋体" w:hAnsi="宋体" w:eastAsia="宋体" w:cs="宋体"/>
          <w:color w:val="auto"/>
          <w:spacing w:val="16"/>
          <w:sz w:val="23"/>
          <w:szCs w:val="23"/>
          <w:highlight w:val="none"/>
        </w:rPr>
        <w:t>类</w:t>
      </w:r>
      <w:r>
        <w:rPr>
          <w:rFonts w:ascii="宋体" w:hAnsi="宋体" w:eastAsia="宋体" w:cs="宋体"/>
          <w:color w:val="auto"/>
          <w:spacing w:val="8"/>
          <w:sz w:val="23"/>
          <w:szCs w:val="23"/>
          <w:highlight w:val="none"/>
        </w:rPr>
        <w:t>比验收监测运行工况见下表。</w:t>
      </w:r>
    </w:p>
    <w:p>
      <w:pPr>
        <w:spacing w:before="177" w:line="230" w:lineRule="auto"/>
        <w:ind w:left="3242"/>
        <w:rPr>
          <w:rFonts w:ascii="黑体" w:hAnsi="黑体" w:eastAsia="黑体" w:cs="黑体"/>
          <w:color w:val="auto"/>
          <w:sz w:val="20"/>
          <w:szCs w:val="20"/>
          <w:highlight w:val="none"/>
        </w:rPr>
      </w:pPr>
      <w:r>
        <w:rPr>
          <w:rFonts w:ascii="黑体" w:hAnsi="黑体" w:eastAsia="黑体" w:cs="黑体"/>
          <w:color w:val="auto"/>
          <w:spacing w:val="4"/>
          <w:sz w:val="20"/>
          <w:szCs w:val="20"/>
          <w:highlight w:val="none"/>
        </w:rPr>
        <w:t xml:space="preserve">表 </w:t>
      </w:r>
      <w:r>
        <w:rPr>
          <w:rFonts w:ascii="Times New Roman" w:hAnsi="Times New Roman" w:eastAsia="Times New Roman" w:cs="Times New Roman"/>
          <w:color w:val="auto"/>
          <w:spacing w:val="4"/>
          <w:sz w:val="20"/>
          <w:szCs w:val="20"/>
          <w:highlight w:val="none"/>
        </w:rPr>
        <w:t xml:space="preserve">6-4    </w:t>
      </w:r>
      <w:r>
        <w:rPr>
          <w:rFonts w:ascii="黑体" w:hAnsi="黑体" w:eastAsia="黑体" w:cs="黑体"/>
          <w:color w:val="auto"/>
          <w:spacing w:val="4"/>
          <w:sz w:val="20"/>
          <w:szCs w:val="20"/>
          <w:highlight w:val="none"/>
        </w:rPr>
        <w:t>监测期间运行工况情</w:t>
      </w:r>
      <w:r>
        <w:rPr>
          <w:rFonts w:ascii="黑体" w:hAnsi="黑体" w:eastAsia="黑体" w:cs="黑体"/>
          <w:color w:val="auto"/>
          <w:spacing w:val="1"/>
          <w:sz w:val="20"/>
          <w:szCs w:val="20"/>
          <w:highlight w:val="none"/>
        </w:rPr>
        <w:t>况</w:t>
      </w:r>
    </w:p>
    <w:p>
      <w:pPr>
        <w:spacing w:line="130" w:lineRule="exact"/>
        <w:rPr>
          <w:color w:val="auto"/>
          <w:highlight w:val="none"/>
        </w:rPr>
      </w:pPr>
    </w:p>
    <w:tbl>
      <w:tblPr>
        <w:tblStyle w:val="20"/>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7"/>
        <w:gridCol w:w="1876"/>
        <w:gridCol w:w="1884"/>
        <w:gridCol w:w="1770"/>
        <w:gridCol w:w="1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957" w:type="dxa"/>
            <w:tcBorders>
              <w:left w:val="single" w:color="000000" w:sz="10" w:space="0"/>
            </w:tcBorders>
            <w:vAlign w:val="top"/>
          </w:tcPr>
          <w:p>
            <w:pPr>
              <w:spacing w:before="51" w:line="225" w:lineRule="auto"/>
              <w:ind w:left="793"/>
              <w:rPr>
                <w:rFonts w:ascii="宋体" w:hAnsi="宋体" w:eastAsia="宋体" w:cs="宋体"/>
                <w:color w:val="auto"/>
                <w:sz w:val="17"/>
                <w:szCs w:val="17"/>
                <w:highlight w:val="none"/>
              </w:rPr>
            </w:pPr>
            <w:r>
              <w:rPr>
                <w:rFonts w:ascii="宋体" w:hAnsi="宋体" w:eastAsia="宋体" w:cs="宋体"/>
                <w:color w:val="auto"/>
                <w:spacing w:val="5"/>
                <w:sz w:val="17"/>
                <w:szCs w:val="17"/>
                <w:highlight w:val="none"/>
              </w:rPr>
              <w:t>名称</w:t>
            </w:r>
          </w:p>
        </w:tc>
        <w:tc>
          <w:tcPr>
            <w:tcW w:w="1876" w:type="dxa"/>
            <w:vAlign w:val="top"/>
          </w:tcPr>
          <w:p>
            <w:pPr>
              <w:spacing w:before="51" w:line="225" w:lineRule="auto"/>
              <w:ind w:left="418"/>
              <w:rPr>
                <w:rFonts w:ascii="宋体" w:hAnsi="宋体" w:eastAsia="宋体" w:cs="宋体"/>
                <w:color w:val="auto"/>
                <w:sz w:val="17"/>
                <w:szCs w:val="17"/>
                <w:highlight w:val="none"/>
              </w:rPr>
            </w:pPr>
            <w:r>
              <w:rPr>
                <w:rFonts w:ascii="宋体" w:hAnsi="宋体" w:eastAsia="宋体" w:cs="宋体"/>
                <w:color w:val="auto"/>
                <w:spacing w:val="3"/>
                <w:sz w:val="17"/>
                <w:szCs w:val="17"/>
                <w:highlight w:val="none"/>
              </w:rPr>
              <w:t>电压 (千伏)</w:t>
            </w:r>
          </w:p>
        </w:tc>
        <w:tc>
          <w:tcPr>
            <w:tcW w:w="1884" w:type="dxa"/>
            <w:vAlign w:val="top"/>
          </w:tcPr>
          <w:p>
            <w:pPr>
              <w:spacing w:before="16" w:line="242" w:lineRule="exact"/>
              <w:ind w:left="58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position w:val="2"/>
                <w:sz w:val="17"/>
                <w:szCs w:val="17"/>
                <w:highlight w:val="none"/>
              </w:rPr>
              <w:t>I</w:t>
            </w:r>
            <w:r>
              <w:rPr>
                <w:rFonts w:ascii="Times New Roman" w:hAnsi="Times New Roman" w:eastAsia="Times New Roman" w:cs="Times New Roman"/>
                <w:color w:val="auto"/>
                <w:spacing w:val="9"/>
                <w:position w:val="2"/>
                <w:sz w:val="17"/>
                <w:szCs w:val="17"/>
                <w:highlight w:val="none"/>
              </w:rPr>
              <w:t xml:space="preserve"> </w:t>
            </w:r>
            <w:r>
              <w:rPr>
                <w:rFonts w:ascii="宋体" w:hAnsi="宋体" w:eastAsia="宋体" w:cs="宋体"/>
                <w:color w:val="auto"/>
                <w:spacing w:val="6"/>
                <w:position w:val="2"/>
                <w:sz w:val="17"/>
                <w:szCs w:val="17"/>
                <w:highlight w:val="none"/>
              </w:rPr>
              <w:t>电流</w:t>
            </w:r>
            <w:r>
              <w:rPr>
                <w:rFonts w:ascii="Times New Roman" w:hAnsi="Times New Roman" w:eastAsia="Times New Roman" w:cs="Times New Roman"/>
                <w:color w:val="auto"/>
                <w:spacing w:val="6"/>
                <w:position w:val="2"/>
                <w:sz w:val="17"/>
                <w:szCs w:val="17"/>
                <w:highlight w:val="none"/>
              </w:rPr>
              <w:t>(</w:t>
            </w:r>
            <w:r>
              <w:rPr>
                <w:rFonts w:ascii="Times New Roman" w:hAnsi="Times New Roman" w:eastAsia="Times New Roman" w:cs="Times New Roman"/>
                <w:color w:val="auto"/>
                <w:position w:val="2"/>
                <w:sz w:val="17"/>
                <w:szCs w:val="17"/>
                <w:highlight w:val="none"/>
              </w:rPr>
              <w:t>A</w:t>
            </w:r>
            <w:r>
              <w:rPr>
                <w:rFonts w:ascii="Times New Roman" w:hAnsi="Times New Roman" w:eastAsia="Times New Roman" w:cs="Times New Roman"/>
                <w:color w:val="auto"/>
                <w:spacing w:val="6"/>
                <w:position w:val="2"/>
                <w:sz w:val="17"/>
                <w:szCs w:val="17"/>
                <w:highlight w:val="none"/>
              </w:rPr>
              <w:t>)</w:t>
            </w:r>
          </w:p>
        </w:tc>
        <w:tc>
          <w:tcPr>
            <w:tcW w:w="1770" w:type="dxa"/>
            <w:vAlign w:val="top"/>
          </w:tcPr>
          <w:p>
            <w:pPr>
              <w:spacing w:before="16" w:line="242" w:lineRule="exact"/>
              <w:ind w:left="23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position w:val="2"/>
                <w:sz w:val="17"/>
                <w:szCs w:val="17"/>
                <w:highlight w:val="none"/>
              </w:rPr>
              <w:t>P</w:t>
            </w:r>
            <w:r>
              <w:rPr>
                <w:rFonts w:ascii="Times New Roman" w:hAnsi="Times New Roman" w:eastAsia="Times New Roman" w:cs="Times New Roman"/>
                <w:color w:val="auto"/>
                <w:spacing w:val="10"/>
                <w:position w:val="2"/>
                <w:sz w:val="17"/>
                <w:szCs w:val="17"/>
                <w:highlight w:val="none"/>
              </w:rPr>
              <w:t xml:space="preserve"> </w:t>
            </w:r>
            <w:r>
              <w:rPr>
                <w:rFonts w:ascii="宋体" w:hAnsi="宋体" w:eastAsia="宋体" w:cs="宋体"/>
                <w:color w:val="auto"/>
                <w:spacing w:val="10"/>
                <w:position w:val="2"/>
                <w:sz w:val="17"/>
                <w:szCs w:val="17"/>
                <w:highlight w:val="none"/>
              </w:rPr>
              <w:t>有功功率</w:t>
            </w:r>
            <w:r>
              <w:rPr>
                <w:rFonts w:ascii="Times New Roman" w:hAnsi="Times New Roman" w:eastAsia="Times New Roman" w:cs="Times New Roman"/>
                <w:color w:val="auto"/>
                <w:spacing w:val="10"/>
                <w:position w:val="2"/>
                <w:sz w:val="17"/>
                <w:szCs w:val="17"/>
                <w:highlight w:val="none"/>
              </w:rPr>
              <w:t>(</w:t>
            </w:r>
            <w:r>
              <w:rPr>
                <w:rFonts w:ascii="Times New Roman" w:hAnsi="Times New Roman" w:eastAsia="Times New Roman" w:cs="Times New Roman"/>
                <w:color w:val="auto"/>
                <w:position w:val="2"/>
                <w:sz w:val="17"/>
                <w:szCs w:val="17"/>
                <w:highlight w:val="none"/>
              </w:rPr>
              <w:t>MW</w:t>
            </w:r>
            <w:r>
              <w:rPr>
                <w:rFonts w:ascii="Times New Roman" w:hAnsi="Times New Roman" w:eastAsia="Times New Roman" w:cs="Times New Roman"/>
                <w:color w:val="auto"/>
                <w:spacing w:val="10"/>
                <w:position w:val="2"/>
                <w:sz w:val="17"/>
                <w:szCs w:val="17"/>
                <w:highlight w:val="none"/>
              </w:rPr>
              <w:t>)</w:t>
            </w:r>
          </w:p>
        </w:tc>
        <w:tc>
          <w:tcPr>
            <w:tcW w:w="1795" w:type="dxa"/>
            <w:tcBorders>
              <w:right w:val="single" w:color="000000" w:sz="10" w:space="0"/>
            </w:tcBorders>
            <w:vAlign w:val="top"/>
          </w:tcPr>
          <w:p>
            <w:pPr>
              <w:spacing w:before="16" w:line="242" w:lineRule="exact"/>
              <w:ind w:left="19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position w:val="2"/>
                <w:sz w:val="17"/>
                <w:szCs w:val="17"/>
                <w:highlight w:val="none"/>
              </w:rPr>
              <w:t>Q</w:t>
            </w:r>
            <w:r>
              <w:rPr>
                <w:rFonts w:ascii="Times New Roman" w:hAnsi="Times New Roman" w:eastAsia="Times New Roman" w:cs="Times New Roman"/>
                <w:color w:val="auto"/>
                <w:spacing w:val="10"/>
                <w:position w:val="2"/>
                <w:sz w:val="17"/>
                <w:szCs w:val="17"/>
                <w:highlight w:val="none"/>
              </w:rPr>
              <w:t xml:space="preserve"> </w:t>
            </w:r>
            <w:r>
              <w:rPr>
                <w:rFonts w:ascii="宋体" w:hAnsi="宋体" w:eastAsia="宋体" w:cs="宋体"/>
                <w:color w:val="auto"/>
                <w:spacing w:val="7"/>
                <w:position w:val="2"/>
                <w:sz w:val="17"/>
                <w:szCs w:val="17"/>
                <w:highlight w:val="none"/>
              </w:rPr>
              <w:t>无功功率</w:t>
            </w:r>
            <w:r>
              <w:rPr>
                <w:rFonts w:ascii="Times New Roman" w:hAnsi="Times New Roman" w:eastAsia="Times New Roman" w:cs="Times New Roman"/>
                <w:color w:val="auto"/>
                <w:spacing w:val="7"/>
                <w:position w:val="2"/>
                <w:sz w:val="17"/>
                <w:szCs w:val="17"/>
                <w:highlight w:val="none"/>
              </w:rPr>
              <w:t>(</w:t>
            </w:r>
            <w:r>
              <w:rPr>
                <w:rFonts w:ascii="Times New Roman" w:hAnsi="Times New Roman" w:eastAsia="Times New Roman" w:cs="Times New Roman"/>
                <w:color w:val="auto"/>
                <w:position w:val="2"/>
                <w:sz w:val="17"/>
                <w:szCs w:val="17"/>
                <w:highlight w:val="none"/>
              </w:rPr>
              <w:t>MVar</w:t>
            </w:r>
            <w:r>
              <w:rPr>
                <w:rFonts w:ascii="Times New Roman" w:hAnsi="Times New Roman" w:eastAsia="Times New Roman" w:cs="Times New Roman"/>
                <w:color w:val="auto"/>
                <w:spacing w:val="7"/>
                <w:position w:val="2"/>
                <w:sz w:val="17"/>
                <w:szCs w:val="17"/>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1957" w:type="dxa"/>
            <w:tcBorders>
              <w:left w:val="single" w:color="000000" w:sz="10" w:space="0"/>
            </w:tcBorders>
            <w:vAlign w:val="top"/>
          </w:tcPr>
          <w:p>
            <w:pPr>
              <w:spacing w:before="32" w:line="221" w:lineRule="auto"/>
              <w:ind w:left="260"/>
              <w:rPr>
                <w:rFonts w:ascii="宋体" w:hAnsi="宋体" w:eastAsia="宋体" w:cs="宋体"/>
                <w:color w:val="auto"/>
                <w:sz w:val="17"/>
                <w:szCs w:val="17"/>
                <w:highlight w:val="none"/>
              </w:rPr>
            </w:pPr>
            <w:r>
              <w:rPr>
                <w:rFonts w:ascii="Times New Roman" w:hAnsi="Times New Roman" w:eastAsia="Times New Roman" w:cs="Times New Roman"/>
                <w:color w:val="auto"/>
                <w:spacing w:val="4"/>
                <w:sz w:val="17"/>
                <w:szCs w:val="17"/>
                <w:highlight w:val="none"/>
              </w:rPr>
              <w:t>50</w:t>
            </w:r>
            <w:r>
              <w:rPr>
                <w:rFonts w:ascii="Times New Roman" w:hAnsi="Times New Roman" w:eastAsia="Times New Roman" w:cs="Times New Roman"/>
                <w:color w:val="auto"/>
                <w:spacing w:val="2"/>
                <w:sz w:val="17"/>
                <w:szCs w:val="17"/>
                <w:highlight w:val="none"/>
              </w:rPr>
              <w:t xml:space="preserve">0 </w:t>
            </w:r>
            <w:r>
              <w:rPr>
                <w:rFonts w:ascii="宋体" w:hAnsi="宋体" w:eastAsia="宋体" w:cs="宋体"/>
                <w:color w:val="auto"/>
                <w:spacing w:val="2"/>
                <w:sz w:val="17"/>
                <w:szCs w:val="17"/>
                <w:highlight w:val="none"/>
              </w:rPr>
              <w:t xml:space="preserve">千伏锦忻 </w:t>
            </w:r>
            <w:r>
              <w:rPr>
                <w:rFonts w:ascii="Times New Roman" w:hAnsi="Times New Roman" w:eastAsia="Times New Roman" w:cs="Times New Roman"/>
                <w:color w:val="auto"/>
                <w:sz w:val="17"/>
                <w:szCs w:val="17"/>
                <w:highlight w:val="none"/>
              </w:rPr>
              <w:t>II</w:t>
            </w:r>
            <w:r>
              <w:rPr>
                <w:rFonts w:ascii="Times New Roman" w:hAnsi="Times New Roman" w:eastAsia="Times New Roman" w:cs="Times New Roman"/>
                <w:color w:val="auto"/>
                <w:spacing w:val="2"/>
                <w:sz w:val="17"/>
                <w:szCs w:val="17"/>
                <w:highlight w:val="none"/>
              </w:rPr>
              <w:t xml:space="preserve"> </w:t>
            </w:r>
            <w:r>
              <w:rPr>
                <w:rFonts w:ascii="宋体" w:hAnsi="宋体" w:eastAsia="宋体" w:cs="宋体"/>
                <w:color w:val="auto"/>
                <w:spacing w:val="2"/>
                <w:sz w:val="17"/>
                <w:szCs w:val="17"/>
                <w:highlight w:val="none"/>
              </w:rPr>
              <w:t>线</w:t>
            </w:r>
          </w:p>
        </w:tc>
        <w:tc>
          <w:tcPr>
            <w:tcW w:w="1876" w:type="dxa"/>
            <w:vAlign w:val="top"/>
          </w:tcPr>
          <w:p>
            <w:pPr>
              <w:spacing w:before="60" w:line="197" w:lineRule="auto"/>
              <w:ind w:left="69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37.60</w:t>
            </w:r>
          </w:p>
        </w:tc>
        <w:tc>
          <w:tcPr>
            <w:tcW w:w="1884" w:type="dxa"/>
            <w:vAlign w:val="top"/>
          </w:tcPr>
          <w:p>
            <w:pPr>
              <w:spacing w:before="61" w:line="197" w:lineRule="auto"/>
              <w:ind w:left="74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36.72</w:t>
            </w:r>
          </w:p>
        </w:tc>
        <w:tc>
          <w:tcPr>
            <w:tcW w:w="1770" w:type="dxa"/>
            <w:vAlign w:val="top"/>
          </w:tcPr>
          <w:p>
            <w:pPr>
              <w:spacing w:before="60" w:line="197" w:lineRule="auto"/>
              <w:ind w:left="61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1087.5</w:t>
            </w:r>
            <w:r>
              <w:rPr>
                <w:rFonts w:ascii="Times New Roman" w:hAnsi="Times New Roman" w:eastAsia="Times New Roman" w:cs="Times New Roman"/>
                <w:color w:val="auto"/>
                <w:spacing w:val="1"/>
                <w:sz w:val="17"/>
                <w:szCs w:val="17"/>
                <w:highlight w:val="none"/>
              </w:rPr>
              <w:t>0</w:t>
            </w:r>
          </w:p>
        </w:tc>
        <w:tc>
          <w:tcPr>
            <w:tcW w:w="1795" w:type="dxa"/>
            <w:tcBorders>
              <w:right w:val="single" w:color="000000" w:sz="10" w:space="0"/>
            </w:tcBorders>
            <w:vAlign w:val="top"/>
          </w:tcPr>
          <w:p>
            <w:pPr>
              <w:spacing w:before="61" w:line="197" w:lineRule="auto"/>
              <w:ind w:left="62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1042.5</w:t>
            </w:r>
            <w:r>
              <w:rPr>
                <w:rFonts w:ascii="Times New Roman" w:hAnsi="Times New Roman" w:eastAsia="Times New Roman" w:cs="Times New Roman"/>
                <w:color w:val="auto"/>
                <w:spacing w:val="1"/>
                <w:sz w:val="17"/>
                <w:szCs w:val="17"/>
                <w:highlight w:val="none"/>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957" w:type="dxa"/>
            <w:tcBorders>
              <w:left w:val="single" w:color="000000" w:sz="10" w:space="0"/>
            </w:tcBorders>
            <w:vAlign w:val="top"/>
          </w:tcPr>
          <w:p>
            <w:pPr>
              <w:spacing w:before="34" w:line="229" w:lineRule="auto"/>
              <w:ind w:left="228"/>
              <w:rPr>
                <w:rFonts w:ascii="宋体" w:hAnsi="宋体" w:eastAsia="宋体" w:cs="宋体"/>
                <w:color w:val="auto"/>
                <w:sz w:val="17"/>
                <w:szCs w:val="17"/>
                <w:highlight w:val="none"/>
              </w:rPr>
            </w:pPr>
            <w:r>
              <w:rPr>
                <w:rFonts w:ascii="Times New Roman" w:hAnsi="Times New Roman" w:eastAsia="Times New Roman" w:cs="Times New Roman"/>
                <w:color w:val="auto"/>
                <w:spacing w:val="4"/>
                <w:sz w:val="17"/>
                <w:szCs w:val="17"/>
                <w:highlight w:val="none"/>
              </w:rPr>
              <w:t>500</w:t>
            </w:r>
            <w:r>
              <w:rPr>
                <w:rFonts w:ascii="Times New Roman" w:hAnsi="Times New Roman" w:eastAsia="Times New Roman" w:cs="Times New Roman"/>
                <w:color w:val="auto"/>
                <w:spacing w:val="3"/>
                <w:sz w:val="17"/>
                <w:szCs w:val="17"/>
                <w:highlight w:val="none"/>
              </w:rPr>
              <w:t xml:space="preserve"> </w:t>
            </w:r>
            <w:r>
              <w:rPr>
                <w:rFonts w:ascii="宋体" w:hAnsi="宋体" w:eastAsia="宋体" w:cs="宋体"/>
                <w:color w:val="auto"/>
                <w:spacing w:val="2"/>
                <w:sz w:val="17"/>
                <w:szCs w:val="17"/>
                <w:highlight w:val="none"/>
              </w:rPr>
              <w:t xml:space="preserve">千伏锦忻 </w:t>
            </w:r>
            <w:r>
              <w:rPr>
                <w:rFonts w:ascii="Times New Roman" w:hAnsi="Times New Roman" w:eastAsia="Times New Roman" w:cs="Times New Roman"/>
                <w:color w:val="auto"/>
                <w:sz w:val="17"/>
                <w:szCs w:val="17"/>
                <w:highlight w:val="none"/>
              </w:rPr>
              <w:t>III</w:t>
            </w:r>
            <w:r>
              <w:rPr>
                <w:rFonts w:ascii="Times New Roman" w:hAnsi="Times New Roman" w:eastAsia="Times New Roman" w:cs="Times New Roman"/>
                <w:color w:val="auto"/>
                <w:spacing w:val="2"/>
                <w:sz w:val="17"/>
                <w:szCs w:val="17"/>
                <w:highlight w:val="none"/>
              </w:rPr>
              <w:t xml:space="preserve"> </w:t>
            </w:r>
            <w:r>
              <w:rPr>
                <w:rFonts w:ascii="宋体" w:hAnsi="宋体" w:eastAsia="宋体" w:cs="宋体"/>
                <w:color w:val="auto"/>
                <w:spacing w:val="2"/>
                <w:sz w:val="17"/>
                <w:szCs w:val="17"/>
                <w:highlight w:val="none"/>
              </w:rPr>
              <w:t>线</w:t>
            </w:r>
          </w:p>
        </w:tc>
        <w:tc>
          <w:tcPr>
            <w:tcW w:w="1876" w:type="dxa"/>
            <w:vAlign w:val="top"/>
          </w:tcPr>
          <w:p>
            <w:pPr>
              <w:spacing w:before="62" w:line="197" w:lineRule="auto"/>
              <w:ind w:left="69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37.01</w:t>
            </w:r>
          </w:p>
        </w:tc>
        <w:tc>
          <w:tcPr>
            <w:tcW w:w="1884" w:type="dxa"/>
            <w:vAlign w:val="top"/>
          </w:tcPr>
          <w:p>
            <w:pPr>
              <w:spacing w:before="62" w:line="197" w:lineRule="auto"/>
              <w:ind w:left="74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36.74</w:t>
            </w:r>
          </w:p>
        </w:tc>
        <w:tc>
          <w:tcPr>
            <w:tcW w:w="1770" w:type="dxa"/>
            <w:vAlign w:val="top"/>
          </w:tcPr>
          <w:p>
            <w:pPr>
              <w:spacing w:before="62" w:line="197" w:lineRule="auto"/>
              <w:ind w:left="61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1061.2</w:t>
            </w:r>
            <w:r>
              <w:rPr>
                <w:rFonts w:ascii="Times New Roman" w:hAnsi="Times New Roman" w:eastAsia="Times New Roman" w:cs="Times New Roman"/>
                <w:color w:val="auto"/>
                <w:spacing w:val="1"/>
                <w:sz w:val="17"/>
                <w:szCs w:val="17"/>
                <w:highlight w:val="none"/>
              </w:rPr>
              <w:t>5</w:t>
            </w:r>
          </w:p>
        </w:tc>
        <w:tc>
          <w:tcPr>
            <w:tcW w:w="1795" w:type="dxa"/>
            <w:tcBorders>
              <w:right w:val="single" w:color="000000" w:sz="10" w:space="0"/>
            </w:tcBorders>
            <w:vAlign w:val="top"/>
          </w:tcPr>
          <w:p>
            <w:pPr>
              <w:spacing w:before="62" w:line="197" w:lineRule="auto"/>
              <w:ind w:left="62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1016.2</w:t>
            </w:r>
            <w:r>
              <w:rPr>
                <w:rFonts w:ascii="Times New Roman" w:hAnsi="Times New Roman" w:eastAsia="Times New Roman" w:cs="Times New Roman"/>
                <w:color w:val="auto"/>
                <w:spacing w:val="1"/>
                <w:sz w:val="17"/>
                <w:szCs w:val="17"/>
                <w:highlight w:val="none"/>
              </w:rPr>
              <w:t>5</w:t>
            </w:r>
          </w:p>
        </w:tc>
      </w:tr>
    </w:tbl>
    <w:p>
      <w:pPr>
        <w:spacing w:line="319" w:lineRule="exact"/>
        <w:ind w:left="612"/>
        <w:outlineLvl w:val="2"/>
        <w:rPr>
          <w:rFonts w:ascii="宋体" w:hAnsi="宋体" w:eastAsia="宋体" w:cs="宋体"/>
          <w:color w:val="auto"/>
          <w:sz w:val="23"/>
          <w:szCs w:val="23"/>
          <w:highlight w:val="none"/>
        </w:rPr>
      </w:pPr>
      <w:bookmarkStart w:id="141" w:name="_Toc16747"/>
      <w:bookmarkStart w:id="142" w:name="_Toc20433"/>
      <w:bookmarkStart w:id="143" w:name="_Toc17157"/>
      <w:bookmarkStart w:id="144" w:name="_Toc2181"/>
      <w:bookmarkStart w:id="145" w:name="_Toc28417"/>
      <w:r>
        <w:rPr>
          <w:rFonts w:ascii="Times New Roman" w:hAnsi="Times New Roman" w:eastAsia="Times New Roman" w:cs="Times New Roman"/>
          <w:color w:val="auto"/>
          <w:spacing w:val="7"/>
          <w:position w:val="2"/>
          <w:sz w:val="23"/>
          <w:szCs w:val="23"/>
          <w:highlight w:val="none"/>
        </w:rPr>
        <w:t>(6)</w:t>
      </w:r>
      <w:r>
        <w:rPr>
          <w:rFonts w:ascii="宋体" w:hAnsi="宋体" w:eastAsia="宋体" w:cs="宋体"/>
          <w:color w:val="auto"/>
          <w:spacing w:val="7"/>
          <w:position w:val="2"/>
          <w:sz w:val="23"/>
          <w:szCs w:val="23"/>
          <w:highlight w:val="none"/>
        </w:rPr>
        <w:t>监测期环境条件</w:t>
      </w:r>
      <w:bookmarkEnd w:id="141"/>
      <w:bookmarkEnd w:id="142"/>
      <w:bookmarkEnd w:id="143"/>
      <w:bookmarkEnd w:id="144"/>
      <w:bookmarkEnd w:id="145"/>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监测在无雨、无雾、无雪的天气下进行。监测时环境湿度在 80%以下。天气：晴； 温度-2~4℃；湿度 38%~45%。</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46" w:name="_Toc20302"/>
      <w:r>
        <w:rPr>
          <w:rFonts w:hint="eastAsia" w:ascii="Times New Roman" w:hAnsi="Times New Roman" w:eastAsia="宋体" w:cs="Times New Roman"/>
          <w:snapToGrid/>
          <w:kern w:val="0"/>
          <w:sz w:val="24"/>
          <w:szCs w:val="24"/>
          <w:highlight w:val="none"/>
          <w:lang w:val="en-US" w:eastAsia="zh-CN" w:bidi="ar"/>
        </w:rPr>
        <w:t>(7)监测方法</w:t>
      </w:r>
      <w:bookmarkEnd w:id="146"/>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《交流输变电工程电磁环境监测方法(试行)》(HJ681-2013)。</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47" w:name="_Toc29213"/>
      <w:r>
        <w:rPr>
          <w:rFonts w:hint="eastAsia" w:ascii="Times New Roman" w:hAnsi="Times New Roman" w:eastAsia="宋体" w:cs="Times New Roman"/>
          <w:snapToGrid/>
          <w:kern w:val="0"/>
          <w:sz w:val="24"/>
          <w:szCs w:val="24"/>
          <w:highlight w:val="none"/>
          <w:lang w:val="en-US" w:eastAsia="zh-CN" w:bidi="ar"/>
        </w:rPr>
        <w:t>(8)类比监测结果分析</w:t>
      </w:r>
      <w:bookmarkEnd w:id="147"/>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陕西段类比监测结果如下表。</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500kV 锦忻Ⅲ线 J5077~Z5078 塔基南侧 (单回路，与锦忻Ⅱ线并行) 监测断面工频 电场强度测量值范围为( 121. 12~812.03 ) V/m ，工频磁感应强度测量值范围为(0. 579~0.3293) μT；锦忻Ⅲ线 J5077~Z5078 塔基北侧 (单回路，与锦忻Ⅱ线并行) 监测断面工频电场强度测量值范围为 (622. 12~2349.6) V/m ，工频磁感应强度测量值范 围为 (0. 1744~ 1.25) μT。</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500 千伏锦忻Ⅲ线 J5077~Z5078 塔基南侧 (单回路，与锦忻Ⅱ线并行) 监测断面中 边导线工频电场强度和工频磁感应强度均随着距离增大逐渐减少；500 千伏锦忻Ⅲ线 61J5077~Z5078 塔基北侧 (单回路，与锦忻Ⅱ线并行) 监测断面中边导线工频电场强度 和工频磁感应强度在0~ 15m 处随着距离增大而减小，15~50m 处随着距离增大而增大， 最大值均出现在50m 处。</w:t>
      </w:r>
    </w:p>
    <w:p>
      <w:pPr>
        <w:spacing w:before="1" w:line="231" w:lineRule="auto"/>
        <w:ind w:left="3743"/>
        <w:rPr>
          <w:rFonts w:ascii="黑体" w:hAnsi="黑体" w:eastAsia="黑体" w:cs="黑体"/>
          <w:color w:val="auto"/>
          <w:sz w:val="20"/>
          <w:szCs w:val="20"/>
          <w:highlight w:val="none"/>
        </w:rPr>
      </w:pPr>
      <w:r>
        <w:rPr>
          <w:rFonts w:ascii="黑体" w:hAnsi="黑体" w:eastAsia="黑体" w:cs="黑体"/>
          <w:color w:val="auto"/>
          <w:spacing w:val="-8"/>
          <w:sz w:val="20"/>
          <w:szCs w:val="20"/>
          <w:highlight w:val="none"/>
        </w:rPr>
        <w:t xml:space="preserve">表 </w:t>
      </w:r>
      <w:r>
        <w:rPr>
          <w:rFonts w:ascii="Times New Roman" w:hAnsi="Times New Roman" w:eastAsia="Times New Roman" w:cs="Times New Roman"/>
          <w:color w:val="auto"/>
          <w:spacing w:val="-7"/>
          <w:sz w:val="20"/>
          <w:szCs w:val="20"/>
          <w:highlight w:val="none"/>
        </w:rPr>
        <w:t>6</w:t>
      </w:r>
      <w:r>
        <w:rPr>
          <w:rFonts w:ascii="Times New Roman" w:hAnsi="Times New Roman" w:eastAsia="Times New Roman" w:cs="Times New Roman"/>
          <w:color w:val="auto"/>
          <w:spacing w:val="-4"/>
          <w:sz w:val="20"/>
          <w:szCs w:val="20"/>
          <w:highlight w:val="none"/>
        </w:rPr>
        <w:t xml:space="preserve">. 1- 11    </w:t>
      </w:r>
      <w:r>
        <w:rPr>
          <w:rFonts w:ascii="黑体" w:hAnsi="黑体" w:eastAsia="黑体" w:cs="黑体"/>
          <w:color w:val="auto"/>
          <w:spacing w:val="-4"/>
          <w:sz w:val="20"/>
          <w:szCs w:val="20"/>
          <w:highlight w:val="none"/>
        </w:rPr>
        <w:t>监测结果</w:t>
      </w:r>
    </w:p>
    <w:p>
      <w:pPr>
        <w:spacing w:line="126" w:lineRule="exact"/>
        <w:rPr>
          <w:color w:val="0000FF"/>
          <w:highlight w:val="none"/>
        </w:rPr>
      </w:pPr>
    </w:p>
    <w:tbl>
      <w:tblPr>
        <w:tblStyle w:val="20"/>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8"/>
        <w:gridCol w:w="1690"/>
        <w:gridCol w:w="2842"/>
        <w:gridCol w:w="1673"/>
        <w:gridCol w:w="17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1288" w:type="dxa"/>
            <w:tcBorders>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center"/>
              <w:textAlignment w:val="baseline"/>
              <w:rPr>
                <w:rFonts w:ascii="宋体" w:hAnsi="宋体" w:eastAsia="宋体" w:cs="宋体"/>
                <w:color w:val="auto"/>
                <w:sz w:val="17"/>
                <w:szCs w:val="17"/>
                <w:highlight w:val="none"/>
              </w:rPr>
            </w:pPr>
            <w:r>
              <w:rPr>
                <w:rFonts w:ascii="宋体" w:hAnsi="宋体" w:eastAsia="宋体" w:cs="宋体"/>
                <w:color w:val="auto"/>
                <w:spacing w:val="5"/>
                <w:sz w:val="17"/>
                <w:szCs w:val="17"/>
                <w:highlight w:val="none"/>
              </w:rPr>
              <w:t>线路</w:t>
            </w:r>
          </w:p>
        </w:tc>
        <w:tc>
          <w:tcPr>
            <w:tcW w:w="1690" w:type="dxa"/>
            <w:vAlign w:val="top"/>
          </w:tcPr>
          <w:p>
            <w:pPr>
              <w:spacing w:before="50" w:line="230" w:lineRule="auto"/>
              <w:ind w:left="483"/>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监测点位</w:t>
            </w:r>
          </w:p>
        </w:tc>
        <w:tc>
          <w:tcPr>
            <w:tcW w:w="2842" w:type="dxa"/>
            <w:vAlign w:val="top"/>
          </w:tcPr>
          <w:p>
            <w:pPr>
              <w:spacing w:before="17" w:line="243" w:lineRule="exact"/>
              <w:ind w:left="375"/>
              <w:rPr>
                <w:rFonts w:ascii="Times New Roman" w:hAnsi="Times New Roman" w:eastAsia="Times New Roman" w:cs="Times New Roman"/>
                <w:color w:val="auto"/>
                <w:sz w:val="17"/>
                <w:szCs w:val="17"/>
                <w:highlight w:val="none"/>
              </w:rPr>
            </w:pPr>
            <w:r>
              <w:rPr>
                <w:rFonts w:ascii="宋体" w:hAnsi="宋体" w:eastAsia="宋体" w:cs="宋体"/>
                <w:color w:val="auto"/>
                <w:spacing w:val="12"/>
                <w:position w:val="2"/>
                <w:sz w:val="17"/>
                <w:szCs w:val="17"/>
                <w:highlight w:val="none"/>
              </w:rPr>
              <w:t>监</w:t>
            </w:r>
            <w:r>
              <w:rPr>
                <w:rFonts w:ascii="宋体" w:hAnsi="宋体" w:eastAsia="宋体" w:cs="宋体"/>
                <w:color w:val="auto"/>
                <w:spacing w:val="8"/>
                <w:position w:val="2"/>
                <w:sz w:val="17"/>
                <w:szCs w:val="17"/>
                <w:highlight w:val="none"/>
              </w:rPr>
              <w:t>测位置</w:t>
            </w:r>
            <w:r>
              <w:rPr>
                <w:rFonts w:ascii="Times New Roman" w:hAnsi="Times New Roman" w:eastAsia="Times New Roman" w:cs="Times New Roman"/>
                <w:color w:val="auto"/>
                <w:spacing w:val="8"/>
                <w:position w:val="2"/>
                <w:sz w:val="17"/>
                <w:szCs w:val="17"/>
                <w:highlight w:val="none"/>
              </w:rPr>
              <w:t>(</w:t>
            </w:r>
            <w:r>
              <w:rPr>
                <w:rFonts w:ascii="宋体" w:hAnsi="宋体" w:eastAsia="宋体" w:cs="宋体"/>
                <w:color w:val="auto"/>
                <w:spacing w:val="8"/>
                <w:position w:val="2"/>
                <w:sz w:val="17"/>
                <w:szCs w:val="17"/>
                <w:highlight w:val="none"/>
              </w:rPr>
              <w:t>距线路中心距离</w:t>
            </w:r>
            <w:r>
              <w:rPr>
                <w:rFonts w:ascii="Times New Roman" w:hAnsi="Times New Roman" w:eastAsia="Times New Roman" w:cs="Times New Roman"/>
                <w:color w:val="auto"/>
                <w:spacing w:val="8"/>
                <w:position w:val="2"/>
                <w:sz w:val="17"/>
                <w:szCs w:val="17"/>
                <w:highlight w:val="none"/>
              </w:rPr>
              <w:t>)</w:t>
            </w:r>
          </w:p>
        </w:tc>
        <w:tc>
          <w:tcPr>
            <w:tcW w:w="1673" w:type="dxa"/>
            <w:vAlign w:val="top"/>
          </w:tcPr>
          <w:p>
            <w:pPr>
              <w:spacing w:before="17" w:line="243" w:lineRule="exact"/>
              <w:ind w:left="126"/>
              <w:rPr>
                <w:rFonts w:ascii="Times New Roman" w:hAnsi="Times New Roman" w:eastAsia="Times New Roman" w:cs="Times New Roman"/>
                <w:color w:val="auto"/>
                <w:sz w:val="17"/>
                <w:szCs w:val="17"/>
                <w:highlight w:val="none"/>
              </w:rPr>
            </w:pPr>
            <w:r>
              <w:rPr>
                <w:rFonts w:ascii="宋体" w:hAnsi="宋体" w:eastAsia="宋体" w:cs="宋体"/>
                <w:color w:val="auto"/>
                <w:spacing w:val="6"/>
                <w:position w:val="1"/>
                <w:sz w:val="17"/>
                <w:szCs w:val="17"/>
                <w:highlight w:val="none"/>
              </w:rPr>
              <w:t>工</w:t>
            </w:r>
            <w:r>
              <w:rPr>
                <w:rFonts w:ascii="宋体" w:hAnsi="宋体" w:eastAsia="宋体" w:cs="宋体"/>
                <w:color w:val="auto"/>
                <w:spacing w:val="5"/>
                <w:position w:val="1"/>
                <w:sz w:val="17"/>
                <w:szCs w:val="17"/>
                <w:highlight w:val="none"/>
              </w:rPr>
              <w:t>频</w:t>
            </w:r>
            <w:r>
              <w:rPr>
                <w:rFonts w:ascii="宋体" w:hAnsi="宋体" w:eastAsia="宋体" w:cs="宋体"/>
                <w:color w:val="auto"/>
                <w:spacing w:val="3"/>
                <w:position w:val="1"/>
                <w:sz w:val="17"/>
                <w:szCs w:val="17"/>
                <w:highlight w:val="none"/>
              </w:rPr>
              <w:t xml:space="preserve">电场强度 </w:t>
            </w:r>
            <w:r>
              <w:rPr>
                <w:rFonts w:ascii="Times New Roman" w:hAnsi="Times New Roman" w:eastAsia="Times New Roman" w:cs="Times New Roman"/>
                <w:color w:val="auto"/>
                <w:position w:val="1"/>
                <w:sz w:val="17"/>
                <w:szCs w:val="17"/>
                <w:highlight w:val="none"/>
              </w:rPr>
              <w:t>V</w:t>
            </w:r>
            <w:r>
              <w:rPr>
                <w:rFonts w:ascii="Times New Roman" w:hAnsi="Times New Roman" w:eastAsia="Times New Roman" w:cs="Times New Roman"/>
                <w:color w:val="auto"/>
                <w:spacing w:val="3"/>
                <w:position w:val="1"/>
                <w:sz w:val="17"/>
                <w:szCs w:val="17"/>
                <w:highlight w:val="none"/>
              </w:rPr>
              <w:t>/</w:t>
            </w:r>
            <w:r>
              <w:rPr>
                <w:rFonts w:ascii="Times New Roman" w:hAnsi="Times New Roman" w:eastAsia="Times New Roman" w:cs="Times New Roman"/>
                <w:color w:val="auto"/>
                <w:position w:val="1"/>
                <w:sz w:val="17"/>
                <w:szCs w:val="17"/>
                <w:highlight w:val="none"/>
              </w:rPr>
              <w:t>m</w:t>
            </w:r>
          </w:p>
        </w:tc>
        <w:tc>
          <w:tcPr>
            <w:tcW w:w="1789" w:type="dxa"/>
            <w:tcBorders>
              <w:right w:val="single" w:color="000000" w:sz="10" w:space="0"/>
            </w:tcBorders>
            <w:vAlign w:val="top"/>
          </w:tcPr>
          <w:p>
            <w:pPr>
              <w:spacing w:before="50" w:line="224" w:lineRule="auto"/>
              <w:ind w:left="171"/>
              <w:rPr>
                <w:rFonts w:ascii="Times New Roman" w:hAnsi="Times New Roman" w:eastAsia="Times New Roman" w:cs="Times New Roman"/>
                <w:color w:val="auto"/>
                <w:sz w:val="17"/>
                <w:szCs w:val="17"/>
                <w:highlight w:val="none"/>
              </w:rPr>
            </w:pPr>
            <w:r>
              <w:rPr>
                <w:rFonts w:ascii="宋体" w:hAnsi="宋体" w:eastAsia="宋体" w:cs="宋体"/>
                <w:color w:val="auto"/>
                <w:spacing w:val="9"/>
                <w:sz w:val="17"/>
                <w:szCs w:val="17"/>
                <w:highlight w:val="none"/>
              </w:rPr>
              <w:t>工频磁感应强度</w:t>
            </w:r>
            <w:r>
              <w:rPr>
                <w:rFonts w:ascii="Times New Roman" w:hAnsi="Times New Roman" w:eastAsia="Times New Roman" w:cs="Times New Roman"/>
                <w:color w:val="auto"/>
                <w:spacing w:val="8"/>
                <w:sz w:val="17"/>
                <w:szCs w:val="17"/>
                <w:highlight w:val="none"/>
              </w:rPr>
              <w:t>μ</w:t>
            </w:r>
            <w:r>
              <w:rPr>
                <w:rFonts w:ascii="Times New Roman" w:hAnsi="Times New Roman" w:eastAsia="Times New Roman" w:cs="Times New Roman"/>
                <w:color w:val="auto"/>
                <w:sz w:val="17"/>
                <w:szCs w:val="17"/>
                <w:highlight w:val="none"/>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 w:hRule="atLeast"/>
        </w:trPr>
        <w:tc>
          <w:tcPr>
            <w:tcW w:w="1288" w:type="dxa"/>
            <w:vMerge w:val="restart"/>
            <w:tcBorders>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9" w:lineRule="auto"/>
              <w:ind w:left="0"/>
              <w:jc w:val="center"/>
              <w:textAlignment w:val="baseline"/>
              <w:rPr>
                <w:rFonts w:ascii="宋体" w:hAnsi="宋体" w:eastAsia="宋体" w:cs="宋体"/>
                <w:color w:val="auto"/>
                <w:sz w:val="17"/>
                <w:szCs w:val="17"/>
                <w:highlight w:val="none"/>
              </w:rPr>
            </w:pPr>
            <w:r>
              <w:rPr>
                <w:rFonts w:ascii="Times New Roman" w:hAnsi="Times New Roman" w:eastAsia="Times New Roman" w:cs="Times New Roman"/>
                <w:color w:val="auto"/>
                <w:spacing w:val="6"/>
                <w:sz w:val="17"/>
                <w:szCs w:val="17"/>
                <w:highlight w:val="none"/>
              </w:rPr>
              <w:t xml:space="preserve">500 </w:t>
            </w:r>
            <w:r>
              <w:rPr>
                <w:rFonts w:ascii="宋体" w:hAnsi="宋体" w:eastAsia="宋体" w:cs="宋体"/>
                <w:color w:val="auto"/>
                <w:spacing w:val="6"/>
                <w:sz w:val="17"/>
                <w:szCs w:val="17"/>
                <w:highlight w:val="none"/>
              </w:rPr>
              <w:t>千伏锦忻</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center"/>
              <w:textAlignment w:val="baseline"/>
              <w:rPr>
                <w:rFonts w:ascii="宋体" w:hAnsi="宋体" w:eastAsia="宋体" w:cs="宋体"/>
                <w:color w:val="auto"/>
                <w:sz w:val="17"/>
                <w:szCs w:val="17"/>
                <w:highlight w:val="none"/>
              </w:rPr>
            </w:pPr>
            <w:r>
              <w:rPr>
                <w:rFonts w:ascii="宋体" w:hAnsi="宋体" w:eastAsia="宋体" w:cs="宋体"/>
                <w:color w:val="auto"/>
                <w:spacing w:val="7"/>
                <w:sz w:val="17"/>
                <w:szCs w:val="17"/>
                <w:highlight w:val="none"/>
              </w:rPr>
              <w:t>Ⅲ</w:t>
            </w:r>
            <w:r>
              <w:rPr>
                <w:rFonts w:ascii="宋体" w:hAnsi="宋体" w:eastAsia="宋体" w:cs="宋体"/>
                <w:color w:val="auto"/>
                <w:spacing w:val="6"/>
                <w:sz w:val="17"/>
                <w:szCs w:val="17"/>
                <w:highlight w:val="none"/>
              </w:rPr>
              <w:t>线</w:t>
            </w:r>
          </w:p>
          <w:p>
            <w:pPr>
              <w:keepNext w:val="0"/>
              <w:keepLines w:val="0"/>
              <w:pageBreakBefore w:val="0"/>
              <w:widowControl/>
              <w:kinsoku w:val="0"/>
              <w:wordWrap/>
              <w:overflowPunct/>
              <w:topLinePunct w:val="0"/>
              <w:autoSpaceDE w:val="0"/>
              <w:autoSpaceDN w:val="0"/>
              <w:bidi w:val="0"/>
              <w:adjustRightInd w:val="0"/>
              <w:snapToGrid w:val="0"/>
              <w:spacing w:line="197" w:lineRule="auto"/>
              <w:ind w:left="0"/>
              <w:jc w:val="center"/>
              <w:textAlignment w:val="baseline"/>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J</w:t>
            </w:r>
            <w:r>
              <w:rPr>
                <w:rFonts w:ascii="Times New Roman" w:hAnsi="Times New Roman" w:eastAsia="Times New Roman" w:cs="Times New Roman"/>
                <w:color w:val="auto"/>
                <w:spacing w:val="6"/>
                <w:sz w:val="17"/>
                <w:szCs w:val="17"/>
                <w:highlight w:val="none"/>
              </w:rPr>
              <w:t>5077~</w:t>
            </w:r>
            <w:r>
              <w:rPr>
                <w:rFonts w:ascii="Times New Roman" w:hAnsi="Times New Roman" w:eastAsia="Times New Roman" w:cs="Times New Roman"/>
                <w:color w:val="auto"/>
                <w:sz w:val="17"/>
                <w:szCs w:val="17"/>
                <w:highlight w:val="none"/>
              </w:rPr>
              <w:t>Z</w:t>
            </w:r>
            <w:r>
              <w:rPr>
                <w:rFonts w:ascii="Times New Roman" w:hAnsi="Times New Roman" w:eastAsia="Times New Roman" w:cs="Times New Roman"/>
                <w:color w:val="auto"/>
                <w:spacing w:val="6"/>
                <w:sz w:val="17"/>
                <w:szCs w:val="17"/>
                <w:highlight w:val="none"/>
              </w:rPr>
              <w:t>507</w:t>
            </w:r>
            <w:r>
              <w:rPr>
                <w:rFonts w:ascii="Times New Roman" w:hAnsi="Times New Roman" w:eastAsia="Times New Roman" w:cs="Times New Roman"/>
                <w:color w:val="auto"/>
                <w:spacing w:val="5"/>
                <w:sz w:val="17"/>
                <w:szCs w:val="17"/>
                <w:highlight w:val="none"/>
              </w:rPr>
              <w:t>8</w:t>
            </w:r>
          </w:p>
        </w:tc>
        <w:tc>
          <w:tcPr>
            <w:tcW w:w="1690" w:type="dxa"/>
            <w:vMerge w:val="restart"/>
            <w:vAlign w:val="center"/>
          </w:tcPr>
          <w:p>
            <w:pPr>
              <w:spacing w:before="56" w:line="230" w:lineRule="auto"/>
              <w:ind w:left="570"/>
              <w:jc w:val="both"/>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边导</w:t>
            </w:r>
            <w:r>
              <w:rPr>
                <w:rFonts w:ascii="宋体" w:hAnsi="宋体" w:eastAsia="宋体" w:cs="宋体"/>
                <w:color w:val="auto"/>
                <w:spacing w:val="7"/>
                <w:sz w:val="17"/>
                <w:szCs w:val="17"/>
                <w:highlight w:val="none"/>
              </w:rPr>
              <w:t>线</w:t>
            </w:r>
          </w:p>
        </w:tc>
        <w:tc>
          <w:tcPr>
            <w:tcW w:w="2842" w:type="dxa"/>
            <w:vAlign w:val="top"/>
          </w:tcPr>
          <w:p>
            <w:pPr>
              <w:spacing w:before="44" w:line="197" w:lineRule="auto"/>
              <w:ind w:left="130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0</w:t>
            </w:r>
            <w:r>
              <w:rPr>
                <w:rFonts w:ascii="Times New Roman" w:hAnsi="Times New Roman" w:eastAsia="Times New Roman" w:cs="Times New Roman"/>
                <w:color w:val="auto"/>
                <w:sz w:val="17"/>
                <w:szCs w:val="17"/>
                <w:highlight w:val="none"/>
              </w:rPr>
              <w:t>m</w:t>
            </w:r>
          </w:p>
        </w:tc>
        <w:tc>
          <w:tcPr>
            <w:tcW w:w="1673" w:type="dxa"/>
            <w:vAlign w:val="top"/>
          </w:tcPr>
          <w:p>
            <w:pPr>
              <w:spacing w:before="45" w:line="197" w:lineRule="auto"/>
              <w:ind w:left="60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812.0</w:t>
            </w:r>
            <w:r>
              <w:rPr>
                <w:rFonts w:ascii="Times New Roman" w:hAnsi="Times New Roman" w:eastAsia="Times New Roman" w:cs="Times New Roman"/>
                <w:color w:val="auto"/>
                <w:spacing w:val="2"/>
                <w:sz w:val="17"/>
                <w:szCs w:val="17"/>
                <w:highlight w:val="none"/>
              </w:rPr>
              <w:t>3</w:t>
            </w:r>
          </w:p>
        </w:tc>
        <w:tc>
          <w:tcPr>
            <w:tcW w:w="1789" w:type="dxa"/>
            <w:tcBorders>
              <w:right w:val="single" w:color="000000" w:sz="10" w:space="0"/>
            </w:tcBorders>
            <w:vAlign w:val="top"/>
          </w:tcPr>
          <w:p>
            <w:pPr>
              <w:spacing w:before="45"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.3293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4" w:line="182" w:lineRule="auto"/>
              <w:ind w:left="132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1</w:t>
            </w:r>
            <w:r>
              <w:rPr>
                <w:rFonts w:ascii="Times New Roman" w:hAnsi="Times New Roman" w:eastAsia="Times New Roman" w:cs="Times New Roman"/>
                <w:color w:val="auto"/>
                <w:spacing w:val="-3"/>
                <w:sz w:val="17"/>
                <w:szCs w:val="17"/>
                <w:highlight w:val="none"/>
              </w:rPr>
              <w:t>m</w:t>
            </w:r>
          </w:p>
        </w:tc>
        <w:tc>
          <w:tcPr>
            <w:tcW w:w="1673" w:type="dxa"/>
            <w:vAlign w:val="top"/>
          </w:tcPr>
          <w:p>
            <w:pPr>
              <w:spacing w:before="44" w:line="182" w:lineRule="auto"/>
              <w:ind w:left="60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74</w:t>
            </w:r>
            <w:r>
              <w:rPr>
                <w:rFonts w:ascii="Times New Roman" w:hAnsi="Times New Roman" w:eastAsia="Times New Roman" w:cs="Times New Roman"/>
                <w:color w:val="auto"/>
                <w:spacing w:val="2"/>
                <w:sz w:val="17"/>
                <w:szCs w:val="17"/>
                <w:highlight w:val="none"/>
              </w:rPr>
              <w:t>5 11</w:t>
            </w:r>
          </w:p>
        </w:tc>
        <w:tc>
          <w:tcPr>
            <w:tcW w:w="1789" w:type="dxa"/>
            <w:tcBorders>
              <w:right w:val="single" w:color="000000" w:sz="10" w:space="0"/>
            </w:tcBorders>
            <w:vAlign w:val="top"/>
          </w:tcPr>
          <w:p>
            <w:pPr>
              <w:spacing w:before="44" w:line="182"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 xml:space="preserve"> 3226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65" w:line="197" w:lineRule="auto"/>
              <w:ind w:left="1307"/>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0"/>
                <w:sz w:val="17"/>
                <w:szCs w:val="17"/>
                <w:highlight w:val="none"/>
              </w:rPr>
              <w:t>2</w:t>
            </w:r>
            <w:r>
              <w:rPr>
                <w:rFonts w:ascii="Times New Roman" w:hAnsi="Times New Roman" w:eastAsia="Times New Roman" w:cs="Times New Roman"/>
                <w:color w:val="auto"/>
                <w:sz w:val="17"/>
                <w:szCs w:val="17"/>
                <w:highlight w:val="none"/>
              </w:rPr>
              <w:t>m</w:t>
            </w:r>
          </w:p>
        </w:tc>
        <w:tc>
          <w:tcPr>
            <w:tcW w:w="1673" w:type="dxa"/>
            <w:vAlign w:val="top"/>
          </w:tcPr>
          <w:p>
            <w:pPr>
              <w:spacing w:before="65" w:line="197" w:lineRule="auto"/>
              <w:ind w:left="59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7</w:t>
            </w:r>
            <w:r>
              <w:rPr>
                <w:rFonts w:ascii="Times New Roman" w:hAnsi="Times New Roman" w:eastAsia="Times New Roman" w:cs="Times New Roman"/>
                <w:color w:val="auto"/>
                <w:spacing w:val="3"/>
                <w:sz w:val="17"/>
                <w:szCs w:val="17"/>
                <w:highlight w:val="none"/>
              </w:rPr>
              <w:t>13.08</w:t>
            </w:r>
          </w:p>
        </w:tc>
        <w:tc>
          <w:tcPr>
            <w:tcW w:w="1789" w:type="dxa"/>
            <w:tcBorders>
              <w:right w:val="single" w:color="000000" w:sz="10" w:space="0"/>
            </w:tcBorders>
            <w:vAlign w:val="top"/>
          </w:tcPr>
          <w:p>
            <w:pPr>
              <w:spacing w:before="65"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.3210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 w:hRule="atLeast"/>
        </w:trPr>
        <w:tc>
          <w:tcPr>
            <w:tcW w:w="1288" w:type="dxa"/>
            <w:vMerge w:val="continue"/>
            <w:tcBorders>
              <w:top w:val="nil"/>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8" w:line="197" w:lineRule="auto"/>
              <w:ind w:left="131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3</w:t>
            </w:r>
            <w:r>
              <w:rPr>
                <w:rFonts w:ascii="Times New Roman" w:hAnsi="Times New Roman" w:eastAsia="Times New Roman" w:cs="Times New Roman"/>
                <w:color w:val="auto"/>
                <w:sz w:val="17"/>
                <w:szCs w:val="17"/>
                <w:highlight w:val="none"/>
              </w:rPr>
              <w:t>m</w:t>
            </w:r>
          </w:p>
        </w:tc>
        <w:tc>
          <w:tcPr>
            <w:tcW w:w="1673" w:type="dxa"/>
            <w:vAlign w:val="top"/>
          </w:tcPr>
          <w:p>
            <w:pPr>
              <w:spacing w:before="48" w:line="197" w:lineRule="auto"/>
              <w:ind w:left="6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6</w:t>
            </w:r>
            <w:r>
              <w:rPr>
                <w:rFonts w:ascii="Times New Roman" w:hAnsi="Times New Roman" w:eastAsia="Times New Roman" w:cs="Times New Roman"/>
                <w:color w:val="auto"/>
                <w:spacing w:val="3"/>
                <w:sz w:val="17"/>
                <w:szCs w:val="17"/>
                <w:highlight w:val="none"/>
              </w:rPr>
              <w:t>37.81</w:t>
            </w:r>
          </w:p>
        </w:tc>
        <w:tc>
          <w:tcPr>
            <w:tcW w:w="1789" w:type="dxa"/>
            <w:tcBorders>
              <w:right w:val="single" w:color="000000" w:sz="10" w:space="0"/>
            </w:tcBorders>
            <w:vAlign w:val="top"/>
          </w:tcPr>
          <w:p>
            <w:pPr>
              <w:spacing w:before="48"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.3176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288" w:type="dxa"/>
            <w:vMerge w:val="restart"/>
            <w:tcBorders>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center"/>
              <w:textAlignment w:val="baseline"/>
              <w:rPr>
                <w:rFonts w:ascii="宋体" w:hAnsi="宋体" w:eastAsia="宋体" w:cs="宋体"/>
                <w:color w:val="auto"/>
                <w:sz w:val="17"/>
                <w:szCs w:val="17"/>
                <w:highlight w:val="none"/>
              </w:rPr>
            </w:pPr>
            <w:r>
              <w:rPr>
                <w:rFonts w:ascii="宋体" w:hAnsi="宋体" w:eastAsia="宋体" w:cs="宋体"/>
                <w:color w:val="auto"/>
                <w:spacing w:val="5"/>
                <w:sz w:val="17"/>
                <w:szCs w:val="17"/>
                <w:highlight w:val="none"/>
              </w:rPr>
              <w:t>塔基南侧 (</w:t>
            </w:r>
            <w:r>
              <w:rPr>
                <w:rFonts w:ascii="宋体" w:hAnsi="宋体" w:eastAsia="宋体" w:cs="宋体"/>
                <w:color w:val="auto"/>
                <w:spacing w:val="3"/>
                <w:sz w:val="17"/>
                <w:szCs w:val="17"/>
                <w:highlight w:val="none"/>
              </w:rPr>
              <w:t>单</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center"/>
              <w:textAlignment w:val="baseline"/>
              <w:rPr>
                <w:rFonts w:ascii="宋体" w:hAnsi="宋体" w:eastAsia="宋体" w:cs="宋体"/>
                <w:color w:val="auto"/>
                <w:sz w:val="17"/>
                <w:szCs w:val="17"/>
                <w:highlight w:val="none"/>
              </w:rPr>
            </w:pPr>
            <w:r>
              <w:rPr>
                <w:rFonts w:ascii="宋体" w:hAnsi="宋体" w:eastAsia="宋体" w:cs="宋体"/>
                <w:color w:val="auto"/>
                <w:spacing w:val="4"/>
                <w:sz w:val="17"/>
                <w:szCs w:val="17"/>
                <w:highlight w:val="none"/>
              </w:rPr>
              <w:t>回路</w:t>
            </w:r>
            <w:r>
              <w:rPr>
                <w:rFonts w:ascii="宋体" w:hAnsi="宋体" w:eastAsia="宋体" w:cs="宋体"/>
                <w:color w:val="auto"/>
                <w:spacing w:val="2"/>
                <w:sz w:val="17"/>
                <w:szCs w:val="17"/>
                <w:highlight w:val="none"/>
              </w:rPr>
              <w:t>，与锦忻</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center"/>
              <w:textAlignment w:val="baseline"/>
              <w:rPr>
                <w:rFonts w:ascii="宋体" w:hAnsi="宋体" w:eastAsia="宋体" w:cs="宋体"/>
                <w:color w:val="auto"/>
                <w:sz w:val="17"/>
                <w:szCs w:val="17"/>
                <w:highlight w:val="none"/>
              </w:rPr>
            </w:pPr>
            <w:r>
              <w:rPr>
                <w:rFonts w:ascii="宋体" w:hAnsi="宋体" w:eastAsia="宋体" w:cs="宋体"/>
                <w:color w:val="auto"/>
                <w:spacing w:val="1"/>
                <w:sz w:val="17"/>
                <w:szCs w:val="17"/>
                <w:highlight w:val="none"/>
              </w:rPr>
              <w:t>Ⅱ线</w:t>
            </w:r>
            <w:r>
              <w:rPr>
                <w:rFonts w:ascii="宋体" w:hAnsi="宋体" w:eastAsia="宋体" w:cs="宋体"/>
                <w:color w:val="auto"/>
                <w:sz w:val="17"/>
                <w:szCs w:val="17"/>
                <w:highlight w:val="none"/>
              </w:rPr>
              <w:t>并行) 监</w:t>
            </w:r>
          </w:p>
          <w:p>
            <w:pPr>
              <w:keepNext w:val="0"/>
              <w:keepLines w:val="0"/>
              <w:pageBreakBefore w:val="0"/>
              <w:widowControl/>
              <w:kinsoku w:val="0"/>
              <w:wordWrap/>
              <w:overflowPunct/>
              <w:topLinePunct w:val="0"/>
              <w:autoSpaceDE w:val="0"/>
              <w:autoSpaceDN w:val="0"/>
              <w:bidi w:val="0"/>
              <w:adjustRightInd w:val="0"/>
              <w:snapToGrid w:val="0"/>
              <w:spacing w:line="232" w:lineRule="auto"/>
              <w:ind w:left="0"/>
              <w:jc w:val="center"/>
              <w:textAlignment w:val="baseline"/>
              <w:rPr>
                <w:rFonts w:ascii="宋体" w:hAnsi="宋体" w:eastAsia="宋体" w:cs="宋体"/>
                <w:color w:val="auto"/>
                <w:sz w:val="17"/>
                <w:szCs w:val="17"/>
                <w:highlight w:val="none"/>
              </w:rPr>
            </w:pPr>
            <w:r>
              <w:rPr>
                <w:rFonts w:ascii="宋体" w:hAnsi="宋体" w:eastAsia="宋体" w:cs="宋体"/>
                <w:color w:val="auto"/>
                <w:spacing w:val="2"/>
                <w:sz w:val="17"/>
                <w:szCs w:val="17"/>
                <w:highlight w:val="none"/>
              </w:rPr>
              <w:t>测</w:t>
            </w:r>
            <w:r>
              <w:rPr>
                <w:rFonts w:ascii="宋体" w:hAnsi="宋体" w:eastAsia="宋体" w:cs="宋体"/>
                <w:color w:val="auto"/>
                <w:spacing w:val="3"/>
                <w:sz w:val="17"/>
                <w:szCs w:val="17"/>
                <w:highlight w:val="none"/>
              </w:rPr>
              <w:t>断</w:t>
            </w:r>
            <w:r>
              <w:rPr>
                <w:rFonts w:ascii="宋体" w:hAnsi="宋体" w:eastAsia="宋体" w:cs="宋体"/>
                <w:color w:val="auto"/>
                <w:spacing w:val="2"/>
                <w:sz w:val="17"/>
                <w:szCs w:val="17"/>
                <w:highlight w:val="none"/>
              </w:rPr>
              <w:t>面</w:t>
            </w:r>
          </w:p>
        </w:tc>
        <w:tc>
          <w:tcPr>
            <w:tcW w:w="1690" w:type="dxa"/>
            <w:vMerge w:val="continue"/>
            <w:vAlign w:val="top"/>
          </w:tcPr>
          <w:p>
            <w:pPr>
              <w:jc w:val="center"/>
              <w:rPr>
                <w:rFonts w:ascii="Arial"/>
                <w:color w:val="auto"/>
                <w:sz w:val="21"/>
                <w:highlight w:val="none"/>
              </w:rPr>
            </w:pPr>
          </w:p>
        </w:tc>
        <w:tc>
          <w:tcPr>
            <w:tcW w:w="2842" w:type="dxa"/>
            <w:vAlign w:val="top"/>
          </w:tcPr>
          <w:p>
            <w:pPr>
              <w:spacing w:before="44" w:line="197" w:lineRule="auto"/>
              <w:ind w:left="130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10"/>
                <w:sz w:val="17"/>
                <w:szCs w:val="17"/>
                <w:highlight w:val="none"/>
              </w:rPr>
              <w:t>4</w:t>
            </w:r>
            <w:r>
              <w:rPr>
                <w:rFonts w:ascii="Times New Roman" w:hAnsi="Times New Roman" w:eastAsia="Times New Roman" w:cs="Times New Roman"/>
                <w:color w:val="auto"/>
                <w:sz w:val="17"/>
                <w:szCs w:val="17"/>
                <w:highlight w:val="none"/>
              </w:rPr>
              <w:t>m</w:t>
            </w:r>
          </w:p>
        </w:tc>
        <w:tc>
          <w:tcPr>
            <w:tcW w:w="1673" w:type="dxa"/>
            <w:vAlign w:val="top"/>
          </w:tcPr>
          <w:p>
            <w:pPr>
              <w:spacing w:before="44" w:line="197" w:lineRule="auto"/>
              <w:ind w:left="60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96.87</w:t>
            </w:r>
          </w:p>
        </w:tc>
        <w:tc>
          <w:tcPr>
            <w:tcW w:w="1789" w:type="dxa"/>
            <w:tcBorders>
              <w:right w:val="single" w:color="000000" w:sz="10" w:space="0"/>
            </w:tcBorders>
            <w:vAlign w:val="top"/>
          </w:tcPr>
          <w:p>
            <w:pPr>
              <w:spacing w:before="45"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.3160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9" w:line="179" w:lineRule="auto"/>
              <w:ind w:left="131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5</w:t>
            </w:r>
            <w:r>
              <w:rPr>
                <w:rFonts w:ascii="Times New Roman" w:hAnsi="Times New Roman" w:eastAsia="Times New Roman" w:cs="Times New Roman"/>
                <w:color w:val="auto"/>
                <w:sz w:val="17"/>
                <w:szCs w:val="17"/>
                <w:highlight w:val="none"/>
              </w:rPr>
              <w:t>m</w:t>
            </w:r>
          </w:p>
        </w:tc>
        <w:tc>
          <w:tcPr>
            <w:tcW w:w="1673" w:type="dxa"/>
            <w:vAlign w:val="top"/>
          </w:tcPr>
          <w:p>
            <w:pPr>
              <w:spacing w:before="46" w:line="182" w:lineRule="auto"/>
              <w:ind w:left="60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74 99</w:t>
            </w:r>
          </w:p>
        </w:tc>
        <w:tc>
          <w:tcPr>
            <w:tcW w:w="1789" w:type="dxa"/>
            <w:tcBorders>
              <w:right w:val="single" w:color="000000" w:sz="10" w:space="0"/>
            </w:tcBorders>
            <w:vAlign w:val="top"/>
          </w:tcPr>
          <w:p>
            <w:pPr>
              <w:spacing w:before="46" w:line="182"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 xml:space="preserve"> 3145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62" w:line="197" w:lineRule="auto"/>
              <w:ind w:left="127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0m</w:t>
            </w:r>
          </w:p>
        </w:tc>
        <w:tc>
          <w:tcPr>
            <w:tcW w:w="1673" w:type="dxa"/>
            <w:vAlign w:val="top"/>
          </w:tcPr>
          <w:p>
            <w:pPr>
              <w:spacing w:before="62" w:line="197" w:lineRule="auto"/>
              <w:ind w:left="60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5</w:t>
            </w:r>
            <w:r>
              <w:rPr>
                <w:rFonts w:ascii="Times New Roman" w:hAnsi="Times New Roman" w:eastAsia="Times New Roman" w:cs="Times New Roman"/>
                <w:color w:val="auto"/>
                <w:spacing w:val="3"/>
                <w:sz w:val="17"/>
                <w:szCs w:val="17"/>
                <w:highlight w:val="none"/>
              </w:rPr>
              <w:t>16.39</w:t>
            </w:r>
          </w:p>
        </w:tc>
        <w:tc>
          <w:tcPr>
            <w:tcW w:w="1789" w:type="dxa"/>
            <w:tcBorders>
              <w:right w:val="single" w:color="000000" w:sz="10" w:space="0"/>
            </w:tcBorders>
            <w:vAlign w:val="top"/>
          </w:tcPr>
          <w:p>
            <w:pPr>
              <w:spacing w:before="62"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.2902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5" w:line="197" w:lineRule="auto"/>
              <w:ind w:left="127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5m</w:t>
            </w:r>
          </w:p>
        </w:tc>
        <w:tc>
          <w:tcPr>
            <w:tcW w:w="1673" w:type="dxa"/>
            <w:vAlign w:val="top"/>
          </w:tcPr>
          <w:p>
            <w:pPr>
              <w:spacing w:before="45" w:line="197" w:lineRule="auto"/>
              <w:ind w:left="59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46.00</w:t>
            </w:r>
          </w:p>
        </w:tc>
        <w:tc>
          <w:tcPr>
            <w:tcW w:w="1789" w:type="dxa"/>
            <w:tcBorders>
              <w:right w:val="single" w:color="000000" w:sz="10" w:space="0"/>
            </w:tcBorders>
            <w:vAlign w:val="top"/>
          </w:tcPr>
          <w:p>
            <w:pPr>
              <w:spacing w:before="45"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.2821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6" w:line="182" w:lineRule="auto"/>
              <w:ind w:left="126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2</w:t>
            </w: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z w:val="17"/>
                <w:szCs w:val="17"/>
                <w:highlight w:val="none"/>
              </w:rPr>
              <w:t>m</w:t>
            </w:r>
          </w:p>
        </w:tc>
        <w:tc>
          <w:tcPr>
            <w:tcW w:w="1673" w:type="dxa"/>
            <w:vAlign w:val="top"/>
          </w:tcPr>
          <w:p>
            <w:pPr>
              <w:spacing w:before="46" w:line="182" w:lineRule="auto"/>
              <w:ind w:left="59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4</w:t>
            </w:r>
            <w:r>
              <w:rPr>
                <w:rFonts w:ascii="Times New Roman" w:hAnsi="Times New Roman" w:eastAsia="Times New Roman" w:cs="Times New Roman"/>
                <w:color w:val="auto"/>
                <w:spacing w:val="4"/>
                <w:sz w:val="17"/>
                <w:szCs w:val="17"/>
                <w:highlight w:val="none"/>
              </w:rPr>
              <w:t>23 62</w:t>
            </w:r>
          </w:p>
        </w:tc>
        <w:tc>
          <w:tcPr>
            <w:tcW w:w="1789" w:type="dxa"/>
            <w:tcBorders>
              <w:right w:val="single" w:color="000000" w:sz="10" w:space="0"/>
            </w:tcBorders>
            <w:vAlign w:val="top"/>
          </w:tcPr>
          <w:p>
            <w:pPr>
              <w:spacing w:before="46" w:line="182"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 xml:space="preserve"> 2724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62" w:line="197" w:lineRule="auto"/>
              <w:ind w:left="126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2</w:t>
            </w:r>
            <w:r>
              <w:rPr>
                <w:rFonts w:ascii="Times New Roman" w:hAnsi="Times New Roman" w:eastAsia="Times New Roman" w:cs="Times New Roman"/>
                <w:color w:val="auto"/>
                <w:spacing w:val="6"/>
                <w:sz w:val="17"/>
                <w:szCs w:val="17"/>
                <w:highlight w:val="none"/>
              </w:rPr>
              <w:t>5</w:t>
            </w:r>
            <w:r>
              <w:rPr>
                <w:rFonts w:ascii="Times New Roman" w:hAnsi="Times New Roman" w:eastAsia="Times New Roman" w:cs="Times New Roman"/>
                <w:color w:val="auto"/>
                <w:sz w:val="17"/>
                <w:szCs w:val="17"/>
                <w:highlight w:val="none"/>
              </w:rPr>
              <w:t>m</w:t>
            </w:r>
          </w:p>
        </w:tc>
        <w:tc>
          <w:tcPr>
            <w:tcW w:w="1673" w:type="dxa"/>
            <w:vAlign w:val="top"/>
          </w:tcPr>
          <w:p>
            <w:pPr>
              <w:spacing w:before="63" w:line="197" w:lineRule="auto"/>
              <w:ind w:left="59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82.96</w:t>
            </w:r>
          </w:p>
        </w:tc>
        <w:tc>
          <w:tcPr>
            <w:tcW w:w="1789" w:type="dxa"/>
            <w:tcBorders>
              <w:right w:val="single" w:color="000000" w:sz="10" w:space="0"/>
            </w:tcBorders>
            <w:vAlign w:val="top"/>
          </w:tcPr>
          <w:p>
            <w:pPr>
              <w:spacing w:before="63"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.2624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7" w:line="181" w:lineRule="auto"/>
              <w:ind w:left="126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30</w:t>
            </w:r>
            <w:r>
              <w:rPr>
                <w:rFonts w:ascii="Times New Roman" w:hAnsi="Times New Roman" w:eastAsia="Times New Roman" w:cs="Times New Roman"/>
                <w:color w:val="auto"/>
                <w:sz w:val="17"/>
                <w:szCs w:val="17"/>
                <w:highlight w:val="none"/>
              </w:rPr>
              <w:t>m</w:t>
            </w:r>
          </w:p>
        </w:tc>
        <w:tc>
          <w:tcPr>
            <w:tcW w:w="1673" w:type="dxa"/>
            <w:vAlign w:val="top"/>
          </w:tcPr>
          <w:p>
            <w:pPr>
              <w:spacing w:before="47" w:line="181" w:lineRule="auto"/>
              <w:ind w:left="599"/>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w:t>
            </w:r>
            <w:r>
              <w:rPr>
                <w:rFonts w:ascii="Times New Roman" w:hAnsi="Times New Roman" w:eastAsia="Times New Roman" w:cs="Times New Roman"/>
                <w:color w:val="auto"/>
                <w:spacing w:val="3"/>
                <w:sz w:val="17"/>
                <w:szCs w:val="17"/>
                <w:highlight w:val="none"/>
              </w:rPr>
              <w:t>31 31</w:t>
            </w:r>
          </w:p>
        </w:tc>
        <w:tc>
          <w:tcPr>
            <w:tcW w:w="1789" w:type="dxa"/>
            <w:tcBorders>
              <w:right w:val="single" w:color="000000" w:sz="10" w:space="0"/>
            </w:tcBorders>
            <w:vAlign w:val="top"/>
          </w:tcPr>
          <w:p>
            <w:pPr>
              <w:spacing w:before="47" w:line="181"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 xml:space="preserve"> 2472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63" w:line="197" w:lineRule="auto"/>
              <w:ind w:left="126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35</w:t>
            </w:r>
            <w:r>
              <w:rPr>
                <w:rFonts w:ascii="Times New Roman" w:hAnsi="Times New Roman" w:eastAsia="Times New Roman" w:cs="Times New Roman"/>
                <w:color w:val="auto"/>
                <w:sz w:val="17"/>
                <w:szCs w:val="17"/>
                <w:highlight w:val="none"/>
              </w:rPr>
              <w:t>m</w:t>
            </w:r>
          </w:p>
        </w:tc>
        <w:tc>
          <w:tcPr>
            <w:tcW w:w="1673" w:type="dxa"/>
            <w:vAlign w:val="top"/>
          </w:tcPr>
          <w:p>
            <w:pPr>
              <w:spacing w:before="63" w:line="197" w:lineRule="auto"/>
              <w:ind w:left="59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254.45</w:t>
            </w:r>
          </w:p>
        </w:tc>
        <w:tc>
          <w:tcPr>
            <w:tcW w:w="1789" w:type="dxa"/>
            <w:tcBorders>
              <w:right w:val="single" w:color="000000" w:sz="10" w:space="0"/>
            </w:tcBorders>
            <w:vAlign w:val="top"/>
          </w:tcPr>
          <w:p>
            <w:pPr>
              <w:spacing w:before="63"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.2260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6" w:line="197" w:lineRule="auto"/>
              <w:ind w:left="126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40</w:t>
            </w:r>
            <w:r>
              <w:rPr>
                <w:rFonts w:ascii="Times New Roman" w:hAnsi="Times New Roman" w:eastAsia="Times New Roman" w:cs="Times New Roman"/>
                <w:color w:val="auto"/>
                <w:sz w:val="17"/>
                <w:szCs w:val="17"/>
                <w:highlight w:val="none"/>
              </w:rPr>
              <w:t>m</w:t>
            </w:r>
          </w:p>
        </w:tc>
        <w:tc>
          <w:tcPr>
            <w:tcW w:w="1673" w:type="dxa"/>
            <w:vAlign w:val="top"/>
          </w:tcPr>
          <w:p>
            <w:pPr>
              <w:spacing w:before="46" w:line="197" w:lineRule="auto"/>
              <w:ind w:left="59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216.27</w:t>
            </w:r>
          </w:p>
        </w:tc>
        <w:tc>
          <w:tcPr>
            <w:tcW w:w="1789" w:type="dxa"/>
            <w:tcBorders>
              <w:right w:val="single" w:color="000000" w:sz="10" w:space="0"/>
            </w:tcBorders>
            <w:vAlign w:val="top"/>
          </w:tcPr>
          <w:p>
            <w:pPr>
              <w:spacing w:before="46"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0. 1961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7" w:line="197" w:lineRule="auto"/>
              <w:ind w:left="126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45</w:t>
            </w:r>
            <w:r>
              <w:rPr>
                <w:rFonts w:ascii="Times New Roman" w:hAnsi="Times New Roman" w:eastAsia="Times New Roman" w:cs="Times New Roman"/>
                <w:color w:val="auto"/>
                <w:sz w:val="17"/>
                <w:szCs w:val="17"/>
                <w:highlight w:val="none"/>
              </w:rPr>
              <w:t>m</w:t>
            </w:r>
          </w:p>
        </w:tc>
        <w:tc>
          <w:tcPr>
            <w:tcW w:w="1673" w:type="dxa"/>
            <w:vAlign w:val="top"/>
          </w:tcPr>
          <w:p>
            <w:pPr>
              <w:spacing w:before="47" w:line="197" w:lineRule="auto"/>
              <w:ind w:left="61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73.63</w:t>
            </w:r>
          </w:p>
        </w:tc>
        <w:tc>
          <w:tcPr>
            <w:tcW w:w="1789" w:type="dxa"/>
            <w:tcBorders>
              <w:right w:val="single" w:color="000000" w:sz="10" w:space="0"/>
            </w:tcBorders>
            <w:vAlign w:val="top"/>
          </w:tcPr>
          <w:p>
            <w:pPr>
              <w:spacing w:before="47"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0. 1689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288" w:type="dxa"/>
            <w:vMerge w:val="continue"/>
            <w:tcBorders>
              <w:top w:val="nil"/>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6" w:line="197" w:lineRule="auto"/>
              <w:ind w:left="126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5</w:t>
            </w:r>
            <w:r>
              <w:rPr>
                <w:rFonts w:ascii="Times New Roman" w:hAnsi="Times New Roman" w:eastAsia="Times New Roman" w:cs="Times New Roman"/>
                <w:color w:val="auto"/>
                <w:spacing w:val="5"/>
                <w:sz w:val="17"/>
                <w:szCs w:val="17"/>
                <w:highlight w:val="none"/>
              </w:rPr>
              <w:t>0</w:t>
            </w:r>
            <w:r>
              <w:rPr>
                <w:rFonts w:ascii="Times New Roman" w:hAnsi="Times New Roman" w:eastAsia="Times New Roman" w:cs="Times New Roman"/>
                <w:color w:val="auto"/>
                <w:sz w:val="17"/>
                <w:szCs w:val="17"/>
                <w:highlight w:val="none"/>
              </w:rPr>
              <w:t>m</w:t>
            </w:r>
          </w:p>
        </w:tc>
        <w:tc>
          <w:tcPr>
            <w:tcW w:w="1673" w:type="dxa"/>
            <w:vAlign w:val="top"/>
          </w:tcPr>
          <w:p>
            <w:pPr>
              <w:spacing w:before="46" w:line="200" w:lineRule="auto"/>
              <w:ind w:left="61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1</w:t>
            </w:r>
            <w:r>
              <w:rPr>
                <w:rFonts w:ascii="Times New Roman" w:hAnsi="Times New Roman" w:eastAsia="Times New Roman" w:cs="Times New Roman"/>
                <w:color w:val="auto"/>
                <w:spacing w:val="-5"/>
                <w:sz w:val="17"/>
                <w:szCs w:val="17"/>
                <w:highlight w:val="none"/>
              </w:rPr>
              <w:t>21. 12</w:t>
            </w:r>
          </w:p>
        </w:tc>
        <w:tc>
          <w:tcPr>
            <w:tcW w:w="1789" w:type="dxa"/>
            <w:tcBorders>
              <w:right w:val="single" w:color="000000" w:sz="10" w:space="0"/>
            </w:tcBorders>
            <w:vAlign w:val="top"/>
          </w:tcPr>
          <w:p>
            <w:pPr>
              <w:spacing w:before="46"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0. 1579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1288" w:type="dxa"/>
            <w:vMerge w:val="restart"/>
            <w:tcBorders>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29" w:lineRule="auto"/>
              <w:ind w:left="0"/>
              <w:jc w:val="center"/>
              <w:textAlignment w:val="baseline"/>
              <w:rPr>
                <w:rFonts w:ascii="宋体" w:hAnsi="宋体" w:eastAsia="宋体" w:cs="宋体"/>
                <w:color w:val="auto"/>
                <w:sz w:val="17"/>
                <w:szCs w:val="17"/>
                <w:highlight w:val="none"/>
              </w:rPr>
            </w:pPr>
            <w:r>
              <w:rPr>
                <w:rFonts w:ascii="Times New Roman" w:hAnsi="Times New Roman" w:eastAsia="Times New Roman" w:cs="Times New Roman"/>
                <w:color w:val="auto"/>
                <w:spacing w:val="6"/>
                <w:sz w:val="17"/>
                <w:szCs w:val="17"/>
                <w:highlight w:val="none"/>
              </w:rPr>
              <w:t xml:space="preserve">500 </w:t>
            </w:r>
            <w:r>
              <w:rPr>
                <w:rFonts w:ascii="宋体" w:hAnsi="宋体" w:eastAsia="宋体" w:cs="宋体"/>
                <w:color w:val="auto"/>
                <w:spacing w:val="6"/>
                <w:sz w:val="17"/>
                <w:szCs w:val="17"/>
                <w:highlight w:val="none"/>
              </w:rPr>
              <w:t>千伏锦忻</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center"/>
              <w:textAlignment w:val="baseline"/>
              <w:rPr>
                <w:rFonts w:ascii="宋体" w:hAnsi="宋体" w:eastAsia="宋体" w:cs="宋体"/>
                <w:color w:val="auto"/>
                <w:sz w:val="17"/>
                <w:szCs w:val="17"/>
                <w:highlight w:val="none"/>
              </w:rPr>
            </w:pPr>
            <w:r>
              <w:rPr>
                <w:rFonts w:ascii="宋体" w:hAnsi="宋体" w:eastAsia="宋体" w:cs="宋体"/>
                <w:color w:val="auto"/>
                <w:spacing w:val="7"/>
                <w:sz w:val="17"/>
                <w:szCs w:val="17"/>
                <w:highlight w:val="none"/>
              </w:rPr>
              <w:t>Ⅲ</w:t>
            </w:r>
            <w:r>
              <w:rPr>
                <w:rFonts w:ascii="宋体" w:hAnsi="宋体" w:eastAsia="宋体" w:cs="宋体"/>
                <w:color w:val="auto"/>
                <w:spacing w:val="6"/>
                <w:sz w:val="17"/>
                <w:szCs w:val="17"/>
                <w:highlight w:val="none"/>
              </w:rPr>
              <w:t>线</w:t>
            </w:r>
          </w:p>
          <w:p>
            <w:pPr>
              <w:keepNext w:val="0"/>
              <w:keepLines w:val="0"/>
              <w:pageBreakBefore w:val="0"/>
              <w:widowControl/>
              <w:kinsoku w:val="0"/>
              <w:wordWrap/>
              <w:overflowPunct/>
              <w:topLinePunct w:val="0"/>
              <w:autoSpaceDE w:val="0"/>
              <w:autoSpaceDN w:val="0"/>
              <w:bidi w:val="0"/>
              <w:adjustRightInd w:val="0"/>
              <w:snapToGrid w:val="0"/>
              <w:spacing w:line="197" w:lineRule="auto"/>
              <w:ind w:left="0"/>
              <w:jc w:val="center"/>
              <w:textAlignment w:val="baseline"/>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J</w:t>
            </w:r>
            <w:r>
              <w:rPr>
                <w:rFonts w:ascii="Times New Roman" w:hAnsi="Times New Roman" w:eastAsia="Times New Roman" w:cs="Times New Roman"/>
                <w:color w:val="auto"/>
                <w:spacing w:val="6"/>
                <w:sz w:val="17"/>
                <w:szCs w:val="17"/>
                <w:highlight w:val="none"/>
              </w:rPr>
              <w:t>5077~</w:t>
            </w:r>
            <w:r>
              <w:rPr>
                <w:rFonts w:ascii="Times New Roman" w:hAnsi="Times New Roman" w:eastAsia="Times New Roman" w:cs="Times New Roman"/>
                <w:color w:val="auto"/>
                <w:sz w:val="17"/>
                <w:szCs w:val="17"/>
                <w:highlight w:val="none"/>
              </w:rPr>
              <w:t>Z</w:t>
            </w:r>
            <w:r>
              <w:rPr>
                <w:rFonts w:ascii="Times New Roman" w:hAnsi="Times New Roman" w:eastAsia="Times New Roman" w:cs="Times New Roman"/>
                <w:color w:val="auto"/>
                <w:spacing w:val="6"/>
                <w:sz w:val="17"/>
                <w:szCs w:val="17"/>
                <w:highlight w:val="none"/>
              </w:rPr>
              <w:t>507</w:t>
            </w:r>
            <w:r>
              <w:rPr>
                <w:rFonts w:ascii="Times New Roman" w:hAnsi="Times New Roman" w:eastAsia="Times New Roman" w:cs="Times New Roman"/>
                <w:color w:val="auto"/>
                <w:spacing w:val="5"/>
                <w:sz w:val="17"/>
                <w:szCs w:val="17"/>
                <w:highlight w:val="none"/>
              </w:rPr>
              <w:t>8</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center"/>
              <w:textAlignment w:val="baseline"/>
              <w:rPr>
                <w:rFonts w:ascii="宋体" w:hAnsi="宋体" w:eastAsia="宋体" w:cs="宋体"/>
                <w:color w:val="auto"/>
                <w:sz w:val="17"/>
                <w:szCs w:val="17"/>
                <w:highlight w:val="none"/>
              </w:rPr>
            </w:pPr>
            <w:r>
              <w:rPr>
                <w:rFonts w:ascii="宋体" w:hAnsi="宋体" w:eastAsia="宋体" w:cs="宋体"/>
                <w:color w:val="auto"/>
                <w:spacing w:val="5"/>
                <w:sz w:val="17"/>
                <w:szCs w:val="17"/>
                <w:highlight w:val="none"/>
              </w:rPr>
              <w:t>塔基北侧 (</w:t>
            </w:r>
            <w:r>
              <w:rPr>
                <w:rFonts w:ascii="宋体" w:hAnsi="宋体" w:eastAsia="宋体" w:cs="宋体"/>
                <w:color w:val="auto"/>
                <w:spacing w:val="3"/>
                <w:sz w:val="17"/>
                <w:szCs w:val="17"/>
                <w:highlight w:val="none"/>
              </w:rPr>
              <w:t>单</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center"/>
              <w:textAlignment w:val="baseline"/>
              <w:rPr>
                <w:rFonts w:ascii="宋体" w:hAnsi="宋体" w:eastAsia="宋体" w:cs="宋体"/>
                <w:color w:val="auto"/>
                <w:sz w:val="17"/>
                <w:szCs w:val="17"/>
                <w:highlight w:val="none"/>
              </w:rPr>
            </w:pPr>
            <w:r>
              <w:rPr>
                <w:rFonts w:ascii="宋体" w:hAnsi="宋体" w:eastAsia="宋体" w:cs="宋体"/>
                <w:color w:val="auto"/>
                <w:spacing w:val="4"/>
                <w:sz w:val="17"/>
                <w:szCs w:val="17"/>
                <w:highlight w:val="none"/>
              </w:rPr>
              <w:t>回路</w:t>
            </w:r>
            <w:r>
              <w:rPr>
                <w:rFonts w:ascii="宋体" w:hAnsi="宋体" w:eastAsia="宋体" w:cs="宋体"/>
                <w:color w:val="auto"/>
                <w:spacing w:val="2"/>
                <w:sz w:val="17"/>
                <w:szCs w:val="17"/>
                <w:highlight w:val="none"/>
              </w:rPr>
              <w:t>，与锦忻</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center"/>
              <w:textAlignment w:val="baseline"/>
              <w:rPr>
                <w:rFonts w:ascii="宋体" w:hAnsi="宋体" w:eastAsia="宋体" w:cs="宋体"/>
                <w:color w:val="auto"/>
                <w:sz w:val="17"/>
                <w:szCs w:val="17"/>
                <w:highlight w:val="none"/>
              </w:rPr>
            </w:pPr>
            <w:r>
              <w:rPr>
                <w:rFonts w:ascii="宋体" w:hAnsi="宋体" w:eastAsia="宋体" w:cs="宋体"/>
                <w:color w:val="auto"/>
                <w:spacing w:val="1"/>
                <w:sz w:val="17"/>
                <w:szCs w:val="17"/>
                <w:highlight w:val="none"/>
              </w:rPr>
              <w:t>Ⅱ线</w:t>
            </w:r>
            <w:r>
              <w:rPr>
                <w:rFonts w:ascii="宋体" w:hAnsi="宋体" w:eastAsia="宋体" w:cs="宋体"/>
                <w:color w:val="auto"/>
                <w:sz w:val="17"/>
                <w:szCs w:val="17"/>
                <w:highlight w:val="none"/>
              </w:rPr>
              <w:t>并行) 监</w:t>
            </w:r>
          </w:p>
          <w:p>
            <w:pPr>
              <w:keepNext w:val="0"/>
              <w:keepLines w:val="0"/>
              <w:pageBreakBefore w:val="0"/>
              <w:widowControl/>
              <w:kinsoku w:val="0"/>
              <w:wordWrap/>
              <w:overflowPunct/>
              <w:topLinePunct w:val="0"/>
              <w:autoSpaceDE w:val="0"/>
              <w:autoSpaceDN w:val="0"/>
              <w:bidi w:val="0"/>
              <w:adjustRightInd w:val="0"/>
              <w:snapToGrid w:val="0"/>
              <w:spacing w:line="232" w:lineRule="auto"/>
              <w:ind w:left="0"/>
              <w:jc w:val="center"/>
              <w:textAlignment w:val="baseline"/>
              <w:rPr>
                <w:rFonts w:ascii="宋体" w:hAnsi="宋体" w:eastAsia="宋体" w:cs="宋体"/>
                <w:color w:val="auto"/>
                <w:sz w:val="17"/>
                <w:szCs w:val="17"/>
                <w:highlight w:val="none"/>
              </w:rPr>
            </w:pPr>
            <w:r>
              <w:rPr>
                <w:rFonts w:ascii="宋体" w:hAnsi="宋体" w:eastAsia="宋体" w:cs="宋体"/>
                <w:color w:val="auto"/>
                <w:spacing w:val="2"/>
                <w:sz w:val="17"/>
                <w:szCs w:val="17"/>
                <w:highlight w:val="none"/>
              </w:rPr>
              <w:t>测</w:t>
            </w:r>
            <w:r>
              <w:rPr>
                <w:rFonts w:ascii="宋体" w:hAnsi="宋体" w:eastAsia="宋体" w:cs="宋体"/>
                <w:color w:val="auto"/>
                <w:spacing w:val="3"/>
                <w:sz w:val="17"/>
                <w:szCs w:val="17"/>
                <w:highlight w:val="none"/>
              </w:rPr>
              <w:t>断</w:t>
            </w:r>
            <w:r>
              <w:rPr>
                <w:rFonts w:ascii="宋体" w:hAnsi="宋体" w:eastAsia="宋体" w:cs="宋体"/>
                <w:color w:val="auto"/>
                <w:spacing w:val="2"/>
                <w:sz w:val="17"/>
                <w:szCs w:val="17"/>
                <w:highlight w:val="none"/>
              </w:rPr>
              <w:t>面</w:t>
            </w:r>
          </w:p>
        </w:tc>
        <w:tc>
          <w:tcPr>
            <w:tcW w:w="1690" w:type="dxa"/>
            <w:vMerge w:val="continue"/>
            <w:vAlign w:val="top"/>
          </w:tcPr>
          <w:p>
            <w:pPr>
              <w:spacing w:before="55" w:line="230" w:lineRule="auto"/>
              <w:ind w:left="570"/>
              <w:rPr>
                <w:rFonts w:ascii="宋体" w:hAnsi="宋体" w:eastAsia="宋体" w:cs="宋体"/>
                <w:color w:val="auto"/>
                <w:sz w:val="17"/>
                <w:szCs w:val="17"/>
                <w:highlight w:val="none"/>
              </w:rPr>
            </w:pPr>
          </w:p>
        </w:tc>
        <w:tc>
          <w:tcPr>
            <w:tcW w:w="2842" w:type="dxa"/>
            <w:vAlign w:val="top"/>
          </w:tcPr>
          <w:p>
            <w:pPr>
              <w:spacing w:before="50" w:line="177" w:lineRule="auto"/>
              <w:ind w:left="131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5</w:t>
            </w:r>
            <w:r>
              <w:rPr>
                <w:rFonts w:ascii="Times New Roman" w:hAnsi="Times New Roman" w:eastAsia="Times New Roman" w:cs="Times New Roman"/>
                <w:color w:val="auto"/>
                <w:sz w:val="17"/>
                <w:szCs w:val="17"/>
                <w:highlight w:val="none"/>
              </w:rPr>
              <w:t>m</w:t>
            </w:r>
          </w:p>
        </w:tc>
        <w:tc>
          <w:tcPr>
            <w:tcW w:w="1673" w:type="dxa"/>
            <w:vAlign w:val="top"/>
          </w:tcPr>
          <w:p>
            <w:pPr>
              <w:spacing w:before="48" w:line="180" w:lineRule="auto"/>
              <w:ind w:left="6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6</w:t>
            </w:r>
            <w:r>
              <w:rPr>
                <w:rFonts w:ascii="Times New Roman" w:hAnsi="Times New Roman" w:eastAsia="Times New Roman" w:cs="Times New Roman"/>
                <w:color w:val="auto"/>
                <w:spacing w:val="3"/>
                <w:sz w:val="17"/>
                <w:szCs w:val="17"/>
                <w:highlight w:val="none"/>
              </w:rPr>
              <w:t>39 32</w:t>
            </w:r>
          </w:p>
        </w:tc>
        <w:tc>
          <w:tcPr>
            <w:tcW w:w="1789" w:type="dxa"/>
            <w:tcBorders>
              <w:right w:val="single" w:color="000000" w:sz="10" w:space="0"/>
            </w:tcBorders>
            <w:vAlign w:val="top"/>
          </w:tcPr>
          <w:p>
            <w:pPr>
              <w:spacing w:before="48" w:line="180"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 xml:space="preserve"> 1964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63" w:line="197" w:lineRule="auto"/>
              <w:ind w:left="127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0m</w:t>
            </w:r>
          </w:p>
        </w:tc>
        <w:tc>
          <w:tcPr>
            <w:tcW w:w="1673" w:type="dxa"/>
            <w:vAlign w:val="top"/>
          </w:tcPr>
          <w:p>
            <w:pPr>
              <w:spacing w:before="64" w:line="197" w:lineRule="auto"/>
              <w:ind w:left="6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6</w:t>
            </w:r>
            <w:r>
              <w:rPr>
                <w:rFonts w:ascii="Times New Roman" w:hAnsi="Times New Roman" w:eastAsia="Times New Roman" w:cs="Times New Roman"/>
                <w:color w:val="auto"/>
                <w:spacing w:val="3"/>
                <w:sz w:val="17"/>
                <w:szCs w:val="17"/>
                <w:highlight w:val="none"/>
              </w:rPr>
              <w:t>31.23</w:t>
            </w:r>
          </w:p>
        </w:tc>
        <w:tc>
          <w:tcPr>
            <w:tcW w:w="1789" w:type="dxa"/>
            <w:tcBorders>
              <w:right w:val="single" w:color="000000" w:sz="10" w:space="0"/>
            </w:tcBorders>
            <w:vAlign w:val="top"/>
          </w:tcPr>
          <w:p>
            <w:pPr>
              <w:spacing w:before="63"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3"/>
                <w:sz w:val="17"/>
                <w:szCs w:val="17"/>
                <w:highlight w:val="none"/>
              </w:rPr>
              <w:t>0. 1744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9" w:line="179" w:lineRule="auto"/>
              <w:ind w:left="127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5m</w:t>
            </w:r>
          </w:p>
        </w:tc>
        <w:tc>
          <w:tcPr>
            <w:tcW w:w="1673" w:type="dxa"/>
            <w:vAlign w:val="top"/>
          </w:tcPr>
          <w:p>
            <w:pPr>
              <w:spacing w:before="49" w:line="179" w:lineRule="auto"/>
              <w:ind w:left="60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6</w:t>
            </w:r>
            <w:r>
              <w:rPr>
                <w:rFonts w:ascii="Times New Roman" w:hAnsi="Times New Roman" w:eastAsia="Times New Roman" w:cs="Times New Roman"/>
                <w:color w:val="auto"/>
                <w:spacing w:val="3"/>
                <w:sz w:val="17"/>
                <w:szCs w:val="17"/>
                <w:highlight w:val="none"/>
              </w:rPr>
              <w:t>22 12</w:t>
            </w:r>
          </w:p>
        </w:tc>
        <w:tc>
          <w:tcPr>
            <w:tcW w:w="1789" w:type="dxa"/>
            <w:tcBorders>
              <w:right w:val="single" w:color="000000" w:sz="10" w:space="0"/>
            </w:tcBorders>
            <w:vAlign w:val="top"/>
          </w:tcPr>
          <w:p>
            <w:pPr>
              <w:spacing w:before="49" w:line="179"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 xml:space="preserve"> 2521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65" w:line="197" w:lineRule="auto"/>
              <w:ind w:left="126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2</w:t>
            </w: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z w:val="17"/>
                <w:szCs w:val="17"/>
                <w:highlight w:val="none"/>
              </w:rPr>
              <w:t>m</w:t>
            </w:r>
          </w:p>
        </w:tc>
        <w:tc>
          <w:tcPr>
            <w:tcW w:w="1673" w:type="dxa"/>
            <w:vAlign w:val="top"/>
          </w:tcPr>
          <w:p>
            <w:pPr>
              <w:spacing w:before="65" w:line="197" w:lineRule="auto"/>
              <w:ind w:left="60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sz w:val="17"/>
                <w:szCs w:val="17"/>
                <w:highlight w:val="none"/>
              </w:rPr>
              <w:t>7</w:t>
            </w:r>
            <w:r>
              <w:rPr>
                <w:rFonts w:ascii="Times New Roman" w:hAnsi="Times New Roman" w:eastAsia="Times New Roman" w:cs="Times New Roman"/>
                <w:color w:val="auto"/>
                <w:spacing w:val="2"/>
                <w:sz w:val="17"/>
                <w:szCs w:val="17"/>
                <w:highlight w:val="none"/>
              </w:rPr>
              <w:t>11.91</w:t>
            </w:r>
          </w:p>
        </w:tc>
        <w:tc>
          <w:tcPr>
            <w:tcW w:w="1789" w:type="dxa"/>
            <w:tcBorders>
              <w:right w:val="single" w:color="000000" w:sz="10" w:space="0"/>
            </w:tcBorders>
            <w:vAlign w:val="top"/>
          </w:tcPr>
          <w:p>
            <w:pPr>
              <w:spacing w:before="65"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.3135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8" w:line="197" w:lineRule="auto"/>
              <w:ind w:left="1261"/>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2</w:t>
            </w:r>
            <w:r>
              <w:rPr>
                <w:rFonts w:ascii="Times New Roman" w:hAnsi="Times New Roman" w:eastAsia="Times New Roman" w:cs="Times New Roman"/>
                <w:color w:val="auto"/>
                <w:spacing w:val="6"/>
                <w:sz w:val="17"/>
                <w:szCs w:val="17"/>
                <w:highlight w:val="none"/>
              </w:rPr>
              <w:t>5</w:t>
            </w:r>
            <w:r>
              <w:rPr>
                <w:rFonts w:ascii="Times New Roman" w:hAnsi="Times New Roman" w:eastAsia="Times New Roman" w:cs="Times New Roman"/>
                <w:color w:val="auto"/>
                <w:sz w:val="17"/>
                <w:szCs w:val="17"/>
                <w:highlight w:val="none"/>
              </w:rPr>
              <w:t>m</w:t>
            </w:r>
          </w:p>
        </w:tc>
        <w:tc>
          <w:tcPr>
            <w:tcW w:w="1673" w:type="dxa"/>
            <w:vAlign w:val="top"/>
          </w:tcPr>
          <w:p>
            <w:pPr>
              <w:spacing w:before="48" w:line="197" w:lineRule="auto"/>
              <w:ind w:left="56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1027.6</w:t>
            </w:r>
            <w:r>
              <w:rPr>
                <w:rFonts w:ascii="Times New Roman" w:hAnsi="Times New Roman" w:eastAsia="Times New Roman" w:cs="Times New Roman"/>
                <w:color w:val="auto"/>
                <w:spacing w:val="1"/>
                <w:sz w:val="17"/>
                <w:szCs w:val="17"/>
                <w:highlight w:val="none"/>
              </w:rPr>
              <w:t>3</w:t>
            </w:r>
          </w:p>
        </w:tc>
        <w:tc>
          <w:tcPr>
            <w:tcW w:w="1789" w:type="dxa"/>
            <w:tcBorders>
              <w:right w:val="single" w:color="000000" w:sz="10" w:space="0"/>
            </w:tcBorders>
            <w:vAlign w:val="top"/>
          </w:tcPr>
          <w:p>
            <w:pPr>
              <w:spacing w:before="48"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.4578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50" w:line="178" w:lineRule="auto"/>
              <w:ind w:left="126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30</w:t>
            </w:r>
            <w:r>
              <w:rPr>
                <w:rFonts w:ascii="Times New Roman" w:hAnsi="Times New Roman" w:eastAsia="Times New Roman" w:cs="Times New Roman"/>
                <w:color w:val="auto"/>
                <w:sz w:val="17"/>
                <w:szCs w:val="17"/>
                <w:highlight w:val="none"/>
              </w:rPr>
              <w:t>m</w:t>
            </w:r>
          </w:p>
        </w:tc>
        <w:tc>
          <w:tcPr>
            <w:tcW w:w="1673" w:type="dxa"/>
            <w:vAlign w:val="top"/>
          </w:tcPr>
          <w:p>
            <w:pPr>
              <w:spacing w:before="50" w:line="178" w:lineRule="auto"/>
              <w:ind w:left="61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12</w:t>
            </w:r>
            <w:r>
              <w:rPr>
                <w:rFonts w:ascii="Times New Roman" w:hAnsi="Times New Roman" w:eastAsia="Times New Roman" w:cs="Times New Roman"/>
                <w:color w:val="auto"/>
                <w:spacing w:val="1"/>
                <w:sz w:val="17"/>
                <w:szCs w:val="17"/>
                <w:highlight w:val="none"/>
              </w:rPr>
              <w:t>12 0</w:t>
            </w:r>
          </w:p>
        </w:tc>
        <w:tc>
          <w:tcPr>
            <w:tcW w:w="1789" w:type="dxa"/>
            <w:tcBorders>
              <w:right w:val="single" w:color="000000" w:sz="10" w:space="0"/>
            </w:tcBorders>
            <w:vAlign w:val="top"/>
          </w:tcPr>
          <w:p>
            <w:pPr>
              <w:spacing w:before="50" w:line="178"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 xml:space="preserve"> 7083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65" w:line="197" w:lineRule="auto"/>
              <w:ind w:left="1265"/>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5"/>
                <w:sz w:val="17"/>
                <w:szCs w:val="17"/>
                <w:highlight w:val="none"/>
              </w:rPr>
              <w:t>35</w:t>
            </w:r>
            <w:r>
              <w:rPr>
                <w:rFonts w:ascii="Times New Roman" w:hAnsi="Times New Roman" w:eastAsia="Times New Roman" w:cs="Times New Roman"/>
                <w:color w:val="auto"/>
                <w:sz w:val="17"/>
                <w:szCs w:val="17"/>
                <w:highlight w:val="none"/>
              </w:rPr>
              <w:t>m</w:t>
            </w:r>
          </w:p>
        </w:tc>
        <w:tc>
          <w:tcPr>
            <w:tcW w:w="1673" w:type="dxa"/>
            <w:vAlign w:val="top"/>
          </w:tcPr>
          <w:p>
            <w:pPr>
              <w:spacing w:before="65" w:line="197" w:lineRule="auto"/>
              <w:ind w:left="61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17</w:t>
            </w:r>
            <w:r>
              <w:rPr>
                <w:rFonts w:ascii="Times New Roman" w:hAnsi="Times New Roman" w:eastAsia="Times New Roman" w:cs="Times New Roman"/>
                <w:color w:val="auto"/>
                <w:spacing w:val="1"/>
                <w:sz w:val="17"/>
                <w:szCs w:val="17"/>
                <w:highlight w:val="none"/>
              </w:rPr>
              <w:t>18.0</w:t>
            </w:r>
          </w:p>
        </w:tc>
        <w:tc>
          <w:tcPr>
            <w:tcW w:w="1789" w:type="dxa"/>
            <w:tcBorders>
              <w:right w:val="single" w:color="000000" w:sz="10" w:space="0"/>
            </w:tcBorders>
            <w:vAlign w:val="top"/>
          </w:tcPr>
          <w:p>
            <w:pPr>
              <w:spacing w:before="66" w:line="197" w:lineRule="auto"/>
              <w:ind w:left="65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0</w:t>
            </w:r>
            <w:r>
              <w:rPr>
                <w:rFonts w:ascii="Times New Roman" w:hAnsi="Times New Roman" w:eastAsia="Times New Roman" w:cs="Times New Roman"/>
                <w:color w:val="auto"/>
                <w:spacing w:val="3"/>
                <w:sz w:val="17"/>
                <w:szCs w:val="17"/>
                <w:highlight w:val="none"/>
              </w:rPr>
              <w:t>.9989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50" w:line="178" w:lineRule="auto"/>
              <w:ind w:left="126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40</w:t>
            </w:r>
            <w:r>
              <w:rPr>
                <w:rFonts w:ascii="Times New Roman" w:hAnsi="Times New Roman" w:eastAsia="Times New Roman" w:cs="Times New Roman"/>
                <w:color w:val="auto"/>
                <w:sz w:val="17"/>
                <w:szCs w:val="17"/>
                <w:highlight w:val="none"/>
              </w:rPr>
              <w:t>m</w:t>
            </w:r>
          </w:p>
        </w:tc>
        <w:tc>
          <w:tcPr>
            <w:tcW w:w="1673" w:type="dxa"/>
            <w:vAlign w:val="top"/>
          </w:tcPr>
          <w:p>
            <w:pPr>
              <w:spacing w:before="50" w:line="178" w:lineRule="auto"/>
              <w:ind w:left="613"/>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959 4</w:t>
            </w:r>
          </w:p>
        </w:tc>
        <w:tc>
          <w:tcPr>
            <w:tcW w:w="1789" w:type="dxa"/>
            <w:tcBorders>
              <w:right w:val="single" w:color="000000" w:sz="10" w:space="0"/>
            </w:tcBorders>
            <w:vAlign w:val="top"/>
          </w:tcPr>
          <w:p>
            <w:pPr>
              <w:spacing w:before="50" w:line="178" w:lineRule="auto"/>
              <w:ind w:left="66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 xml:space="preserve"> 1901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 w:hRule="atLeast"/>
        </w:trPr>
        <w:tc>
          <w:tcPr>
            <w:tcW w:w="1288" w:type="dxa"/>
            <w:vMerge w:val="continue"/>
            <w:tcBorders>
              <w:top w:val="nil"/>
              <w:left w:val="single" w:color="000000" w:sz="10" w:space="0"/>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66" w:line="197" w:lineRule="auto"/>
              <w:ind w:left="1260"/>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45</w:t>
            </w:r>
            <w:r>
              <w:rPr>
                <w:rFonts w:ascii="Times New Roman" w:hAnsi="Times New Roman" w:eastAsia="Times New Roman" w:cs="Times New Roman"/>
                <w:color w:val="auto"/>
                <w:sz w:val="17"/>
                <w:szCs w:val="17"/>
                <w:highlight w:val="none"/>
              </w:rPr>
              <w:t>m</w:t>
            </w:r>
          </w:p>
        </w:tc>
        <w:tc>
          <w:tcPr>
            <w:tcW w:w="1673" w:type="dxa"/>
            <w:vAlign w:val="top"/>
          </w:tcPr>
          <w:p>
            <w:pPr>
              <w:spacing w:before="66" w:line="197" w:lineRule="auto"/>
              <w:ind w:left="59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2</w:t>
            </w:r>
            <w:r>
              <w:rPr>
                <w:rFonts w:ascii="Times New Roman" w:hAnsi="Times New Roman" w:eastAsia="Times New Roman" w:cs="Times New Roman"/>
                <w:color w:val="auto"/>
                <w:spacing w:val="4"/>
                <w:sz w:val="17"/>
                <w:szCs w:val="17"/>
                <w:highlight w:val="none"/>
              </w:rPr>
              <w:t>215.6</w:t>
            </w:r>
          </w:p>
        </w:tc>
        <w:tc>
          <w:tcPr>
            <w:tcW w:w="1789" w:type="dxa"/>
            <w:tcBorders>
              <w:right w:val="single" w:color="000000" w:sz="10" w:space="0"/>
            </w:tcBorders>
            <w:vAlign w:val="top"/>
          </w:tcPr>
          <w:p>
            <w:pPr>
              <w:spacing w:before="66" w:line="198" w:lineRule="auto"/>
              <w:ind w:left="66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.2169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1288" w:type="dxa"/>
            <w:vMerge w:val="continue"/>
            <w:tcBorders>
              <w:top w:val="nil"/>
              <w:left w:val="single" w:color="000000" w:sz="10" w:space="0"/>
            </w:tcBorders>
            <w:vAlign w:val="center"/>
          </w:tcPr>
          <w:p>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ascii="Arial"/>
                <w:color w:val="auto"/>
                <w:sz w:val="21"/>
                <w:highlight w:val="none"/>
              </w:rPr>
            </w:pPr>
          </w:p>
        </w:tc>
        <w:tc>
          <w:tcPr>
            <w:tcW w:w="1690" w:type="dxa"/>
            <w:vMerge w:val="continue"/>
            <w:vAlign w:val="top"/>
          </w:tcPr>
          <w:p>
            <w:pPr>
              <w:rPr>
                <w:rFonts w:ascii="Arial"/>
                <w:color w:val="auto"/>
                <w:sz w:val="21"/>
                <w:highlight w:val="none"/>
              </w:rPr>
            </w:pPr>
          </w:p>
        </w:tc>
        <w:tc>
          <w:tcPr>
            <w:tcW w:w="2842" w:type="dxa"/>
            <w:vAlign w:val="top"/>
          </w:tcPr>
          <w:p>
            <w:pPr>
              <w:spacing w:before="49" w:line="197" w:lineRule="auto"/>
              <w:ind w:left="126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6"/>
                <w:sz w:val="17"/>
                <w:szCs w:val="17"/>
                <w:highlight w:val="none"/>
              </w:rPr>
              <w:t>5</w:t>
            </w:r>
            <w:r>
              <w:rPr>
                <w:rFonts w:ascii="Times New Roman" w:hAnsi="Times New Roman" w:eastAsia="Times New Roman" w:cs="Times New Roman"/>
                <w:color w:val="auto"/>
                <w:spacing w:val="5"/>
                <w:sz w:val="17"/>
                <w:szCs w:val="17"/>
                <w:highlight w:val="none"/>
              </w:rPr>
              <w:t>0</w:t>
            </w:r>
            <w:r>
              <w:rPr>
                <w:rFonts w:ascii="Times New Roman" w:hAnsi="Times New Roman" w:eastAsia="Times New Roman" w:cs="Times New Roman"/>
                <w:color w:val="auto"/>
                <w:sz w:val="17"/>
                <w:szCs w:val="17"/>
                <w:highlight w:val="none"/>
              </w:rPr>
              <w:t>m</w:t>
            </w:r>
          </w:p>
        </w:tc>
        <w:tc>
          <w:tcPr>
            <w:tcW w:w="1673" w:type="dxa"/>
            <w:vAlign w:val="top"/>
          </w:tcPr>
          <w:p>
            <w:pPr>
              <w:spacing w:before="49" w:line="197" w:lineRule="auto"/>
              <w:ind w:left="596"/>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7"/>
                <w:sz w:val="17"/>
                <w:szCs w:val="17"/>
                <w:highlight w:val="none"/>
              </w:rPr>
              <w:t>2</w:t>
            </w:r>
            <w:r>
              <w:rPr>
                <w:rFonts w:ascii="Times New Roman" w:hAnsi="Times New Roman" w:eastAsia="Times New Roman" w:cs="Times New Roman"/>
                <w:color w:val="auto"/>
                <w:spacing w:val="4"/>
                <w:sz w:val="17"/>
                <w:szCs w:val="17"/>
                <w:highlight w:val="none"/>
              </w:rPr>
              <w:t>349.6</w:t>
            </w:r>
          </w:p>
        </w:tc>
        <w:tc>
          <w:tcPr>
            <w:tcW w:w="1789" w:type="dxa"/>
            <w:tcBorders>
              <w:right w:val="single" w:color="000000" w:sz="10" w:space="0"/>
            </w:tcBorders>
            <w:vAlign w:val="top"/>
          </w:tcPr>
          <w:p>
            <w:pPr>
              <w:spacing w:before="49" w:line="200" w:lineRule="auto"/>
              <w:ind w:left="668"/>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2"/>
                <w:sz w:val="17"/>
                <w:szCs w:val="17"/>
                <w:highlight w:val="none"/>
              </w:rPr>
              <w:t>1</w:t>
            </w:r>
            <w:r>
              <w:rPr>
                <w:rFonts w:ascii="Times New Roman" w:hAnsi="Times New Roman" w:eastAsia="Times New Roman" w:cs="Times New Roman"/>
                <w:color w:val="auto"/>
                <w:spacing w:val="1"/>
                <w:sz w:val="17"/>
                <w:szCs w:val="17"/>
                <w:highlight w:val="none"/>
              </w:rPr>
              <w:t>.2500</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48" w:name="_Toc24505"/>
      <w:r>
        <w:rPr>
          <w:rFonts w:hint="eastAsia" w:ascii="Times New Roman" w:hAnsi="Times New Roman" w:eastAsia="宋体" w:cs="Times New Roman"/>
          <w:snapToGrid/>
          <w:kern w:val="0"/>
          <w:sz w:val="24"/>
          <w:szCs w:val="24"/>
          <w:highlight w:val="none"/>
          <w:lang w:val="en-US" w:eastAsia="zh-CN" w:bidi="ar"/>
        </w:rPr>
        <w:t>(9)类比监测结果评价</w:t>
      </w:r>
      <w:bookmarkEnd w:id="148"/>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本工程输电线路与类比线路电压等级(均为500kV)、架线方式、分裂数(均为4分裂)、 导线排列方式(均为水平排列)均相同，导线型号、子导线分裂间距类似， 故线路下方工频电磁场分布规律及趋势相似。通过上述类比监测结果，可以预计线路在居民点处产生的工频电场强度小于4kV/m，工频磁感应强度小于100μT。</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49" w:name="_bookmark128"/>
      <w:bookmarkEnd w:id="149"/>
      <w:bookmarkStart w:id="150" w:name="_Toc8830"/>
      <w:bookmarkStart w:id="151" w:name="_Toc15489"/>
      <w:r>
        <w:rPr>
          <w:rFonts w:hint="eastAsia" w:ascii="Times New Roman" w:hAnsi="Times New Roman" w:eastAsia="宋体" w:cs="Times New Roman"/>
          <w:snapToGrid/>
          <w:sz w:val="32"/>
          <w:lang w:val="en-US" w:eastAsia="zh-CN" w:bidi="ar-SA"/>
        </w:rPr>
        <w:t>6.2    声环境影响预测与评价</w:t>
      </w:r>
      <w:bookmarkEnd w:id="150"/>
      <w:bookmarkEnd w:id="151"/>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bookmarkStart w:id="152" w:name="_bookmark129"/>
      <w:bookmarkEnd w:id="152"/>
      <w:bookmarkStart w:id="153" w:name="_Toc20050"/>
      <w:r>
        <w:rPr>
          <w:rFonts w:hint="eastAsia" w:ascii="Times New Roman" w:hAnsi="Times New Roman" w:eastAsia="宋体" w:cs="Times New Roman"/>
          <w:snapToGrid/>
          <w:kern w:val="0"/>
          <w:sz w:val="24"/>
          <w:szCs w:val="24"/>
          <w:highlight w:val="none"/>
          <w:lang w:val="en-US" w:eastAsia="zh-CN" w:bidi="ar"/>
        </w:rPr>
        <w:t>6.2.1    500kV 汇集站</w:t>
      </w:r>
      <w:bookmarkEnd w:id="153"/>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bookmarkStart w:id="154" w:name="_Toc27032"/>
      <w:r>
        <w:rPr>
          <w:rFonts w:hint="eastAsia" w:ascii="Times New Roman" w:hAnsi="Times New Roman" w:eastAsia="宋体" w:cs="Times New Roman"/>
          <w:snapToGrid/>
          <w:kern w:val="0"/>
          <w:sz w:val="24"/>
          <w:szCs w:val="24"/>
          <w:highlight w:val="none"/>
          <w:lang w:val="en-US" w:eastAsia="zh-CN" w:bidi="ar"/>
        </w:rPr>
        <w:t>（1） 预测点</w:t>
      </w:r>
      <w:bookmarkEnd w:id="154"/>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本工程500kV 汇集站为新建工程，预测厂界四周噪声。</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bookmarkStart w:id="155" w:name="_Toc2548"/>
      <w:r>
        <w:rPr>
          <w:rFonts w:hint="eastAsia" w:ascii="Times New Roman" w:hAnsi="Times New Roman" w:eastAsia="宋体" w:cs="Times New Roman"/>
          <w:snapToGrid/>
          <w:kern w:val="0"/>
          <w:sz w:val="24"/>
          <w:szCs w:val="24"/>
          <w:highlight w:val="none"/>
          <w:lang w:val="en-US" w:eastAsia="zh-CN" w:bidi="ar"/>
        </w:rPr>
        <w:t>（2） 预测模式</w:t>
      </w:r>
      <w:bookmarkEnd w:id="155"/>
    </w:p>
    <w:p>
      <w:pPr>
        <w:widowControl w:val="0"/>
        <w:kinsoku/>
        <w:autoSpaceDE/>
        <w:autoSpaceDN/>
        <w:adjustRightInd w:val="0"/>
        <w:snapToGrid w:val="0"/>
        <w:spacing w:line="500" w:lineRule="exact"/>
        <w:ind w:firstLine="480" w:firstLineChars="200"/>
        <w:jc w:val="both"/>
        <w:textAlignment w:val="auto"/>
        <w:rPr>
          <w:rFonts w:hint="eastAsia"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依据《环境影响评价技术导则 声环境》（HJ2.4-2021），按式（B.2）计算某一室内声源靠近围护结构处产生的倍频带有声压级或A声级：</w:t>
      </w:r>
    </w:p>
    <w:p>
      <w:pPr>
        <w:widowControl w:val="0"/>
        <w:kinsoku/>
        <w:autoSpaceDE/>
        <w:autoSpaceDN/>
        <w:adjustRightInd/>
        <w:snapToGrid/>
        <w:spacing w:line="240" w:lineRule="auto"/>
        <w:ind w:firstLine="480"/>
        <w:jc w:val="both"/>
        <w:textAlignment w:val="auto"/>
        <w:rPr>
          <w:rFonts w:hint="eastAsia"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position w:val="-28"/>
          <w:sz w:val="24"/>
          <w:szCs w:val="24"/>
          <w:highlight w:val="none"/>
          <w:lang w:val="en-US" w:eastAsia="zh-CN" w:bidi="ar-SA"/>
        </w:rPr>
        <w:object>
          <v:shape id="_x0000_i1025" o:spt="75" type="#_x0000_t75" style="height:34pt;width:132pt;" o:ole="t" filled="f" o:preferrelative="t" stroked="f" coordsize="21600,21600">
            <v:path/>
            <v:fill on="f" focussize="0,0"/>
            <v:stroke on="f"/>
            <v:imagedata r:id="rId80" o:title=""/>
            <o:lock v:ext="edit" aspectratio="t"/>
            <w10:wrap type="none"/>
            <w10:anchorlock/>
          </v:shape>
          <o:OLEObject Type="Embed" ProgID="Equation.KSEE3" ShapeID="_x0000_i1025" DrawAspect="Content" ObjectID="_1468075725" r:id="rId7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式中：</w:t>
      </w:r>
      <w:r>
        <w:rPr>
          <w:rFonts w:hint="default" w:ascii="Times New Roman" w:hAnsi="Times New Roman" w:eastAsia="宋体" w:cs="Times New Roman"/>
          <w:snapToGrid/>
          <w:color w:val="auto"/>
          <w:kern w:val="2"/>
          <w:position w:val="-14"/>
          <w:sz w:val="24"/>
          <w:szCs w:val="24"/>
          <w:highlight w:val="none"/>
          <w:lang w:val="en-US" w:eastAsia="zh-CN" w:bidi="ar-SA"/>
        </w:rPr>
        <w:object>
          <v:shape id="_x0000_i1026" o:spt="75" type="#_x0000_t75" style="height:19pt;width:17pt;" o:ole="t" filled="f" o:preferrelative="t" stroked="f" coordsize="21600,21600">
            <v:path/>
            <v:fill on="f" focussize="0,0"/>
            <v:stroke on="f"/>
            <v:imagedata r:id="rId82" o:title=""/>
            <o:lock v:ext="edit" aspectratio="t"/>
            <w10:wrap type="none"/>
            <w10:anchorlock/>
          </v:shape>
          <o:OLEObject Type="Embed" ProgID="Equation.KSEE3" ShapeID="_x0000_i1026" DrawAspect="Content" ObjectID="_1468075726" r:id="rId81">
            <o:LockedField>false</o:LockedField>
          </o:OLEObject>
        </w:object>
      </w:r>
      <w:r>
        <w:rPr>
          <w:rFonts w:hint="default" w:ascii="Times New Roman" w:hAnsi="Times New Roman" w:eastAsia="宋体" w:cs="Times New Roman"/>
          <w:snapToGrid/>
          <w:color w:val="auto"/>
          <w:kern w:val="2"/>
          <w:sz w:val="24"/>
          <w:szCs w:val="24"/>
          <w:highlight w:val="none"/>
          <w:lang w:val="en-US" w:eastAsia="zh-CN" w:bidi="ar-SA"/>
        </w:rPr>
        <w:t>--靠近开口处（或窗户）室内某倍频带的声压级或A声级，dB；</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position w:val="-12"/>
          <w:sz w:val="24"/>
          <w:szCs w:val="24"/>
          <w:highlight w:val="none"/>
          <w:lang w:val="en-US" w:eastAsia="zh-CN" w:bidi="ar-SA"/>
        </w:rPr>
        <w:object>
          <v:shape id="_x0000_i1027" o:spt="75" type="#_x0000_t75" style="height:18pt;width:15pt;" o:ole="t" filled="f" o:preferrelative="t" stroked="f" coordsize="21600,21600">
            <v:path/>
            <v:fill on="f" focussize="0,0"/>
            <v:stroke on="f"/>
            <v:imagedata r:id="rId84" o:title=""/>
            <o:lock v:ext="edit" aspectratio="t"/>
            <w10:wrap type="none"/>
            <w10:anchorlock/>
          </v:shape>
          <o:OLEObject Type="Embed" ProgID="Equation.KSEE3" ShapeID="_x0000_i1027" DrawAspect="Content" ObjectID="_1468075727" r:id="rId83">
            <o:LockedField>false</o:LockedField>
          </o:OLEObject>
        </w:object>
      </w:r>
      <w:r>
        <w:rPr>
          <w:rFonts w:hint="default" w:ascii="Times New Roman" w:hAnsi="Times New Roman" w:eastAsia="宋体" w:cs="Times New Roman"/>
          <w:snapToGrid/>
          <w:color w:val="auto"/>
          <w:kern w:val="2"/>
          <w:sz w:val="24"/>
          <w:szCs w:val="24"/>
          <w:highlight w:val="none"/>
          <w:lang w:val="en-US" w:eastAsia="zh-CN" w:bidi="ar-SA"/>
        </w:rPr>
        <w:t>--点声源声功率级（A计权或倍频带），dB；</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position w:val="-10"/>
          <w:sz w:val="24"/>
          <w:szCs w:val="24"/>
          <w:highlight w:val="none"/>
          <w:lang w:val="en-US" w:eastAsia="zh-CN" w:bidi="ar-SA"/>
        </w:rPr>
        <w:object>
          <v:shape id="_x0000_i1028" o:spt="75" type="#_x0000_t75" style="height:16pt;width:12pt;" o:ole="t" filled="f" o:preferrelative="t" stroked="f" coordsize="21600,21600">
            <v:path/>
            <v:fill on="f" focussize="0,0"/>
            <v:stroke on="f"/>
            <v:imagedata r:id="rId86" o:title=""/>
            <o:lock v:ext="edit" aspectratio="t"/>
            <w10:wrap type="none"/>
            <w10:anchorlock/>
          </v:shape>
          <o:OLEObject Type="Embed" ProgID="Equation.KSEE3" ShapeID="_x0000_i1028" DrawAspect="Content" ObjectID="_1468075728" r:id="rId85">
            <o:LockedField>false</o:LockedField>
          </o:OLEObject>
        </w:object>
      </w:r>
      <w:r>
        <w:rPr>
          <w:rFonts w:hint="default" w:ascii="Times New Roman" w:hAnsi="Times New Roman" w:eastAsia="宋体" w:cs="Times New Roman"/>
          <w:snapToGrid/>
          <w:color w:val="auto"/>
          <w:kern w:val="2"/>
          <w:sz w:val="24"/>
          <w:szCs w:val="24"/>
          <w:highlight w:val="none"/>
          <w:lang w:val="en-US" w:eastAsia="zh-CN" w:bidi="ar-SA"/>
        </w:rPr>
        <w:t>--指向性因素，通常对无指向性声源，当声源放在房间中心时，Q=1；当放在一面墙的中心时，</w:t>
      </w:r>
      <w:r>
        <w:rPr>
          <w:rFonts w:hint="default" w:ascii="Times New Roman" w:hAnsi="Times New Roman" w:eastAsia="宋体" w:cs="Times New Roman"/>
          <w:snapToGrid/>
          <w:color w:val="auto"/>
          <w:kern w:val="2"/>
          <w:position w:val="-10"/>
          <w:sz w:val="24"/>
          <w:szCs w:val="24"/>
          <w:highlight w:val="none"/>
          <w:lang w:val="en-US" w:eastAsia="zh-CN" w:bidi="ar-SA"/>
        </w:rPr>
        <w:object>
          <v:shape id="_x0000_i1029" o:spt="75" type="#_x0000_t75" style="height:16pt;width:30pt;" o:ole="t" filled="f" o:preferrelative="t" stroked="f" coordsize="21600,21600">
            <v:path/>
            <v:fill on="f" focussize="0,0"/>
            <v:stroke on="f"/>
            <v:imagedata r:id="rId88" o:title=""/>
            <o:lock v:ext="edit" aspectratio="t"/>
            <w10:wrap type="none"/>
            <w10:anchorlock/>
          </v:shape>
          <o:OLEObject Type="Embed" ProgID="Equation.KSEE3" ShapeID="_x0000_i1029" DrawAspect="Content" ObjectID="_1468075729" r:id="rId87">
            <o:LockedField>false</o:LockedField>
          </o:OLEObject>
        </w:object>
      </w:r>
      <w:r>
        <w:rPr>
          <w:rFonts w:hint="default" w:ascii="Times New Roman" w:hAnsi="Times New Roman" w:eastAsia="宋体" w:cs="Times New Roman"/>
          <w:snapToGrid/>
          <w:color w:val="auto"/>
          <w:kern w:val="2"/>
          <w:sz w:val="24"/>
          <w:szCs w:val="24"/>
          <w:highlight w:val="none"/>
          <w:lang w:val="en-US" w:eastAsia="zh-CN" w:bidi="ar-SA"/>
        </w:rPr>
        <w:t>；当放在两面墙夹角处时，</w:t>
      </w:r>
      <w:r>
        <w:rPr>
          <w:rFonts w:hint="default" w:ascii="Times New Roman" w:hAnsi="Times New Roman" w:eastAsia="宋体" w:cs="Times New Roman"/>
          <w:snapToGrid/>
          <w:color w:val="auto"/>
          <w:kern w:val="2"/>
          <w:position w:val="-10"/>
          <w:sz w:val="24"/>
          <w:szCs w:val="24"/>
          <w:highlight w:val="none"/>
          <w:lang w:val="en-US" w:eastAsia="zh-CN" w:bidi="ar-SA"/>
        </w:rPr>
        <w:object>
          <v:shape id="_x0000_i1030" o:spt="75" type="#_x0000_t75" style="height:16pt;width:30pt;" o:ole="t" filled="f" o:preferrelative="t" stroked="f" coordsize="21600,21600">
            <v:path/>
            <v:fill on="f" focussize="0,0"/>
            <v:stroke on="f"/>
            <v:imagedata r:id="rId90" o:title=""/>
            <o:lock v:ext="edit" aspectratio="t"/>
            <w10:wrap type="none"/>
            <w10:anchorlock/>
          </v:shape>
          <o:OLEObject Type="Embed" ProgID="Equation.KSEE3" ShapeID="_x0000_i1030" DrawAspect="Content" ObjectID="_1468075730" r:id="rId89">
            <o:LockedField>false</o:LockedField>
          </o:OLEObject>
        </w:object>
      </w:r>
      <w:r>
        <w:rPr>
          <w:rFonts w:hint="default" w:ascii="Times New Roman" w:hAnsi="Times New Roman" w:eastAsia="宋体" w:cs="Times New Roman"/>
          <w:snapToGrid/>
          <w:color w:val="auto"/>
          <w:kern w:val="2"/>
          <w:sz w:val="24"/>
          <w:szCs w:val="24"/>
          <w:highlight w:val="none"/>
          <w:lang w:val="en-US" w:eastAsia="zh-CN" w:bidi="ar-SA"/>
        </w:rPr>
        <w:t>；当放在三面墙夹角处时，</w:t>
      </w:r>
      <w:r>
        <w:rPr>
          <w:rFonts w:hint="default" w:ascii="Times New Roman" w:hAnsi="Times New Roman" w:eastAsia="宋体" w:cs="Times New Roman"/>
          <w:snapToGrid/>
          <w:color w:val="auto"/>
          <w:kern w:val="2"/>
          <w:position w:val="-10"/>
          <w:sz w:val="24"/>
          <w:szCs w:val="24"/>
          <w:highlight w:val="none"/>
          <w:lang w:val="en-US" w:eastAsia="zh-CN" w:bidi="ar-SA"/>
        </w:rPr>
        <w:object>
          <v:shape id="_x0000_i1031" o:spt="75" type="#_x0000_t75" style="height:16pt;width:30pt;" o:ole="t" filled="f" o:preferrelative="t" stroked="f" coordsize="21600,21600">
            <v:path/>
            <v:fill on="f" focussize="0,0"/>
            <v:stroke on="f"/>
            <v:imagedata r:id="rId92" o:title=""/>
            <o:lock v:ext="edit" aspectratio="t"/>
            <w10:wrap type="none"/>
            <w10:anchorlock/>
          </v:shape>
          <o:OLEObject Type="Embed" ProgID="Equation.KSEE3" ShapeID="_x0000_i1031" DrawAspect="Content" ObjectID="_1468075731" r:id="rId91">
            <o:LockedField>false</o:LockedField>
          </o:OLEObject>
        </w:object>
      </w:r>
      <w:r>
        <w:rPr>
          <w:rFonts w:hint="default" w:ascii="Times New Roman" w:hAnsi="Times New Roman" w:eastAsia="宋体" w:cs="Times New Roman"/>
          <w:snapToGrid/>
          <w:color w:val="auto"/>
          <w:kern w:val="2"/>
          <w:sz w:val="24"/>
          <w:szCs w:val="24"/>
          <w:highlight w:val="none"/>
          <w:lang w:val="en-US" w:eastAsia="zh-CN" w:bidi="ar-SA"/>
        </w:rPr>
        <w:t>；</w:t>
      </w:r>
      <w:r>
        <w:rPr>
          <w:rFonts w:hint="default" w:ascii="Times New Roman" w:hAnsi="Times New Roman" w:eastAsia="宋体" w:cs="Times New Roman"/>
          <w:snapToGrid/>
          <w:color w:val="auto"/>
          <w:spacing w:val="0"/>
          <w:w w:val="100"/>
          <w:kern w:val="24"/>
          <w:position w:val="0"/>
          <w:sz w:val="24"/>
          <w:szCs w:val="24"/>
          <w:highlight w:val="none"/>
          <w:lang w:val="en-US" w:eastAsia="zh-CN" w:bidi="ar-SA"/>
        </w:rPr>
        <w:t>本项目</w:t>
      </w:r>
      <w:r>
        <w:rPr>
          <w:rFonts w:hint="eastAsia" w:ascii="Times New Roman" w:hAnsi="Times New Roman" w:eastAsia="宋体" w:cs="Times New Roman"/>
          <w:snapToGrid/>
          <w:color w:val="auto"/>
          <w:spacing w:val="0"/>
          <w:w w:val="100"/>
          <w:kern w:val="24"/>
          <w:position w:val="0"/>
          <w:sz w:val="24"/>
          <w:szCs w:val="24"/>
          <w:highlight w:val="none"/>
          <w:lang w:val="en-US" w:eastAsia="zh-CN" w:bidi="ar-SA"/>
        </w:rPr>
        <w:t>设备均为地面进行基础减振安装方式，</w:t>
      </w:r>
      <w:r>
        <w:rPr>
          <w:rFonts w:hint="default" w:ascii="Times New Roman" w:hAnsi="Times New Roman" w:eastAsia="宋体" w:cs="Times New Roman"/>
          <w:snapToGrid/>
          <w:color w:val="auto"/>
          <w:spacing w:val="0"/>
          <w:w w:val="100"/>
          <w:kern w:val="24"/>
          <w:position w:val="0"/>
          <w:sz w:val="24"/>
          <w:szCs w:val="24"/>
          <w:highlight w:val="none"/>
          <w:lang w:val="en-US" w:eastAsia="zh-CN" w:bidi="ar-SA"/>
        </w:rPr>
        <w:t>Q取2；</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position w:val="-4"/>
          <w:sz w:val="24"/>
          <w:szCs w:val="24"/>
          <w:highlight w:val="none"/>
          <w:lang w:val="en-US" w:eastAsia="zh-CN" w:bidi="ar-SA"/>
        </w:rPr>
        <w:object>
          <v:shape id="_x0000_i1032" o:spt="75" type="#_x0000_t75" style="height:13pt;width:12pt;" o:ole="t" filled="f" o:preferrelative="t" stroked="f" coordsize="21600,21600">
            <v:path/>
            <v:fill on="f" focussize="0,0"/>
            <v:stroke on="f"/>
            <v:imagedata r:id="rId94" o:title=""/>
            <o:lock v:ext="edit" aspectratio="t"/>
            <w10:wrap type="none"/>
            <w10:anchorlock/>
          </v:shape>
          <o:OLEObject Type="Embed" ProgID="Equation.KSEE3" ShapeID="_x0000_i1032" DrawAspect="Content" ObjectID="_1468075732" r:id="rId93">
            <o:LockedField>false</o:LockedField>
          </o:OLEObject>
        </w:object>
      </w:r>
      <w:r>
        <w:rPr>
          <w:rFonts w:hint="default" w:ascii="Times New Roman" w:hAnsi="Times New Roman" w:eastAsia="宋体" w:cs="Times New Roman"/>
          <w:snapToGrid/>
          <w:color w:val="auto"/>
          <w:kern w:val="2"/>
          <w:sz w:val="24"/>
          <w:szCs w:val="24"/>
          <w:highlight w:val="none"/>
          <w:lang w:val="en-US" w:eastAsia="zh-CN" w:bidi="ar-SA"/>
        </w:rPr>
        <w:t>--房间常数；</w:t>
      </w:r>
      <w:r>
        <w:rPr>
          <w:rFonts w:hint="default" w:ascii="Times New Roman" w:hAnsi="Times New Roman" w:eastAsia="宋体" w:cs="Times New Roman"/>
          <w:snapToGrid/>
          <w:color w:val="auto"/>
          <w:kern w:val="2"/>
          <w:position w:val="-10"/>
          <w:sz w:val="24"/>
          <w:szCs w:val="24"/>
          <w:highlight w:val="none"/>
          <w:lang w:val="en-US" w:eastAsia="zh-CN" w:bidi="ar-SA"/>
        </w:rPr>
        <w:object>
          <v:shape id="_x0000_i1033" o:spt="75" type="#_x0000_t75" style="height:16pt;width:75pt;" o:ole="t" filled="f" o:preferrelative="t" stroked="f" coordsize="21600,21600">
            <v:path/>
            <v:fill on="f" focussize="0,0"/>
            <v:stroke on="f"/>
            <v:imagedata r:id="rId96" o:title=""/>
            <o:lock v:ext="edit" aspectratio="t"/>
            <w10:wrap type="none"/>
            <w10:anchorlock/>
          </v:shape>
          <o:OLEObject Type="Embed" ProgID="Equation.KSEE3" ShapeID="_x0000_i1033" DrawAspect="Content" ObjectID="_1468075733" r:id="rId95">
            <o:LockedField>false</o:LockedField>
          </o:OLEObject>
        </w:object>
      </w:r>
      <w:r>
        <w:rPr>
          <w:rFonts w:hint="default" w:ascii="Times New Roman" w:hAnsi="Times New Roman" w:eastAsia="宋体" w:cs="Times New Roman"/>
          <w:snapToGrid/>
          <w:color w:val="auto"/>
          <w:kern w:val="2"/>
          <w:sz w:val="24"/>
          <w:szCs w:val="24"/>
          <w:highlight w:val="none"/>
          <w:lang w:val="en-US" w:eastAsia="zh-CN" w:bidi="ar-SA"/>
        </w:rPr>
        <w:t>，</w:t>
      </w:r>
      <w:r>
        <w:rPr>
          <w:rFonts w:hint="default" w:ascii="Times New Roman" w:hAnsi="Times New Roman" w:eastAsia="宋体" w:cs="Times New Roman"/>
          <w:snapToGrid/>
          <w:color w:val="auto"/>
          <w:kern w:val="2"/>
          <w:position w:val="-6"/>
          <w:sz w:val="24"/>
          <w:szCs w:val="24"/>
          <w:highlight w:val="none"/>
          <w:lang w:val="en-US" w:eastAsia="zh-CN" w:bidi="ar-SA"/>
        </w:rPr>
        <w:object>
          <v:shape id="_x0000_i1034" o:spt="75" type="#_x0000_t75" style="height:13.95pt;width:11pt;" o:ole="t" filled="f" o:preferrelative="t" stroked="f" coordsize="21600,21600">
            <v:path/>
            <v:fill on="f" focussize="0,0"/>
            <v:stroke on="f"/>
            <v:imagedata r:id="rId98" o:title=""/>
            <o:lock v:ext="edit" aspectratio="t"/>
            <w10:wrap type="none"/>
            <w10:anchorlock/>
          </v:shape>
          <o:OLEObject Type="Embed" ProgID="Equation.KSEE3" ShapeID="_x0000_i1034" DrawAspect="Content" ObjectID="_1468075734" r:id="rId97">
            <o:LockedField>false</o:LockedField>
          </o:OLEObject>
        </w:object>
      </w:r>
      <w:r>
        <w:rPr>
          <w:rFonts w:hint="default" w:ascii="Times New Roman" w:hAnsi="Times New Roman" w:eastAsia="宋体" w:cs="Times New Roman"/>
          <w:snapToGrid/>
          <w:color w:val="auto"/>
          <w:kern w:val="2"/>
          <w:sz w:val="24"/>
          <w:szCs w:val="24"/>
          <w:highlight w:val="none"/>
          <w:lang w:val="en-US" w:eastAsia="zh-CN" w:bidi="ar-SA"/>
        </w:rPr>
        <w:t>为房间内表面面积，m</w:t>
      </w:r>
      <w:r>
        <w:rPr>
          <w:rFonts w:hint="default" w:ascii="Times New Roman" w:hAnsi="Times New Roman" w:eastAsia="宋体" w:cs="Times New Roman"/>
          <w:snapToGrid/>
          <w:color w:val="auto"/>
          <w:kern w:val="2"/>
          <w:sz w:val="24"/>
          <w:szCs w:val="24"/>
          <w:highlight w:val="none"/>
          <w:vertAlign w:val="superscript"/>
          <w:lang w:val="en-US" w:eastAsia="zh-CN" w:bidi="ar-SA"/>
        </w:rPr>
        <w:t>2</w:t>
      </w:r>
      <w:r>
        <w:rPr>
          <w:rFonts w:hint="default" w:ascii="Times New Roman" w:hAnsi="Times New Roman" w:eastAsia="宋体" w:cs="Times New Roman"/>
          <w:snapToGrid/>
          <w:color w:val="auto"/>
          <w:kern w:val="2"/>
          <w:sz w:val="24"/>
          <w:szCs w:val="24"/>
          <w:highlight w:val="none"/>
          <w:lang w:val="en-US" w:eastAsia="zh-CN" w:bidi="ar-SA"/>
        </w:rPr>
        <w:t>；</w:t>
      </w:r>
      <w:r>
        <w:rPr>
          <w:rFonts w:hint="default" w:ascii="Times New Roman" w:hAnsi="Times New Roman" w:eastAsia="宋体" w:cs="Times New Roman"/>
          <w:snapToGrid/>
          <w:color w:val="auto"/>
          <w:kern w:val="2"/>
          <w:position w:val="-6"/>
          <w:sz w:val="24"/>
          <w:szCs w:val="24"/>
          <w:highlight w:val="none"/>
          <w:lang w:val="en-US" w:eastAsia="zh-CN" w:bidi="ar-SA"/>
        </w:rPr>
        <w:object>
          <v:shape id="_x0000_i1035" o:spt="75" type="#_x0000_t75" style="height:11pt;width:12pt;" o:ole="t" filled="f" o:preferrelative="t" stroked="f" coordsize="21600,21600">
            <v:path/>
            <v:fill on="f" focussize="0,0"/>
            <v:stroke on="f"/>
            <v:imagedata r:id="rId100" o:title=""/>
            <o:lock v:ext="edit" aspectratio="t"/>
            <w10:wrap type="none"/>
            <w10:anchorlock/>
          </v:shape>
          <o:OLEObject Type="Embed" ProgID="Equation.KSEE3" ShapeID="_x0000_i1035" DrawAspect="Content" ObjectID="_1468075735" r:id="rId99">
            <o:LockedField>false</o:LockedField>
          </o:OLEObject>
        </w:object>
      </w:r>
      <w:r>
        <w:rPr>
          <w:rFonts w:hint="default" w:ascii="Times New Roman" w:hAnsi="Times New Roman" w:eastAsia="宋体" w:cs="Times New Roman"/>
          <w:snapToGrid/>
          <w:color w:val="auto"/>
          <w:kern w:val="2"/>
          <w:sz w:val="24"/>
          <w:szCs w:val="24"/>
          <w:highlight w:val="none"/>
          <w:lang w:val="en-US" w:eastAsia="zh-CN" w:bidi="ar-SA"/>
        </w:rPr>
        <w:t>为平均吸声系数；</w:t>
      </w:r>
      <w:r>
        <w:rPr>
          <w:rFonts w:hint="default" w:ascii="Times New Roman" w:hAnsi="Times New Roman" w:eastAsia="宋体" w:cs="Times New Roman"/>
          <w:b w:val="0"/>
          <w:bCs w:val="0"/>
          <w:snapToGrid/>
          <w:color w:val="auto"/>
          <w:kern w:val="0"/>
          <w:sz w:val="24"/>
          <w:szCs w:val="24"/>
          <w:highlight w:val="none"/>
          <w:lang w:val="en-US" w:eastAsia="zh-CN" w:bidi="ar"/>
        </w:rPr>
        <w:t>锅炉房为钢筋混凝土结构，α取值0.02，锅炉房层高为</w:t>
      </w:r>
      <w:r>
        <w:rPr>
          <w:rFonts w:hint="eastAsia" w:ascii="Times New Roman" w:hAnsi="Times New Roman" w:eastAsia="宋体" w:cs="Times New Roman"/>
          <w:b w:val="0"/>
          <w:bCs w:val="0"/>
          <w:snapToGrid/>
          <w:color w:val="auto"/>
          <w:kern w:val="0"/>
          <w:sz w:val="24"/>
          <w:szCs w:val="24"/>
          <w:highlight w:val="none"/>
          <w:lang w:val="en-US" w:eastAsia="zh-CN" w:bidi="ar"/>
        </w:rPr>
        <w:t>5</w:t>
      </w:r>
      <w:r>
        <w:rPr>
          <w:rFonts w:hint="default" w:ascii="Times New Roman" w:hAnsi="Times New Roman" w:eastAsia="宋体" w:cs="Times New Roman"/>
          <w:b w:val="0"/>
          <w:bCs w:val="0"/>
          <w:snapToGrid/>
          <w:color w:val="auto"/>
          <w:kern w:val="0"/>
          <w:sz w:val="24"/>
          <w:szCs w:val="24"/>
          <w:highlight w:val="none"/>
          <w:lang w:val="en-US" w:eastAsia="zh-CN" w:bidi="ar"/>
        </w:rPr>
        <w:t>m，S为1</w:t>
      </w:r>
      <w:r>
        <w:rPr>
          <w:rFonts w:hint="eastAsia" w:ascii="Times New Roman" w:hAnsi="Times New Roman" w:eastAsia="宋体" w:cs="Times New Roman"/>
          <w:b w:val="0"/>
          <w:bCs w:val="0"/>
          <w:snapToGrid/>
          <w:color w:val="auto"/>
          <w:kern w:val="0"/>
          <w:sz w:val="24"/>
          <w:szCs w:val="24"/>
          <w:highlight w:val="none"/>
          <w:lang w:val="en-US" w:eastAsia="zh-CN" w:bidi="ar"/>
        </w:rPr>
        <w:t>62</w:t>
      </w:r>
      <w:r>
        <w:rPr>
          <w:rFonts w:hint="default" w:ascii="Times New Roman" w:hAnsi="Times New Roman" w:eastAsia="宋体" w:cs="Times New Roman"/>
          <w:b w:val="0"/>
          <w:bCs w:val="0"/>
          <w:snapToGrid/>
          <w:color w:val="auto"/>
          <w:kern w:val="0"/>
          <w:sz w:val="24"/>
          <w:szCs w:val="24"/>
          <w:highlight w:val="none"/>
          <w:lang w:val="en-US" w:eastAsia="zh-CN" w:bidi="ar"/>
        </w:rPr>
        <w:t>，计算</w:t>
      </w:r>
      <w:r>
        <w:rPr>
          <w:rFonts w:hint="default" w:ascii="Times New Roman" w:hAnsi="Times New Roman" w:eastAsia="宋体" w:cs="Times New Roman"/>
          <w:i/>
          <w:iCs/>
          <w:snapToGrid/>
          <w:color w:val="auto"/>
          <w:spacing w:val="0"/>
          <w:w w:val="100"/>
          <w:kern w:val="24"/>
          <w:position w:val="0"/>
          <w:sz w:val="24"/>
          <w:szCs w:val="24"/>
          <w:highlight w:val="none"/>
          <w:lang w:val="en-US" w:eastAsia="zh-CN" w:bidi="ar-SA"/>
        </w:rPr>
        <w:t>R</w:t>
      </w:r>
      <w:r>
        <w:rPr>
          <w:rFonts w:hint="default" w:ascii="Times New Roman" w:hAnsi="Times New Roman" w:eastAsia="宋体" w:cs="Times New Roman"/>
          <w:i w:val="0"/>
          <w:iCs w:val="0"/>
          <w:snapToGrid/>
          <w:color w:val="auto"/>
          <w:spacing w:val="0"/>
          <w:w w:val="100"/>
          <w:kern w:val="24"/>
          <w:position w:val="0"/>
          <w:sz w:val="24"/>
          <w:szCs w:val="24"/>
          <w:highlight w:val="none"/>
          <w:lang w:val="en-US" w:eastAsia="zh-CN" w:bidi="ar-SA"/>
        </w:rPr>
        <w:t>为</w:t>
      </w:r>
      <w:r>
        <w:rPr>
          <w:rFonts w:hint="eastAsia" w:ascii="Times New Roman" w:hAnsi="Times New Roman" w:eastAsia="宋体" w:cs="Times New Roman"/>
          <w:i w:val="0"/>
          <w:iCs w:val="0"/>
          <w:snapToGrid/>
          <w:color w:val="auto"/>
          <w:spacing w:val="0"/>
          <w:w w:val="100"/>
          <w:kern w:val="24"/>
          <w:position w:val="0"/>
          <w:sz w:val="24"/>
          <w:szCs w:val="24"/>
          <w:highlight w:val="none"/>
          <w:lang w:val="en-US" w:eastAsia="zh-CN" w:bidi="ar-SA"/>
        </w:rPr>
        <w:t>3.31；</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position w:val="-4"/>
          <w:sz w:val="24"/>
          <w:szCs w:val="24"/>
          <w:highlight w:val="none"/>
          <w:lang w:val="en-US" w:eastAsia="zh-CN" w:bidi="ar-SA"/>
        </w:rPr>
        <w:object>
          <v:shape id="_x0000_i1036" o:spt="75" type="#_x0000_t75" style="height:10pt;width:9pt;" o:ole="t" filled="f" o:preferrelative="t" stroked="f" coordsize="21600,21600">
            <v:path/>
            <v:fill on="f" focussize="0,0"/>
            <v:stroke on="f"/>
            <v:imagedata r:id="rId102" o:title=""/>
            <o:lock v:ext="edit" aspectratio="t"/>
            <w10:wrap type="none"/>
            <w10:anchorlock/>
          </v:shape>
          <o:OLEObject Type="Embed" ProgID="Equation.KSEE3" ShapeID="_x0000_i1036" DrawAspect="Content" ObjectID="_1468075736" r:id="rId101">
            <o:LockedField>false</o:LockedField>
          </o:OLEObject>
        </w:object>
      </w:r>
      <w:r>
        <w:rPr>
          <w:rFonts w:hint="default" w:ascii="Times New Roman" w:hAnsi="Times New Roman" w:eastAsia="宋体" w:cs="Times New Roman"/>
          <w:snapToGrid/>
          <w:color w:val="auto"/>
          <w:kern w:val="2"/>
          <w:sz w:val="24"/>
          <w:szCs w:val="24"/>
          <w:highlight w:val="none"/>
          <w:lang w:val="en-US" w:eastAsia="zh-CN" w:bidi="ar-SA"/>
        </w:rPr>
        <w:t>--声源到靠近围护结构某点处的距离；m。</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jc w:val="both"/>
        <w:textAlignment w:val="auto"/>
        <w:rPr>
          <w:rFonts w:hint="eastAsia" w:ascii="Times New Roman" w:hAnsi="Times New Roman" w:eastAsia="宋体" w:cs="Times New Roman"/>
          <w:snapToGrid/>
          <w:color w:val="auto"/>
          <w:kern w:val="2"/>
          <w:position w:val="-4"/>
          <w:sz w:val="24"/>
          <w:szCs w:val="24"/>
          <w:highlight w:val="none"/>
          <w:lang w:val="en-US" w:eastAsia="zh-CN" w:bidi="ar-SA"/>
        </w:rPr>
      </w:pPr>
      <w:r>
        <w:rPr>
          <w:rFonts w:hint="default" w:ascii="Times New Roman" w:hAnsi="Times New Roman" w:eastAsia="宋体" w:cs="Times New Roman"/>
          <w:snapToGrid/>
          <w:color w:val="auto"/>
          <w:kern w:val="2"/>
          <w:position w:val="-4"/>
          <w:sz w:val="24"/>
          <w:szCs w:val="24"/>
          <w:highlight w:val="none"/>
          <w:lang w:val="en-US" w:eastAsia="zh-CN" w:bidi="ar-SA"/>
        </w:rPr>
        <w:object>
          <v:shape id="_x0000_i1037" o:spt="75" type="#_x0000_t75" style="height:19pt;width:96pt;" o:ole="t" filled="f" o:preferrelative="t" stroked="f" coordsize="21600,21600">
            <v:path/>
            <v:fill on="f" focussize="0,0"/>
            <v:stroke on="f"/>
            <v:imagedata r:id="rId104" o:title=""/>
            <o:lock v:ext="edit" aspectratio="t"/>
            <w10:wrap type="none"/>
            <w10:anchorlock/>
          </v:shape>
          <o:OLEObject Type="Embed" ProgID="Equation.KSEE3" ShapeID="_x0000_i1037" DrawAspect="Content" ObjectID="_1468075737" r:id="rId10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position w:val="-4"/>
          <w:sz w:val="24"/>
          <w:szCs w:val="24"/>
          <w:highlight w:val="none"/>
          <w:lang w:val="en-US" w:eastAsia="zh-CN" w:bidi="ar-SA"/>
        </w:rPr>
      </w:pPr>
      <w:r>
        <w:rPr>
          <w:rFonts w:hint="default" w:ascii="Times New Roman" w:hAnsi="Times New Roman" w:eastAsia="宋体" w:cs="Times New Roman"/>
          <w:snapToGrid/>
          <w:color w:val="auto"/>
          <w:kern w:val="2"/>
          <w:position w:val="-4"/>
          <w:sz w:val="24"/>
          <w:szCs w:val="24"/>
          <w:highlight w:val="none"/>
          <w:lang w:val="en-US" w:eastAsia="zh-CN" w:bidi="ar-SA"/>
        </w:rPr>
        <w:t>式中：</w:t>
      </w:r>
      <w:r>
        <w:rPr>
          <w:rFonts w:hint="default" w:ascii="Times New Roman" w:hAnsi="Times New Roman" w:eastAsia="宋体" w:cs="Times New Roman"/>
          <w:snapToGrid/>
          <w:color w:val="auto"/>
          <w:kern w:val="2"/>
          <w:position w:val="-4"/>
          <w:sz w:val="24"/>
          <w:szCs w:val="24"/>
          <w:highlight w:val="none"/>
          <w:lang w:val="en-US" w:eastAsia="zh-CN" w:bidi="ar-SA"/>
        </w:rPr>
        <w:object>
          <v:shape id="_x0000_i1038" o:spt="75" type="#_x0000_t75" style="height:19pt;width:19pt;" o:ole="t" filled="f" o:preferrelative="t" stroked="f" coordsize="21600,21600">
            <v:path/>
            <v:fill on="f" focussize="0,0"/>
            <v:stroke on="f"/>
            <v:imagedata r:id="rId106" o:title=""/>
            <o:lock v:ext="edit" aspectratio="t"/>
            <w10:wrap type="none"/>
            <w10:anchorlock/>
          </v:shape>
          <o:OLEObject Type="Embed" ProgID="Equation.KSEE3" ShapeID="_x0000_i1038" DrawAspect="Content" ObjectID="_1468075738" r:id="rId105">
            <o:LockedField>false</o:LockedField>
          </o:OLEObject>
        </w:object>
      </w:r>
      <w:r>
        <w:rPr>
          <w:rFonts w:hint="default" w:ascii="Times New Roman" w:hAnsi="Times New Roman" w:eastAsia="宋体" w:cs="Times New Roman"/>
          <w:snapToGrid/>
          <w:color w:val="auto"/>
          <w:kern w:val="2"/>
          <w:position w:val="-4"/>
          <w:sz w:val="24"/>
          <w:szCs w:val="24"/>
          <w:highlight w:val="none"/>
          <w:lang w:val="en-US" w:eastAsia="zh-CN" w:bidi="ar-SA"/>
        </w:rPr>
        <w:t>--靠近</w:t>
      </w:r>
      <w:r>
        <w:rPr>
          <w:rFonts w:hint="eastAsia" w:ascii="Times New Roman" w:hAnsi="Times New Roman" w:eastAsia="宋体" w:cs="Times New Roman"/>
          <w:snapToGrid/>
          <w:color w:val="auto"/>
          <w:kern w:val="2"/>
          <w:position w:val="-4"/>
          <w:sz w:val="24"/>
          <w:szCs w:val="24"/>
          <w:highlight w:val="none"/>
          <w:lang w:val="en-US" w:eastAsia="zh-CN" w:bidi="ar-SA"/>
        </w:rPr>
        <w:t>围护结构</w:t>
      </w:r>
      <w:r>
        <w:rPr>
          <w:rFonts w:hint="default" w:ascii="Times New Roman" w:hAnsi="Times New Roman" w:eastAsia="宋体" w:cs="Times New Roman"/>
          <w:snapToGrid/>
          <w:color w:val="auto"/>
          <w:kern w:val="2"/>
          <w:position w:val="-4"/>
          <w:sz w:val="24"/>
          <w:szCs w:val="24"/>
          <w:highlight w:val="none"/>
          <w:lang w:val="en-US" w:eastAsia="zh-CN" w:bidi="ar-SA"/>
        </w:rPr>
        <w:t>室外某倍频带的声压级或A声级，dB；</w:t>
      </w:r>
    </w:p>
    <w:p>
      <w:pPr>
        <w:spacing w:before="125" w:line="322" w:lineRule="exact"/>
        <w:ind w:left="611"/>
        <w:rPr>
          <w:rFonts w:ascii="宋体" w:hAnsi="宋体" w:eastAsia="宋体" w:cs="宋体"/>
          <w:color w:val="0000FF"/>
          <w:sz w:val="24"/>
          <w:szCs w:val="24"/>
          <w:highlight w:val="none"/>
        </w:rPr>
      </w:pPr>
      <w:r>
        <w:rPr>
          <w:rFonts w:hint="default" w:ascii="Times New Roman" w:hAnsi="Times New Roman" w:eastAsia="宋体" w:cs="Times New Roman"/>
          <w:snapToGrid/>
          <w:color w:val="auto"/>
          <w:kern w:val="2"/>
          <w:position w:val="-4"/>
          <w:sz w:val="24"/>
          <w:szCs w:val="24"/>
          <w:highlight w:val="none"/>
          <w:lang w:val="en-US" w:eastAsia="zh-CN" w:bidi="ar-SA"/>
        </w:rPr>
        <w:object>
          <v:shape id="_x0000_i1039" o:spt="75" type="#_x0000_t75" style="height:13pt;width:17pt;" o:ole="t" filled="f" o:preferrelative="t" stroked="f" coordsize="21600,21600">
            <v:path/>
            <v:fill on="f" focussize="0,0"/>
            <v:stroke on="f"/>
            <v:imagedata r:id="rId108" o:title=""/>
            <o:lock v:ext="edit" aspectratio="t"/>
            <w10:wrap type="none"/>
            <w10:anchorlock/>
          </v:shape>
          <o:OLEObject Type="Embed" ProgID="Equation.KSEE3" ShapeID="_x0000_i1039" DrawAspect="Content" ObjectID="_1468075739" r:id="rId107">
            <o:LockedField>false</o:LockedField>
          </o:OLEObject>
        </w:object>
      </w:r>
      <w:r>
        <w:rPr>
          <w:rFonts w:hint="default" w:ascii="Times New Roman" w:hAnsi="Times New Roman" w:eastAsia="宋体" w:cs="Times New Roman"/>
          <w:snapToGrid/>
          <w:color w:val="auto"/>
          <w:kern w:val="2"/>
          <w:position w:val="-4"/>
          <w:sz w:val="24"/>
          <w:szCs w:val="24"/>
          <w:highlight w:val="none"/>
          <w:lang w:val="en-US" w:eastAsia="zh-CN" w:bidi="ar-SA"/>
        </w:rPr>
        <w:t>--隔墙倍频带或A声级的隔声量，dB。</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56" w:name="_Toc9993"/>
      <w:r>
        <w:rPr>
          <w:rFonts w:hint="eastAsia" w:ascii="Times New Roman" w:hAnsi="Times New Roman" w:eastAsia="宋体" w:cs="Times New Roman"/>
          <w:snapToGrid/>
          <w:kern w:val="0"/>
          <w:sz w:val="24"/>
          <w:szCs w:val="24"/>
          <w:highlight w:val="none"/>
          <w:lang w:val="en-US" w:eastAsia="zh-CN" w:bidi="ar"/>
        </w:rPr>
        <w:t>（3）噪声源强</w:t>
      </w:r>
      <w:bookmarkEnd w:id="156"/>
    </w:p>
    <w:p>
      <w:pPr>
        <w:widowControl/>
        <w:kinsoku/>
        <w:autoSpaceDE/>
        <w:autoSpaceDN/>
        <w:adjustRightInd/>
        <w:snapToGrid/>
        <w:spacing w:line="360" w:lineRule="auto"/>
        <w:ind w:firstLine="480" w:firstLineChars="200"/>
        <w:jc w:val="both"/>
        <w:textAlignment w:val="auto"/>
        <w:rPr>
          <w:rFonts w:ascii="宋体" w:hAnsi="宋体" w:eastAsia="宋体" w:cs="宋体"/>
          <w:color w:val="auto"/>
          <w:sz w:val="23"/>
          <w:szCs w:val="23"/>
          <w:highlight w:val="none"/>
        </w:rPr>
      </w:pPr>
      <w:r>
        <w:rPr>
          <w:rFonts w:hint="eastAsia" w:ascii="Times New Roman" w:hAnsi="Times New Roman" w:eastAsia="宋体" w:cs="Times New Roman"/>
          <w:snapToGrid/>
          <w:kern w:val="0"/>
          <w:sz w:val="24"/>
          <w:szCs w:val="24"/>
          <w:highlight w:val="none"/>
          <w:lang w:val="en-US" w:eastAsia="zh-CN" w:bidi="ar"/>
        </w:rPr>
        <w:t>新建500kV 汇集站为户内式，噪声源主要为主变压器。根据设计单位提供资料以及 DL/T《变电站噪声控制技术导则》，500kV 主变压器噪声源强为80dB(A)  。本项目共1台主变压器，单台主变压器占地面积80 m2，高度5m。本项目噪声源强见表6.2-</w:t>
      </w:r>
      <w:r>
        <w:rPr>
          <w:rFonts w:hint="eastAsia" w:ascii="Times New Roman" w:hAnsi="Times New Roman" w:eastAsia="宋体" w:cs="Times New Roman"/>
          <w:color w:val="auto"/>
          <w:spacing w:val="3"/>
          <w:sz w:val="23"/>
          <w:szCs w:val="23"/>
          <w:highlight w:val="none"/>
          <w:lang w:val="en-US" w:eastAsia="zh-CN"/>
        </w:rPr>
        <w:t>1</w:t>
      </w:r>
      <w:r>
        <w:rPr>
          <w:rFonts w:ascii="宋体" w:hAnsi="宋体" w:eastAsia="宋体" w:cs="宋体"/>
          <w:color w:val="auto"/>
          <w:sz w:val="23"/>
          <w:szCs w:val="23"/>
          <w:highlight w:val="none"/>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Times New Roman"/>
          <w:b/>
          <w:bCs/>
          <w:snapToGrid/>
          <w:color w:val="auto"/>
          <w:kern w:val="2"/>
          <w:sz w:val="21"/>
          <w:szCs w:val="21"/>
          <w:highlight w:val="none"/>
          <w:lang w:val="en-US" w:eastAsia="zh-CN" w:bidi="ar-SA"/>
        </w:rPr>
      </w:pPr>
      <w:r>
        <w:rPr>
          <w:rFonts w:ascii="Times New Roman" w:hAnsi="Times New Roman" w:eastAsia="宋体" w:cs="Times New Roman"/>
          <w:b/>
          <w:bCs/>
          <w:snapToGrid/>
          <w:color w:val="auto"/>
          <w:kern w:val="2"/>
          <w:sz w:val="21"/>
          <w:szCs w:val="21"/>
          <w:highlight w:val="none"/>
          <w:lang w:val="en-US" w:eastAsia="zh-CN" w:bidi="ar-SA"/>
        </w:rPr>
        <w:t>表4-</w:t>
      </w:r>
      <w:r>
        <w:rPr>
          <w:rFonts w:hint="eastAsia" w:ascii="Times New Roman" w:hAnsi="Times New Roman" w:eastAsia="宋体" w:cs="Times New Roman"/>
          <w:b/>
          <w:bCs/>
          <w:snapToGrid/>
          <w:color w:val="auto"/>
          <w:kern w:val="2"/>
          <w:sz w:val="21"/>
          <w:szCs w:val="21"/>
          <w:highlight w:val="none"/>
          <w:lang w:val="en-US" w:eastAsia="zh-CN" w:bidi="ar-SA"/>
        </w:rPr>
        <w:t>8主要噪声源及源强一览表</w:t>
      </w:r>
    </w:p>
    <w:tbl>
      <w:tblPr>
        <w:tblStyle w:val="13"/>
        <w:tblW w:w="935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67"/>
        <w:gridCol w:w="580"/>
        <w:gridCol w:w="727"/>
        <w:gridCol w:w="664"/>
        <w:gridCol w:w="629"/>
        <w:gridCol w:w="509"/>
        <w:gridCol w:w="535"/>
        <w:gridCol w:w="965"/>
        <w:gridCol w:w="1031"/>
        <w:gridCol w:w="617"/>
        <w:gridCol w:w="763"/>
        <w:gridCol w:w="1124"/>
        <w:gridCol w:w="6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 w:type="dxa"/>
            <w:vMerge w:val="restart"/>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建筑物名称</w:t>
            </w:r>
          </w:p>
        </w:tc>
        <w:tc>
          <w:tcPr>
            <w:tcW w:w="580" w:type="dxa"/>
            <w:vMerge w:val="restart"/>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噪声源</w:t>
            </w:r>
          </w:p>
        </w:tc>
        <w:tc>
          <w:tcPr>
            <w:tcW w:w="727" w:type="dxa"/>
            <w:vMerge w:val="restart"/>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单台设备源强/dB（A）</w:t>
            </w:r>
          </w:p>
        </w:tc>
        <w:tc>
          <w:tcPr>
            <w:tcW w:w="664" w:type="dxa"/>
            <w:vMerge w:val="restart"/>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声源控制措施</w:t>
            </w:r>
          </w:p>
        </w:tc>
        <w:tc>
          <w:tcPr>
            <w:tcW w:w="1673" w:type="dxa"/>
            <w:gridSpan w:val="3"/>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空间相对位置/m</w:t>
            </w:r>
          </w:p>
        </w:tc>
        <w:tc>
          <w:tcPr>
            <w:tcW w:w="965" w:type="dxa"/>
            <w:vMerge w:val="restart"/>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距室内边界距离/m</w:t>
            </w:r>
          </w:p>
        </w:tc>
        <w:tc>
          <w:tcPr>
            <w:tcW w:w="1031" w:type="dxa"/>
            <w:vMerge w:val="restart"/>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室内边界声级/dB（A）</w:t>
            </w:r>
          </w:p>
        </w:tc>
        <w:tc>
          <w:tcPr>
            <w:tcW w:w="617" w:type="dxa"/>
            <w:vMerge w:val="restart"/>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b/>
                <w:bCs/>
                <w:snapToGrid/>
                <w:color w:val="auto"/>
                <w:kern w:val="2"/>
                <w:sz w:val="18"/>
                <w:szCs w:val="18"/>
                <w:highlight w:val="none"/>
                <w:vertAlign w:val="baseli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运行</w:t>
            </w:r>
          </w:p>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时段</w:t>
            </w:r>
          </w:p>
        </w:tc>
        <w:tc>
          <w:tcPr>
            <w:tcW w:w="763" w:type="dxa"/>
            <w:vMerge w:val="restart"/>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建筑物插入损失/dB（A）</w:t>
            </w:r>
          </w:p>
        </w:tc>
        <w:tc>
          <w:tcPr>
            <w:tcW w:w="1763" w:type="dxa"/>
            <w:gridSpan w:val="2"/>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eastAsia" w:ascii="Times New Roman" w:hAnsi="Times New Roman" w:eastAsia="宋体" w:cs="Times New Roman"/>
                <w:b/>
                <w:bCs/>
                <w:snapToGrid/>
                <w:color w:val="auto"/>
                <w:kern w:val="2"/>
                <w:sz w:val="18"/>
                <w:szCs w:val="18"/>
                <w:highlight w:val="none"/>
                <w:vertAlign w:val="baseline"/>
                <w:lang w:val="en-US" w:eastAsia="zh-CN" w:bidi="ar-SA"/>
              </w:rPr>
              <w:t>建筑物外噪声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 w:type="dxa"/>
            <w:vMerge w:val="continue"/>
            <w:tcBorders>
              <w:tl2br w:val="nil"/>
              <w:tr2bl w:val="nil"/>
            </w:tcBorders>
            <w:noWrap w:val="0"/>
            <w:vAlign w:val="top"/>
          </w:tcPr>
          <w:p>
            <w:pPr>
              <w:widowControl w:val="0"/>
              <w:kinsoku/>
              <w:autoSpaceDE/>
              <w:autoSpaceDN/>
              <w:adjustRightInd/>
              <w:snapToGrid/>
              <w:spacing w:line="360" w:lineRule="exact"/>
              <w:jc w:val="center"/>
              <w:textAlignment w:val="auto"/>
              <w:rPr>
                <w:rFonts w:hint="eastAsia" w:ascii="Times New Roman" w:hAnsi="Times New Roman" w:eastAsia="宋体" w:cs="Times New Roman"/>
                <w:snapToGrid/>
                <w:color w:val="auto"/>
                <w:kern w:val="2"/>
                <w:szCs w:val="24"/>
                <w:highlight w:val="none"/>
                <w:lang w:val="en-US" w:eastAsia="zh-CN" w:bidi="ar-SA"/>
              </w:rPr>
            </w:pPr>
          </w:p>
        </w:tc>
        <w:tc>
          <w:tcPr>
            <w:tcW w:w="580" w:type="dxa"/>
            <w:vMerge w:val="continue"/>
            <w:tcBorders>
              <w:tl2br w:val="nil"/>
              <w:tr2bl w:val="nil"/>
            </w:tcBorders>
            <w:noWrap w:val="0"/>
            <w:vAlign w:val="top"/>
          </w:tcPr>
          <w:p>
            <w:pPr>
              <w:widowControl w:val="0"/>
              <w:kinsoku/>
              <w:autoSpaceDE/>
              <w:autoSpaceDN/>
              <w:adjustRightInd/>
              <w:snapToGrid/>
              <w:spacing w:line="360" w:lineRule="exact"/>
              <w:jc w:val="center"/>
              <w:textAlignment w:val="auto"/>
              <w:rPr>
                <w:rFonts w:hint="eastAsia" w:ascii="Times New Roman" w:hAnsi="Times New Roman" w:eastAsia="宋体" w:cs="Times New Roman"/>
                <w:snapToGrid/>
                <w:color w:val="auto"/>
                <w:kern w:val="2"/>
                <w:szCs w:val="24"/>
                <w:highlight w:val="none"/>
                <w:lang w:val="en-US" w:eastAsia="zh-CN" w:bidi="ar-SA"/>
              </w:rPr>
            </w:pPr>
          </w:p>
        </w:tc>
        <w:tc>
          <w:tcPr>
            <w:tcW w:w="727" w:type="dxa"/>
            <w:vMerge w:val="continue"/>
            <w:tcBorders>
              <w:tl2br w:val="nil"/>
              <w:tr2bl w:val="nil"/>
            </w:tcBorders>
            <w:noWrap w:val="0"/>
            <w:vAlign w:val="top"/>
          </w:tcPr>
          <w:p>
            <w:pPr>
              <w:widowControl w:val="0"/>
              <w:kinsoku/>
              <w:autoSpaceDE/>
              <w:autoSpaceDN/>
              <w:adjustRightInd/>
              <w:snapToGrid/>
              <w:spacing w:line="360" w:lineRule="exact"/>
              <w:jc w:val="center"/>
              <w:textAlignment w:val="auto"/>
              <w:rPr>
                <w:rFonts w:hint="eastAsia" w:ascii="Times New Roman" w:hAnsi="Times New Roman" w:eastAsia="宋体" w:cs="Times New Roman"/>
                <w:snapToGrid/>
                <w:color w:val="auto"/>
                <w:kern w:val="2"/>
                <w:szCs w:val="24"/>
                <w:highlight w:val="none"/>
                <w:lang w:val="en-US" w:eastAsia="zh-CN" w:bidi="ar-SA"/>
              </w:rPr>
            </w:pPr>
          </w:p>
        </w:tc>
        <w:tc>
          <w:tcPr>
            <w:tcW w:w="664" w:type="dxa"/>
            <w:vMerge w:val="continue"/>
            <w:tcBorders>
              <w:tl2br w:val="nil"/>
              <w:tr2bl w:val="nil"/>
            </w:tcBorders>
            <w:noWrap w:val="0"/>
            <w:vAlign w:val="top"/>
          </w:tcPr>
          <w:p>
            <w:pPr>
              <w:widowControl w:val="0"/>
              <w:kinsoku/>
              <w:autoSpaceDE/>
              <w:autoSpaceDN/>
              <w:adjustRightInd/>
              <w:snapToGrid/>
              <w:spacing w:line="360" w:lineRule="exact"/>
              <w:jc w:val="center"/>
              <w:textAlignment w:val="auto"/>
              <w:rPr>
                <w:rFonts w:hint="eastAsia" w:ascii="Times New Roman" w:hAnsi="Times New Roman" w:eastAsia="宋体" w:cs="Times New Roman"/>
                <w:snapToGrid/>
                <w:color w:val="auto"/>
                <w:kern w:val="2"/>
                <w:szCs w:val="24"/>
                <w:highlight w:val="none"/>
                <w:lang w:val="en-US" w:eastAsia="zh-CN" w:bidi="ar-SA"/>
              </w:rPr>
            </w:pPr>
          </w:p>
        </w:tc>
        <w:tc>
          <w:tcPr>
            <w:tcW w:w="629" w:type="dxa"/>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X</w:t>
            </w:r>
          </w:p>
        </w:tc>
        <w:tc>
          <w:tcPr>
            <w:tcW w:w="509" w:type="dxa"/>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Y</w:t>
            </w:r>
          </w:p>
        </w:tc>
        <w:tc>
          <w:tcPr>
            <w:tcW w:w="535" w:type="dxa"/>
            <w:tcBorders>
              <w:tl2br w:val="nil"/>
              <w:tr2bl w:val="nil"/>
            </w:tcBorders>
            <w:noWrap w:val="0"/>
            <w:vAlign w:val="center"/>
          </w:tcPr>
          <w:p>
            <w:pPr>
              <w:widowControl w:val="0"/>
              <w:kinsoku/>
              <w:autoSpaceDE/>
              <w:autoSpaceDN/>
              <w:adjustRightInd/>
              <w:snapToGrid/>
              <w:spacing w:line="240" w:lineRule="auto"/>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bCs/>
                <w:snapToGrid/>
                <w:color w:val="auto"/>
                <w:kern w:val="2"/>
                <w:sz w:val="18"/>
                <w:szCs w:val="18"/>
                <w:highlight w:val="none"/>
                <w:vertAlign w:val="baseline"/>
                <w:lang w:val="en-US" w:eastAsia="zh-CN" w:bidi="ar-SA"/>
              </w:rPr>
              <w:t>Z</w:t>
            </w:r>
          </w:p>
        </w:tc>
        <w:tc>
          <w:tcPr>
            <w:tcW w:w="965" w:type="dxa"/>
            <w:vMerge w:val="continue"/>
            <w:tcBorders>
              <w:tl2br w:val="nil"/>
              <w:tr2bl w:val="nil"/>
            </w:tcBorders>
            <w:noWrap w:val="0"/>
            <w:vAlign w:val="top"/>
          </w:tcPr>
          <w:p>
            <w:pPr>
              <w:widowControl w:val="0"/>
              <w:kinsoku/>
              <w:autoSpaceDE/>
              <w:autoSpaceDN/>
              <w:adjustRightInd/>
              <w:snapToGrid/>
              <w:spacing w:line="360" w:lineRule="exact"/>
              <w:jc w:val="center"/>
              <w:textAlignment w:val="auto"/>
              <w:rPr>
                <w:rFonts w:hint="eastAsia" w:ascii="Times New Roman" w:hAnsi="Times New Roman" w:eastAsia="宋体" w:cs="Times New Roman"/>
                <w:snapToGrid/>
                <w:color w:val="auto"/>
                <w:kern w:val="2"/>
                <w:szCs w:val="24"/>
                <w:highlight w:val="none"/>
                <w:lang w:val="en-US" w:eastAsia="zh-CN" w:bidi="ar-SA"/>
              </w:rPr>
            </w:pPr>
          </w:p>
        </w:tc>
        <w:tc>
          <w:tcPr>
            <w:tcW w:w="1031" w:type="dxa"/>
            <w:vMerge w:val="continue"/>
            <w:tcBorders>
              <w:tl2br w:val="nil"/>
              <w:tr2bl w:val="nil"/>
            </w:tcBorders>
            <w:noWrap w:val="0"/>
            <w:vAlign w:val="top"/>
          </w:tcPr>
          <w:p>
            <w:pPr>
              <w:widowControl w:val="0"/>
              <w:kinsoku/>
              <w:autoSpaceDE/>
              <w:autoSpaceDN/>
              <w:adjustRightInd/>
              <w:snapToGrid/>
              <w:spacing w:line="360" w:lineRule="exact"/>
              <w:jc w:val="center"/>
              <w:textAlignment w:val="auto"/>
              <w:rPr>
                <w:rFonts w:hint="eastAsia" w:ascii="Times New Roman" w:hAnsi="Times New Roman" w:eastAsia="宋体" w:cs="Times New Roman"/>
                <w:snapToGrid/>
                <w:color w:val="auto"/>
                <w:kern w:val="2"/>
                <w:szCs w:val="24"/>
                <w:highlight w:val="none"/>
                <w:lang w:val="en-US" w:eastAsia="zh-CN" w:bidi="ar-SA"/>
              </w:rPr>
            </w:pPr>
          </w:p>
        </w:tc>
        <w:tc>
          <w:tcPr>
            <w:tcW w:w="617" w:type="dxa"/>
            <w:vMerge w:val="continue"/>
            <w:tcBorders>
              <w:tl2br w:val="nil"/>
              <w:tr2bl w:val="nil"/>
            </w:tcBorders>
            <w:noWrap w:val="0"/>
            <w:vAlign w:val="top"/>
          </w:tcPr>
          <w:p>
            <w:pPr>
              <w:widowControl w:val="0"/>
              <w:kinsoku/>
              <w:autoSpaceDE/>
              <w:autoSpaceDN/>
              <w:adjustRightInd/>
              <w:snapToGrid/>
              <w:spacing w:line="360" w:lineRule="exact"/>
              <w:jc w:val="center"/>
              <w:textAlignment w:val="auto"/>
              <w:rPr>
                <w:rFonts w:hint="eastAsia" w:ascii="Times New Roman" w:hAnsi="Times New Roman" w:eastAsia="宋体" w:cs="Times New Roman"/>
                <w:snapToGrid/>
                <w:color w:val="auto"/>
                <w:kern w:val="2"/>
                <w:szCs w:val="24"/>
                <w:highlight w:val="none"/>
                <w:lang w:val="en-US" w:eastAsia="zh-CN" w:bidi="ar-SA"/>
              </w:rPr>
            </w:pPr>
          </w:p>
        </w:tc>
        <w:tc>
          <w:tcPr>
            <w:tcW w:w="763" w:type="dxa"/>
            <w:vMerge w:val="continue"/>
            <w:tcBorders>
              <w:tl2br w:val="nil"/>
              <w:tr2bl w:val="nil"/>
            </w:tcBorders>
            <w:noWrap w:val="0"/>
            <w:vAlign w:val="top"/>
          </w:tcPr>
          <w:p>
            <w:pPr>
              <w:widowControl w:val="0"/>
              <w:kinsoku/>
              <w:autoSpaceDE/>
              <w:autoSpaceDN/>
              <w:adjustRightInd/>
              <w:snapToGrid/>
              <w:spacing w:line="360" w:lineRule="exact"/>
              <w:jc w:val="center"/>
              <w:textAlignment w:val="auto"/>
              <w:rPr>
                <w:rFonts w:hint="eastAsia" w:ascii="Times New Roman" w:hAnsi="Times New Roman" w:eastAsia="宋体" w:cs="Times New Roman"/>
                <w:snapToGrid/>
                <w:color w:val="auto"/>
                <w:kern w:val="2"/>
                <w:szCs w:val="24"/>
                <w:highlight w:val="none"/>
                <w:lang w:val="en-US" w:eastAsia="zh-CN" w:bidi="ar-SA"/>
              </w:rPr>
            </w:pPr>
          </w:p>
        </w:tc>
        <w:tc>
          <w:tcPr>
            <w:tcW w:w="11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100" w:afterLines="0" w:line="240" w:lineRule="auto"/>
              <w:ind w:left="0" w:leftChars="0" w:firstLine="0" w:firstLineChars="0"/>
              <w:jc w:val="center"/>
              <w:textAlignment w:val="auto"/>
              <w:rPr>
                <w:rFonts w:hint="eastAsia"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b/>
                <w:bCs/>
                <w:smallCaps w:val="0"/>
                <w:color w:val="auto"/>
                <w:kern w:val="0"/>
                <w:sz w:val="18"/>
                <w:szCs w:val="18"/>
                <w:highlight w:val="none"/>
                <w:vertAlign w:val="baseline"/>
                <w:lang w:val="en-US" w:eastAsia="zh-CN" w:bidi="ar-SA"/>
              </w:rPr>
              <w:t>声压级/</w:t>
            </w:r>
            <w:r>
              <w:rPr>
                <w:rFonts w:hint="default" w:ascii="Times New Roman" w:hAnsi="Times New Roman" w:eastAsia="宋体" w:cs="Times New Roman"/>
                <w:b/>
                <w:bCs/>
                <w:smallCaps w:val="0"/>
                <w:color w:val="auto"/>
                <w:kern w:val="0"/>
                <w:sz w:val="18"/>
                <w:szCs w:val="18"/>
                <w:highlight w:val="none"/>
                <w:lang w:val="en-US" w:eastAsia="zh-CN" w:bidi="ar-SA"/>
              </w:rPr>
              <w:t>dB(A)</w:t>
            </w: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100" w:afterLines="0" w:line="240" w:lineRule="auto"/>
              <w:ind w:left="0" w:leftChars="0" w:firstLine="0" w:firstLineChars="0"/>
              <w:jc w:val="center"/>
              <w:textAlignment w:val="auto"/>
              <w:rPr>
                <w:rFonts w:hint="eastAsia" w:ascii="Times New Roman" w:hAnsi="Times New Roman" w:eastAsia="宋体" w:cs="Times New Roman"/>
                <w:color w:val="auto"/>
                <w:kern w:val="0"/>
                <w:sz w:val="22"/>
                <w:szCs w:val="22"/>
                <w:highlight w:val="none"/>
                <w:lang w:val="en-US" w:eastAsia="zh-CN" w:bidi="ar-SA"/>
              </w:rPr>
            </w:pPr>
            <w:r>
              <w:rPr>
                <w:rFonts w:hint="default" w:ascii="Times New Roman" w:hAnsi="Times New Roman" w:eastAsia="宋体" w:cs="Times New Roman"/>
                <w:b/>
                <w:bCs/>
                <w:smallCaps w:val="0"/>
                <w:color w:val="auto"/>
                <w:kern w:val="0"/>
                <w:sz w:val="18"/>
                <w:szCs w:val="18"/>
                <w:highlight w:val="none"/>
                <w:vertAlign w:val="baseline"/>
                <w:lang w:val="en-US" w:eastAsia="zh-CN" w:bidi="ar-SA"/>
              </w:rPr>
              <w:t>建筑物外距离/m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 w:type="dxa"/>
            <w:tcBorders>
              <w:tl2br w:val="nil"/>
              <w:tr2bl w:val="nil"/>
            </w:tcBorders>
            <w:noWrap w:val="0"/>
            <w:vAlign w:val="center"/>
          </w:tcPr>
          <w:p>
            <w:pPr>
              <w:widowControl w:val="0"/>
              <w:kinsoku/>
              <w:autoSpaceDE/>
              <w:autoSpaceDN/>
              <w:adjustRightInd/>
              <w:snapToGrid/>
              <w:spacing w:line="360" w:lineRule="exact"/>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val="0"/>
                <w:bCs w:val="0"/>
                <w:snapToGrid/>
                <w:color w:val="auto"/>
                <w:kern w:val="2"/>
                <w:sz w:val="18"/>
                <w:szCs w:val="18"/>
                <w:highlight w:val="none"/>
                <w:lang w:val="en-US" w:eastAsia="zh-CN" w:bidi="ar-SA"/>
              </w:rPr>
              <w:t>变压器</w:t>
            </w:r>
            <w:r>
              <w:rPr>
                <w:rFonts w:hint="eastAsia" w:ascii="Times New Roman" w:hAnsi="Times New Roman" w:eastAsia="宋体" w:cs="Times New Roman"/>
                <w:b w:val="0"/>
                <w:bCs w:val="0"/>
                <w:snapToGrid/>
                <w:color w:val="auto"/>
                <w:kern w:val="2"/>
                <w:sz w:val="18"/>
                <w:szCs w:val="18"/>
                <w:highlight w:val="none"/>
                <w:lang w:val="en-US" w:eastAsia="zh-CN" w:bidi="ar-SA"/>
              </w:rPr>
              <w:t>间</w:t>
            </w:r>
          </w:p>
        </w:tc>
        <w:tc>
          <w:tcPr>
            <w:tcW w:w="580" w:type="dxa"/>
            <w:tcBorders>
              <w:tl2br w:val="nil"/>
              <w:tr2bl w:val="nil"/>
            </w:tcBorders>
            <w:noWrap w:val="0"/>
            <w:vAlign w:val="center"/>
          </w:tcPr>
          <w:p>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eastAsia" w:ascii="Times New Roman" w:hAnsi="Times New Roman" w:eastAsia="宋体" w:cs="Times New Roman"/>
                <w:b w:val="0"/>
                <w:bCs w:val="0"/>
                <w:snapToGrid/>
                <w:color w:val="auto"/>
                <w:kern w:val="2"/>
                <w:sz w:val="18"/>
                <w:szCs w:val="18"/>
                <w:highlight w:val="none"/>
                <w:lang w:val="en-US" w:eastAsia="zh-CN" w:bidi="ar-SA"/>
              </w:rPr>
              <w:t>变压器</w:t>
            </w:r>
          </w:p>
        </w:tc>
        <w:tc>
          <w:tcPr>
            <w:tcW w:w="727" w:type="dxa"/>
            <w:tcBorders>
              <w:tl2br w:val="nil"/>
              <w:tr2bl w:val="nil"/>
            </w:tcBorders>
            <w:noWrap w:val="0"/>
            <w:vAlign w:val="center"/>
          </w:tcPr>
          <w:p>
            <w:pPr>
              <w:widowControl w:val="0"/>
              <w:kinsoku/>
              <w:autoSpaceDE/>
              <w:autoSpaceDN/>
              <w:adjustRightInd/>
              <w:snapToGrid/>
              <w:spacing w:line="360" w:lineRule="exact"/>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eastAsia" w:ascii="Times New Roman" w:hAnsi="Times New Roman" w:eastAsia="宋体" w:cs="Times New Roman"/>
                <w:snapToGrid/>
                <w:color w:val="auto"/>
                <w:kern w:val="2"/>
                <w:szCs w:val="24"/>
                <w:highlight w:val="none"/>
                <w:lang w:val="en-US" w:eastAsia="zh-CN" w:bidi="ar-SA"/>
              </w:rPr>
              <w:t>80</w:t>
            </w:r>
          </w:p>
        </w:tc>
        <w:tc>
          <w:tcPr>
            <w:tcW w:w="664" w:type="dxa"/>
            <w:tcBorders>
              <w:tl2br w:val="nil"/>
              <w:tr2bl w:val="nil"/>
            </w:tcBorders>
            <w:noWrap w:val="0"/>
            <w:vAlign w:val="center"/>
          </w:tcPr>
          <w:p>
            <w:pPr>
              <w:widowControl w:val="0"/>
              <w:kinsoku/>
              <w:autoSpaceDE/>
              <w:autoSpaceDN/>
              <w:adjustRightInd/>
              <w:snapToGrid/>
              <w:spacing w:line="360" w:lineRule="exact"/>
              <w:jc w:val="center"/>
              <w:textAlignment w:val="auto"/>
              <w:rPr>
                <w:rFonts w:hint="eastAsia" w:ascii="Times New Roman" w:hAnsi="Times New Roman" w:eastAsia="宋体" w:cs="Times New Roman"/>
                <w:snapToGrid/>
                <w:color w:val="auto"/>
                <w:kern w:val="2"/>
                <w:szCs w:val="24"/>
                <w:highlight w:val="none"/>
                <w:lang w:val="en-US" w:eastAsia="zh-CN" w:bidi="ar-SA"/>
              </w:rPr>
            </w:pPr>
            <w:r>
              <w:rPr>
                <w:rFonts w:hint="default" w:ascii="Times New Roman" w:hAnsi="Times New Roman" w:eastAsia="宋体" w:cs="Times New Roman"/>
                <w:b w:val="0"/>
                <w:bCs w:val="0"/>
                <w:snapToGrid/>
                <w:color w:val="auto"/>
                <w:kern w:val="2"/>
                <w:sz w:val="18"/>
                <w:szCs w:val="18"/>
                <w:highlight w:val="none"/>
                <w:lang w:val="en-US" w:eastAsia="zh-CN" w:bidi="ar-SA"/>
              </w:rPr>
              <w:t>低噪声设备、</w:t>
            </w:r>
            <w:r>
              <w:rPr>
                <w:rFonts w:hint="eastAsia" w:ascii="Times New Roman" w:hAnsi="Times New Roman" w:eastAsia="宋体" w:cs="Times New Roman"/>
                <w:b w:val="0"/>
                <w:bCs w:val="0"/>
                <w:snapToGrid/>
                <w:color w:val="auto"/>
                <w:kern w:val="2"/>
                <w:sz w:val="18"/>
                <w:szCs w:val="18"/>
                <w:highlight w:val="none"/>
                <w:lang w:val="en-US" w:eastAsia="zh-CN" w:bidi="ar-SA"/>
              </w:rPr>
              <w:t>减振</w:t>
            </w:r>
            <w:r>
              <w:rPr>
                <w:rFonts w:hint="default" w:ascii="Times New Roman" w:hAnsi="Times New Roman" w:eastAsia="宋体" w:cs="Times New Roman"/>
                <w:b w:val="0"/>
                <w:bCs w:val="0"/>
                <w:snapToGrid/>
                <w:color w:val="auto"/>
                <w:kern w:val="2"/>
                <w:sz w:val="18"/>
                <w:szCs w:val="18"/>
                <w:highlight w:val="none"/>
                <w:lang w:val="en-US" w:eastAsia="zh-CN" w:bidi="ar-SA"/>
              </w:rPr>
              <w:t>、隔声</w:t>
            </w:r>
          </w:p>
        </w:tc>
        <w:tc>
          <w:tcPr>
            <w:tcW w:w="629" w:type="dxa"/>
            <w:tcBorders>
              <w:tl2br w:val="nil"/>
              <w:tr2bl w:val="nil"/>
            </w:tcBorders>
            <w:noWrap w:val="0"/>
            <w:vAlign w:val="center"/>
          </w:tcPr>
          <w:p>
            <w:pPr>
              <w:widowControl w:val="0"/>
              <w:rPr>
                <w:rFonts w:hint="default" w:ascii="Times New Roman" w:hAnsi="Times New Roman" w:eastAsia="宋体" w:cs="Times New Roman"/>
                <w:snapToGrid/>
                <w:color w:val="auto"/>
                <w:kern w:val="2"/>
                <w:szCs w:val="24"/>
                <w:highlight w:val="none"/>
                <w:lang w:val="en-US" w:eastAsia="zh-CN" w:bidi="ar-SA"/>
              </w:rPr>
            </w:pPr>
            <w:r>
              <w:rPr>
                <w:rFonts w:ascii="Arial" w:hAnsi="Arial" w:eastAsia="Arial" w:cs="Arial"/>
                <w:sz w:val="20"/>
                <w:lang w:val="en-US" w:eastAsia="zh-CN" w:bidi="ar-SA"/>
              </w:rPr>
              <w:t>-5.4</w:t>
            </w:r>
          </w:p>
        </w:tc>
        <w:tc>
          <w:tcPr>
            <w:tcW w:w="509" w:type="dxa"/>
            <w:tcBorders>
              <w:tl2br w:val="nil"/>
              <w:tr2bl w:val="nil"/>
            </w:tcBorders>
            <w:noWrap w:val="0"/>
            <w:vAlign w:val="center"/>
          </w:tcPr>
          <w:p>
            <w:pPr>
              <w:widowControl w:val="0"/>
              <w:rPr>
                <w:rFonts w:hint="default" w:ascii="Times New Roman" w:hAnsi="Times New Roman" w:eastAsia="宋体" w:cs="Times New Roman"/>
                <w:snapToGrid/>
                <w:color w:val="auto"/>
                <w:kern w:val="2"/>
                <w:szCs w:val="24"/>
                <w:highlight w:val="none"/>
                <w:lang w:val="en-US" w:eastAsia="zh-CN" w:bidi="ar-SA"/>
              </w:rPr>
            </w:pPr>
            <w:r>
              <w:rPr>
                <w:rFonts w:ascii="Arial" w:hAnsi="Arial" w:eastAsia="Arial" w:cs="Arial"/>
                <w:sz w:val="20"/>
                <w:lang w:val="en-US" w:eastAsia="zh-CN" w:bidi="ar-SA"/>
              </w:rPr>
              <w:t>6.4</w:t>
            </w:r>
          </w:p>
        </w:tc>
        <w:tc>
          <w:tcPr>
            <w:tcW w:w="535" w:type="dxa"/>
            <w:tcBorders>
              <w:tl2br w:val="nil"/>
              <w:tr2bl w:val="nil"/>
            </w:tcBorders>
            <w:noWrap w:val="0"/>
            <w:vAlign w:val="center"/>
          </w:tcPr>
          <w:p>
            <w:pPr>
              <w:widowControl w:val="0"/>
              <w:rPr>
                <w:rFonts w:hint="default" w:ascii="Times New Roman" w:hAnsi="Times New Roman" w:eastAsia="宋体" w:cs="Times New Roman"/>
                <w:snapToGrid/>
                <w:color w:val="auto"/>
                <w:kern w:val="2"/>
                <w:szCs w:val="24"/>
                <w:highlight w:val="none"/>
                <w:lang w:val="en-US" w:eastAsia="zh-CN" w:bidi="ar-SA"/>
              </w:rPr>
            </w:pPr>
            <w:r>
              <w:rPr>
                <w:rFonts w:ascii="Arial" w:hAnsi="Arial" w:eastAsia="Arial" w:cs="Arial"/>
                <w:sz w:val="20"/>
                <w:lang w:val="en-US" w:eastAsia="zh-CN" w:bidi="ar-SA"/>
              </w:rPr>
              <w:t>139.7</w:t>
            </w:r>
          </w:p>
        </w:tc>
        <w:tc>
          <w:tcPr>
            <w:tcW w:w="965" w:type="dxa"/>
            <w:tcBorders>
              <w:tl2br w:val="nil"/>
              <w:tr2bl w:val="nil"/>
            </w:tcBorders>
            <w:noWrap w:val="0"/>
            <w:vAlign w:val="center"/>
          </w:tcPr>
          <w:p>
            <w:pPr>
              <w:widowControl w:val="0"/>
              <w:rPr>
                <w:rFonts w:ascii="Arial" w:hAnsi="Arial" w:eastAsia="Arial" w:cs="Arial"/>
                <w:sz w:val="20"/>
                <w:lang w:val="en-US" w:eastAsia="zh-CN" w:bidi="ar-SA"/>
              </w:rPr>
            </w:pPr>
            <w:r>
              <w:rPr>
                <w:rFonts w:ascii="Arial" w:hAnsi="Arial" w:eastAsia="Arial" w:cs="Arial"/>
                <w:sz w:val="20"/>
                <w:lang w:val="en-US" w:eastAsia="zh-CN" w:bidi="ar-SA"/>
              </w:rPr>
              <w:t>声屏障-1：7.4</w:t>
            </w:r>
          </w:p>
          <w:p>
            <w:pPr>
              <w:widowControl w:val="0"/>
              <w:rPr>
                <w:rFonts w:ascii="Arial" w:hAnsi="Arial" w:eastAsia="Arial" w:cs="Arial"/>
                <w:sz w:val="20"/>
                <w:lang w:val="en-US" w:eastAsia="zh-CN" w:bidi="ar-SA"/>
              </w:rPr>
            </w:pPr>
            <w:r>
              <w:rPr>
                <w:rFonts w:ascii="Arial" w:hAnsi="Arial" w:eastAsia="Arial" w:cs="Arial"/>
                <w:sz w:val="20"/>
                <w:lang w:val="en-US" w:eastAsia="zh-CN" w:bidi="ar-SA"/>
              </w:rPr>
              <w:t>声屏障-2：8.3</w:t>
            </w:r>
          </w:p>
          <w:p>
            <w:pPr>
              <w:widowControl w:val="0"/>
              <w:rPr>
                <w:rFonts w:ascii="Arial" w:hAnsi="Arial" w:eastAsia="Arial" w:cs="Arial"/>
                <w:sz w:val="20"/>
                <w:lang w:val="en-US" w:eastAsia="zh-CN" w:bidi="ar-SA"/>
              </w:rPr>
            </w:pPr>
            <w:r>
              <w:rPr>
                <w:rFonts w:ascii="Arial" w:hAnsi="Arial" w:eastAsia="Arial" w:cs="Arial"/>
                <w:sz w:val="20"/>
                <w:lang w:val="en-US" w:eastAsia="zh-CN" w:bidi="ar-SA"/>
              </w:rPr>
              <w:t>声屏障-3：8.1</w:t>
            </w:r>
          </w:p>
          <w:p>
            <w:pPr>
              <w:widowControl w:val="0"/>
              <w:rPr>
                <w:rFonts w:ascii="Arial" w:hAnsi="Arial" w:eastAsia="Arial" w:cs="Arial"/>
                <w:sz w:val="20"/>
                <w:lang w:val="en-US" w:eastAsia="zh-CN" w:bidi="ar-SA"/>
              </w:rPr>
            </w:pPr>
            <w:r>
              <w:rPr>
                <w:rFonts w:ascii="Arial" w:hAnsi="Arial" w:eastAsia="Arial" w:cs="Arial"/>
                <w:sz w:val="20"/>
                <w:lang w:val="en-US" w:eastAsia="zh-CN" w:bidi="ar-SA"/>
              </w:rPr>
              <w:t>声屏障-4：7.7</w:t>
            </w:r>
          </w:p>
          <w:p>
            <w:pPr>
              <w:widowControl w:val="0"/>
              <w:rPr>
                <w:rFonts w:hint="eastAsia" w:ascii="Times New Roman" w:hAnsi="Times New Roman" w:eastAsia="宋体" w:cs="Times New Roman"/>
                <w:snapToGrid/>
                <w:color w:val="auto"/>
                <w:kern w:val="2"/>
                <w:szCs w:val="24"/>
                <w:highlight w:val="none"/>
                <w:lang w:val="en-US" w:eastAsia="zh-CN" w:bidi="ar-SA"/>
              </w:rPr>
            </w:pPr>
          </w:p>
        </w:tc>
        <w:tc>
          <w:tcPr>
            <w:tcW w:w="1031" w:type="dxa"/>
            <w:tcBorders>
              <w:tl2br w:val="nil"/>
              <w:tr2bl w:val="nil"/>
            </w:tcBorders>
            <w:noWrap w:val="0"/>
            <w:vAlign w:val="center"/>
          </w:tcPr>
          <w:p>
            <w:pPr>
              <w:widowControl w:val="0"/>
              <w:rPr>
                <w:rFonts w:hint="default" w:eastAsia="宋体"/>
                <w:lang w:val="en-US" w:eastAsia="zh-CN" w:bidi="ar-SA"/>
              </w:rPr>
            </w:pPr>
            <w:r>
              <w:rPr>
                <w:rFonts w:ascii="Arial" w:hAnsi="Arial" w:eastAsia="Arial" w:cs="Arial"/>
                <w:sz w:val="20"/>
                <w:lang w:val="en-US" w:eastAsia="zh-CN" w:bidi="ar-SA"/>
              </w:rPr>
              <w:t>声屏障-1：</w:t>
            </w:r>
            <w:r>
              <w:rPr>
                <w:rFonts w:hint="eastAsia" w:eastAsia="宋体" w:cs="Arial"/>
                <w:sz w:val="20"/>
                <w:lang w:val="en-US" w:eastAsia="zh-CN" w:bidi="ar-SA"/>
              </w:rPr>
              <w:t>76.0</w:t>
            </w:r>
          </w:p>
          <w:p>
            <w:pPr>
              <w:widowControl w:val="0"/>
              <w:rPr>
                <w:lang w:val="en-US" w:eastAsia="zh-CN" w:bidi="ar-SA"/>
              </w:rPr>
            </w:pPr>
            <w:r>
              <w:rPr>
                <w:rFonts w:ascii="Arial" w:hAnsi="Arial" w:eastAsia="Arial" w:cs="Arial"/>
                <w:sz w:val="20"/>
                <w:lang w:val="en-US" w:eastAsia="zh-CN" w:bidi="ar-SA"/>
              </w:rPr>
              <w:t>声屏障-2：</w:t>
            </w:r>
            <w:r>
              <w:rPr>
                <w:rFonts w:hint="eastAsia" w:ascii="Arial" w:hAnsi="Arial" w:eastAsia="Arial" w:cs="Arial"/>
                <w:sz w:val="20"/>
                <w:lang w:val="en-US" w:eastAsia="zh-CN" w:bidi="ar-SA"/>
              </w:rPr>
              <w:t>76.0</w:t>
            </w:r>
          </w:p>
          <w:p>
            <w:pPr>
              <w:widowControl w:val="0"/>
              <w:rPr>
                <w:lang w:val="en-US" w:eastAsia="zh-CN" w:bidi="ar-SA"/>
              </w:rPr>
            </w:pPr>
            <w:r>
              <w:rPr>
                <w:rFonts w:ascii="Arial" w:hAnsi="Arial" w:eastAsia="Arial" w:cs="Arial"/>
                <w:sz w:val="20"/>
                <w:lang w:val="en-US" w:eastAsia="zh-CN" w:bidi="ar-SA"/>
              </w:rPr>
              <w:t>声屏障-3：</w:t>
            </w:r>
            <w:r>
              <w:rPr>
                <w:rFonts w:hint="eastAsia" w:ascii="Arial" w:hAnsi="Arial" w:eastAsia="Arial" w:cs="Arial"/>
                <w:sz w:val="20"/>
                <w:lang w:val="en-US" w:eastAsia="zh-CN" w:bidi="ar-SA"/>
              </w:rPr>
              <w:t>76.0</w:t>
            </w:r>
          </w:p>
          <w:p>
            <w:pPr>
              <w:widowControl w:val="0"/>
              <w:rPr>
                <w:rFonts w:hint="eastAsia" w:ascii="Times New Roman" w:hAnsi="Times New Roman" w:eastAsia="宋体" w:cs="Times New Roman"/>
                <w:snapToGrid/>
                <w:color w:val="auto"/>
                <w:kern w:val="2"/>
                <w:szCs w:val="24"/>
                <w:highlight w:val="none"/>
                <w:lang w:val="en-US" w:eastAsia="zh-CN" w:bidi="ar-SA"/>
              </w:rPr>
            </w:pPr>
            <w:r>
              <w:rPr>
                <w:rFonts w:ascii="Arial" w:hAnsi="Arial" w:eastAsia="Arial" w:cs="Arial"/>
                <w:sz w:val="20"/>
                <w:lang w:val="en-US" w:eastAsia="zh-CN" w:bidi="ar-SA"/>
              </w:rPr>
              <w:t>声屏障-4：</w:t>
            </w:r>
            <w:r>
              <w:rPr>
                <w:rFonts w:hint="eastAsia" w:ascii="Arial" w:hAnsi="Arial" w:eastAsia="Arial" w:cs="Arial"/>
                <w:sz w:val="20"/>
                <w:lang w:val="en-US" w:eastAsia="zh-CN" w:bidi="ar-SA"/>
              </w:rPr>
              <w:t>76.0</w:t>
            </w:r>
          </w:p>
        </w:tc>
        <w:tc>
          <w:tcPr>
            <w:tcW w:w="617" w:type="dxa"/>
            <w:tcBorders>
              <w:tl2br w:val="nil"/>
              <w:tr2bl w:val="nil"/>
            </w:tcBorders>
            <w:noWrap w:val="0"/>
            <w:vAlign w:val="center"/>
          </w:tcPr>
          <w:p>
            <w:pPr>
              <w:widowControl w:val="0"/>
              <w:kinsoku/>
              <w:autoSpaceDE/>
              <w:autoSpaceDN/>
              <w:adjustRightInd/>
              <w:snapToGrid/>
              <w:spacing w:line="360" w:lineRule="exact"/>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eastAsia" w:ascii="Times New Roman" w:hAnsi="Times New Roman" w:eastAsia="宋体" w:cs="Times New Roman"/>
                <w:snapToGrid/>
                <w:color w:val="auto"/>
                <w:kern w:val="2"/>
                <w:szCs w:val="24"/>
                <w:highlight w:val="none"/>
                <w:lang w:val="en-US" w:eastAsia="zh-CN" w:bidi="ar-SA"/>
              </w:rPr>
              <w:t>8760</w:t>
            </w:r>
            <w:r>
              <w:rPr>
                <w:rFonts w:hint="default" w:ascii="Times New Roman" w:hAnsi="Times New Roman" w:eastAsia="宋体" w:cs="Times New Roman"/>
                <w:snapToGrid/>
                <w:color w:val="auto"/>
                <w:kern w:val="2"/>
                <w:szCs w:val="24"/>
                <w:highlight w:val="none"/>
                <w:lang w:val="en-US" w:eastAsia="zh-CN" w:bidi="ar-SA"/>
              </w:rPr>
              <w:t>h</w:t>
            </w:r>
          </w:p>
        </w:tc>
        <w:tc>
          <w:tcPr>
            <w:tcW w:w="763" w:type="dxa"/>
            <w:tcBorders>
              <w:tl2br w:val="nil"/>
              <w:tr2bl w:val="nil"/>
            </w:tcBorders>
            <w:noWrap w:val="0"/>
            <w:vAlign w:val="center"/>
          </w:tcPr>
          <w:p>
            <w:pPr>
              <w:widowControl w:val="0"/>
              <w:kinsoku/>
              <w:autoSpaceDE/>
              <w:autoSpaceDN/>
              <w:adjustRightInd/>
              <w:snapToGrid/>
              <w:spacing w:line="360" w:lineRule="exact"/>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eastAsia" w:ascii="Times New Roman" w:hAnsi="Times New Roman" w:eastAsia="宋体" w:cs="Times New Roman"/>
                <w:snapToGrid/>
                <w:color w:val="auto"/>
                <w:kern w:val="2"/>
                <w:szCs w:val="24"/>
                <w:highlight w:val="none"/>
                <w:lang w:val="en-US" w:eastAsia="zh-CN" w:bidi="ar-SA"/>
              </w:rPr>
              <w:t>26</w:t>
            </w:r>
          </w:p>
        </w:tc>
        <w:tc>
          <w:tcPr>
            <w:tcW w:w="1124" w:type="dxa"/>
            <w:tcBorders>
              <w:tl2br w:val="nil"/>
              <w:tr2bl w:val="nil"/>
            </w:tcBorders>
            <w:noWrap w:val="0"/>
            <w:vAlign w:val="center"/>
          </w:tcPr>
          <w:p>
            <w:pPr>
              <w:widowControl w:val="0"/>
              <w:kinsoku/>
              <w:autoSpaceDE/>
              <w:autoSpaceDN/>
              <w:adjustRightInd/>
              <w:snapToGrid/>
              <w:spacing w:line="360" w:lineRule="exact"/>
              <w:jc w:val="both"/>
              <w:textAlignment w:val="auto"/>
              <w:rPr>
                <w:rFonts w:hint="default" w:ascii="Times New Roman" w:hAnsi="Times New Roman" w:eastAsia="宋体" w:cs="Times New Roman"/>
                <w:snapToGrid/>
                <w:color w:val="auto"/>
                <w:kern w:val="2"/>
                <w:szCs w:val="24"/>
                <w:highlight w:val="none"/>
                <w:lang w:val="en-US" w:eastAsia="zh-CN" w:bidi="ar-SA"/>
              </w:rPr>
            </w:pPr>
            <w:r>
              <w:rPr>
                <w:rFonts w:hint="eastAsia" w:ascii="Times New Roman" w:hAnsi="Times New Roman" w:eastAsia="宋体" w:cs="Times New Roman"/>
                <w:snapToGrid/>
                <w:color w:val="auto"/>
                <w:kern w:val="2"/>
                <w:szCs w:val="24"/>
                <w:highlight w:val="none"/>
                <w:lang w:val="en-US" w:eastAsia="zh-CN" w:bidi="ar-SA"/>
              </w:rPr>
              <w:t>墙体-东：50.0</w:t>
            </w:r>
          </w:p>
          <w:p>
            <w:pPr>
              <w:widowControl w:val="0"/>
              <w:kinsoku/>
              <w:autoSpaceDE/>
              <w:autoSpaceDN/>
              <w:adjustRightInd/>
              <w:snapToGrid/>
              <w:spacing w:line="360" w:lineRule="exact"/>
              <w:jc w:val="both"/>
              <w:textAlignment w:val="auto"/>
              <w:rPr>
                <w:rFonts w:hint="eastAsia" w:ascii="Times New Roman" w:hAnsi="Times New Roman" w:eastAsia="宋体" w:cs="Times New Roman"/>
                <w:snapToGrid/>
                <w:color w:val="auto"/>
                <w:kern w:val="2"/>
                <w:szCs w:val="24"/>
                <w:highlight w:val="none"/>
                <w:lang w:val="en-US" w:eastAsia="zh-CN" w:bidi="ar-SA"/>
              </w:rPr>
            </w:pPr>
            <w:r>
              <w:rPr>
                <w:rFonts w:hint="eastAsia" w:ascii="Times New Roman" w:hAnsi="Times New Roman" w:eastAsia="宋体" w:cs="Times New Roman"/>
                <w:snapToGrid/>
                <w:color w:val="auto"/>
                <w:kern w:val="2"/>
                <w:szCs w:val="24"/>
                <w:highlight w:val="none"/>
                <w:lang w:val="en-US" w:eastAsia="zh-CN" w:bidi="ar-SA"/>
              </w:rPr>
              <w:t>墙体-南：50.0</w:t>
            </w:r>
          </w:p>
          <w:p>
            <w:pPr>
              <w:widowControl w:val="0"/>
              <w:kinsoku/>
              <w:autoSpaceDE/>
              <w:autoSpaceDN/>
              <w:adjustRightInd/>
              <w:snapToGrid/>
              <w:spacing w:line="360" w:lineRule="exact"/>
              <w:jc w:val="both"/>
              <w:textAlignment w:val="auto"/>
              <w:rPr>
                <w:rFonts w:hint="eastAsia" w:ascii="Times New Roman" w:hAnsi="Times New Roman" w:eastAsia="宋体" w:cs="Times New Roman"/>
                <w:snapToGrid/>
                <w:color w:val="auto"/>
                <w:kern w:val="2"/>
                <w:szCs w:val="24"/>
                <w:highlight w:val="none"/>
                <w:lang w:val="en-US" w:eastAsia="zh-CN" w:bidi="ar-SA"/>
              </w:rPr>
            </w:pPr>
            <w:r>
              <w:rPr>
                <w:rFonts w:hint="eastAsia" w:ascii="Times New Roman" w:hAnsi="Times New Roman" w:eastAsia="宋体" w:cs="Times New Roman"/>
                <w:snapToGrid/>
                <w:color w:val="auto"/>
                <w:kern w:val="2"/>
                <w:szCs w:val="24"/>
                <w:highlight w:val="none"/>
                <w:lang w:val="en-US" w:eastAsia="zh-CN" w:bidi="ar-SA"/>
              </w:rPr>
              <w:t>墙体-西：50.0</w:t>
            </w:r>
          </w:p>
          <w:p>
            <w:pPr>
              <w:widowControl w:val="0"/>
              <w:kinsoku/>
              <w:autoSpaceDE/>
              <w:autoSpaceDN/>
              <w:adjustRightInd/>
              <w:snapToGrid/>
              <w:spacing w:line="360" w:lineRule="exact"/>
              <w:jc w:val="both"/>
              <w:textAlignment w:val="auto"/>
              <w:rPr>
                <w:rFonts w:hint="eastAsia" w:ascii="Times New Roman" w:hAnsi="Times New Roman" w:eastAsia="宋体" w:cs="Times New Roman"/>
                <w:snapToGrid/>
                <w:color w:val="auto"/>
                <w:kern w:val="2"/>
                <w:szCs w:val="24"/>
                <w:highlight w:val="none"/>
                <w:lang w:val="en-US" w:eastAsia="zh-CN" w:bidi="ar-SA"/>
              </w:rPr>
            </w:pPr>
            <w:r>
              <w:rPr>
                <w:rFonts w:hint="eastAsia" w:ascii="Times New Roman" w:hAnsi="Times New Roman" w:eastAsia="宋体" w:cs="Times New Roman"/>
                <w:snapToGrid/>
                <w:color w:val="auto"/>
                <w:kern w:val="2"/>
                <w:szCs w:val="24"/>
                <w:highlight w:val="none"/>
                <w:lang w:val="en-US" w:eastAsia="zh-CN" w:bidi="ar-SA"/>
              </w:rPr>
              <w:t>墙体-北：50.0</w:t>
            </w:r>
          </w:p>
        </w:tc>
        <w:tc>
          <w:tcPr>
            <w:tcW w:w="639" w:type="dxa"/>
            <w:tcBorders>
              <w:tl2br w:val="nil"/>
              <w:tr2bl w:val="nil"/>
            </w:tcBorders>
            <w:noWrap w:val="0"/>
            <w:vAlign w:val="center"/>
          </w:tcPr>
          <w:p>
            <w:pPr>
              <w:widowControl w:val="0"/>
              <w:kinsoku/>
              <w:autoSpaceDE/>
              <w:autoSpaceDN/>
              <w:adjustRightInd/>
              <w:snapToGrid/>
              <w:spacing w:line="360" w:lineRule="exact"/>
              <w:jc w:val="center"/>
              <w:textAlignment w:val="auto"/>
              <w:rPr>
                <w:rFonts w:hint="default" w:ascii="Times New Roman" w:hAnsi="Times New Roman" w:eastAsia="宋体" w:cs="Times New Roman"/>
                <w:snapToGrid/>
                <w:color w:val="auto"/>
                <w:kern w:val="2"/>
                <w:szCs w:val="24"/>
                <w:highlight w:val="none"/>
                <w:lang w:val="en-US" w:eastAsia="zh-CN" w:bidi="ar-SA"/>
              </w:rPr>
            </w:pPr>
            <w:r>
              <w:rPr>
                <w:rFonts w:hint="eastAsia" w:ascii="Times New Roman" w:hAnsi="Times New Roman" w:eastAsia="宋体" w:cs="Times New Roman"/>
                <w:snapToGrid/>
                <w:color w:val="auto"/>
                <w:kern w:val="2"/>
                <w:szCs w:val="24"/>
                <w:highlight w:val="none"/>
                <w:lang w:val="en-US" w:eastAsia="zh-CN" w:bidi="ar-SA"/>
              </w:rPr>
              <w:t>1</w:t>
            </w:r>
          </w:p>
        </w:tc>
      </w:tr>
    </w:tbl>
    <w:p>
      <w:pPr>
        <w:spacing w:before="36" w:line="230" w:lineRule="auto"/>
        <w:rPr>
          <w:rFonts w:ascii="宋体" w:hAnsi="宋体" w:eastAsia="宋体" w:cs="宋体"/>
          <w:color w:val="0000FF"/>
          <w:spacing w:val="16"/>
          <w:sz w:val="23"/>
          <w:szCs w:val="23"/>
          <w:highlight w:val="none"/>
        </w:rPr>
      </w:pP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注：</w:t>
      </w:r>
      <w:r>
        <w:rPr>
          <w:rFonts w:hint="default" w:ascii="Times New Roman" w:hAnsi="Times New Roman" w:eastAsia="宋体" w:cs="Times New Roman"/>
          <w:snapToGrid/>
          <w:kern w:val="0"/>
          <w:sz w:val="24"/>
          <w:szCs w:val="24"/>
          <w:highlight w:val="none"/>
          <w:lang w:val="en-US" w:eastAsia="zh-CN" w:bidi="ar"/>
        </w:rPr>
        <w:t>表中坐标以厂界中心（</w:t>
      </w:r>
      <w:bookmarkStart w:id="157" w:name="PO_7"/>
      <w:r>
        <w:rPr>
          <w:rFonts w:hint="default" w:ascii="Times New Roman" w:hAnsi="Times New Roman" w:eastAsia="宋体" w:cs="Times New Roman"/>
          <w:snapToGrid/>
          <w:kern w:val="0"/>
          <w:sz w:val="24"/>
          <w:szCs w:val="24"/>
          <w:highlight w:val="none"/>
          <w:lang w:val="en-US" w:eastAsia="zh-CN" w:bidi="ar"/>
        </w:rPr>
        <w:t>124.831550,45.987487</w:t>
      </w:r>
      <w:bookmarkEnd w:id="157"/>
      <w:r>
        <w:rPr>
          <w:rFonts w:hint="default" w:ascii="Times New Roman" w:hAnsi="Times New Roman" w:eastAsia="宋体" w:cs="Times New Roman"/>
          <w:snapToGrid/>
          <w:kern w:val="0"/>
          <w:sz w:val="24"/>
          <w:szCs w:val="24"/>
          <w:highlight w:val="none"/>
          <w:lang w:val="en-US" w:eastAsia="zh-CN" w:bidi="ar"/>
        </w:rPr>
        <w:t>）为坐标原点，正东向为X轴正方向，正北向为Y轴正方向</w:t>
      </w:r>
      <w:r>
        <w:rPr>
          <w:rFonts w:hint="eastAsia" w:ascii="Times New Roman" w:hAnsi="Times New Roman" w:eastAsia="宋体" w:cs="Times New Roman"/>
          <w:snapToGrid/>
          <w:kern w:val="0"/>
          <w:sz w:val="24"/>
          <w:szCs w:val="24"/>
          <w:highlight w:val="none"/>
          <w:lang w:val="en-US" w:eastAsia="zh-CN" w:bidi="ar"/>
        </w:rPr>
        <w:t>。</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58" w:name="_Toc5954"/>
      <w:r>
        <w:rPr>
          <w:rFonts w:hint="eastAsia" w:ascii="Times New Roman" w:hAnsi="Times New Roman" w:eastAsia="宋体" w:cs="Times New Roman"/>
          <w:snapToGrid/>
          <w:kern w:val="0"/>
          <w:sz w:val="24"/>
          <w:szCs w:val="24"/>
          <w:highlight w:val="none"/>
          <w:lang w:val="en-US" w:eastAsia="zh-CN" w:bidi="ar"/>
        </w:rPr>
        <w:t>（4） 噪声预测结果</w:t>
      </w:r>
      <w:bookmarkEnd w:id="158"/>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按照HJ2.4-2021的要求，根据拟建500kV汇集站总平面布置图确定噪声源到厂界的 距离，计算各噪声源在厂界1m处的贡献值，预测时按照持续运行考虑。</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本工程预测噪声贡献等值线图见图6.2- 1 ，噪声预测结果见表6.2-3 ，500kV汇集站厂界噪声贡献值可以满足《工业企业厂界环境噪声排放标准》  (GB12348-2008) 中2类标准要求。</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drawing>
          <wp:inline distT="0" distB="0" distL="114300" distR="114300">
            <wp:extent cx="5911215" cy="4683760"/>
            <wp:effectExtent l="0" t="0" r="1905" b="10160"/>
            <wp:docPr id="18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2"/>
                    <pic:cNvPicPr>
                      <a:picLocks noChangeAspect="1"/>
                    </pic:cNvPicPr>
                  </pic:nvPicPr>
                  <pic:blipFill>
                    <a:blip r:embed="rId109"/>
                    <a:stretch>
                      <a:fillRect/>
                    </a:stretch>
                  </pic:blipFill>
                  <pic:spPr>
                    <a:xfrm>
                      <a:off x="0" y="0"/>
                      <a:ext cx="5911215" cy="4683760"/>
                    </a:xfrm>
                    <a:prstGeom prst="rect">
                      <a:avLst/>
                    </a:prstGeom>
                    <a:noFill/>
                    <a:ln>
                      <a:noFill/>
                    </a:ln>
                  </pic:spPr>
                </pic:pic>
              </a:graphicData>
            </a:graphic>
          </wp:inline>
        </w:drawing>
      </w:r>
    </w:p>
    <w:p>
      <w:pPr>
        <w:spacing w:before="80" w:line="289" w:lineRule="exact"/>
        <w:ind w:left="2309"/>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图6.2- 1</w:t>
      </w:r>
      <w:r>
        <w:rPr>
          <w:rFonts w:hint="eastAsia" w:ascii="宋体" w:hAnsi="宋体" w:eastAsia="宋体" w:cs="宋体"/>
          <w:color w:val="0000FF"/>
          <w:spacing w:val="6"/>
          <w:position w:val="1"/>
          <w:sz w:val="20"/>
          <w:szCs w:val="20"/>
          <w:highlight w:val="none"/>
          <w:lang w:val="en-US" w:eastAsia="zh-CN"/>
          <w14:textOutline w14:w="3795" w14:cap="sq" w14:cmpd="sng">
            <w14:solidFill>
              <w14:srgbClr w14:val="000000"/>
            </w14:solidFill>
            <w14:prstDash w14:val="solid"/>
            <w14:bevel/>
          </w14:textOutline>
        </w:rPr>
        <w:t xml:space="preserve"> </w:t>
      </w: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 xml:space="preserve"> </w:t>
      </w:r>
      <w:r>
        <w:rPr>
          <w:rFonts w:hint="eastAsia" w:ascii="宋体" w:hAnsi="宋体" w:eastAsia="宋体" w:cs="宋体"/>
          <w:color w:val="0000FF"/>
          <w:spacing w:val="6"/>
          <w:position w:val="1"/>
          <w:sz w:val="20"/>
          <w:szCs w:val="20"/>
          <w:highlight w:val="none"/>
          <w:lang w:val="en-US" w:eastAsia="zh-CN"/>
          <w14:textOutline w14:w="3795" w14:cap="sq" w14:cmpd="sng">
            <w14:solidFill>
              <w14:srgbClr w14:val="000000"/>
            </w14:solidFill>
            <w14:prstDash w14:val="solid"/>
            <w14:bevel/>
          </w14:textOutline>
        </w:rPr>
        <w:t>项目厂界噪声贡献值预测图（单位：dB(A)）</w:t>
      </w:r>
    </w:p>
    <w:p>
      <w:pPr>
        <w:spacing w:before="80" w:line="289" w:lineRule="exact"/>
        <w:ind w:firstLine="2544" w:firstLineChars="1200"/>
        <w:rPr>
          <w:rFonts w:ascii="宋体" w:hAnsi="宋体" w:eastAsia="宋体" w:cs="宋体"/>
          <w:color w:val="0000FF"/>
          <w:spacing w:val="6"/>
          <w:position w:val="1"/>
          <w:sz w:val="20"/>
          <w:szCs w:val="20"/>
          <w:highlight w:val="none"/>
          <w:lang w:eastAsia="zh-CN"/>
          <w14:textOutline w14:w="3795" w14:cap="sq" w14:cmpd="sng">
            <w14:solidFill>
              <w14:srgbClr w14:val="000000"/>
            </w14:solidFill>
            <w14:prstDash w14:val="solid"/>
            <w14:bevel/>
          </w14:textOutline>
        </w:rPr>
      </w:pPr>
    </w:p>
    <w:p>
      <w:pPr>
        <w:spacing w:before="80" w:line="289" w:lineRule="exact"/>
        <w:ind w:firstLine="2544" w:firstLineChars="1200"/>
        <w:rPr>
          <w:rFonts w:ascii="宋体" w:hAnsi="宋体" w:eastAsia="宋体" w:cs="宋体"/>
          <w:color w:val="0000FF"/>
          <w:spacing w:val="6"/>
          <w:position w:val="1"/>
          <w:sz w:val="20"/>
          <w:szCs w:val="20"/>
          <w:highlight w:val="none"/>
          <w:lang w:eastAsia="zh-CN"/>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lang w:eastAsia="zh-CN"/>
          <w14:textOutline w14:w="3795" w14:cap="sq" w14:cmpd="sng">
            <w14:solidFill>
              <w14:srgbClr w14:val="000000"/>
            </w14:solidFill>
            <w14:prstDash w14:val="solid"/>
            <w14:bevel/>
          </w14:textOutline>
        </w:rPr>
        <w:t>表6.</w:t>
      </w:r>
      <w:r>
        <w:rPr>
          <w:rFonts w:hint="eastAsia" w:ascii="宋体" w:hAnsi="宋体" w:eastAsia="宋体" w:cs="宋体"/>
          <w:color w:val="0000FF"/>
          <w:spacing w:val="6"/>
          <w:position w:val="1"/>
          <w:sz w:val="20"/>
          <w:szCs w:val="20"/>
          <w:highlight w:val="none"/>
          <w:lang w:val="en-US" w:eastAsia="zh-CN"/>
          <w14:textOutline w14:w="3795" w14:cap="sq" w14:cmpd="sng">
            <w14:solidFill>
              <w14:srgbClr w14:val="000000"/>
            </w14:solidFill>
            <w14:prstDash w14:val="solid"/>
            <w14:bevel/>
          </w14:textOutline>
        </w:rPr>
        <w:t xml:space="preserve">2-3  </w:t>
      </w:r>
      <w:r>
        <w:rPr>
          <w:rFonts w:ascii="宋体" w:hAnsi="宋体" w:eastAsia="宋体" w:cs="宋体"/>
          <w:color w:val="0000FF"/>
          <w:spacing w:val="6"/>
          <w:position w:val="1"/>
          <w:sz w:val="20"/>
          <w:szCs w:val="20"/>
          <w:highlight w:val="none"/>
          <w:lang w:eastAsia="zh-CN"/>
          <w14:textOutline w14:w="3795" w14:cap="sq" w14:cmpd="sng">
            <w14:solidFill>
              <w14:srgbClr w14:val="000000"/>
            </w14:solidFill>
            <w14:prstDash w14:val="solid"/>
            <w14:bevel/>
          </w14:textOutline>
        </w:rPr>
        <w:t xml:space="preserve"> 厂界噪声预测结果与达标分析表</w:t>
      </w:r>
      <w:bookmarkStart w:id="159" w:name="PT_7"/>
    </w:p>
    <w:tbl>
      <w:tblPr>
        <w:tblStyle w:val="12"/>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03"/>
        <w:gridCol w:w="803"/>
        <w:gridCol w:w="803"/>
        <w:gridCol w:w="993"/>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01" w:type="dxa"/>
            <w:vMerge w:val="restart"/>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预测方位</w:t>
            </w:r>
          </w:p>
        </w:tc>
        <w:tc>
          <w:tcPr>
            <w:tcW w:w="2409" w:type="dxa"/>
            <w:gridSpan w:val="3"/>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空间相对位置/m</w:t>
            </w:r>
          </w:p>
        </w:tc>
        <w:tc>
          <w:tcPr>
            <w:tcW w:w="993" w:type="dxa"/>
            <w:vMerge w:val="restart"/>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时段</w:t>
            </w:r>
          </w:p>
        </w:tc>
        <w:tc>
          <w:tcPr>
            <w:tcW w:w="1417" w:type="dxa"/>
            <w:vMerge w:val="restart"/>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预测值（dB(A)）</w:t>
            </w:r>
          </w:p>
        </w:tc>
        <w:tc>
          <w:tcPr>
            <w:tcW w:w="1418" w:type="dxa"/>
            <w:vMerge w:val="restart"/>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标准限值（dB(A)）</w:t>
            </w:r>
          </w:p>
        </w:tc>
        <w:tc>
          <w:tcPr>
            <w:tcW w:w="1188" w:type="dxa"/>
            <w:vMerge w:val="restart"/>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X</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Y</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Z</w:t>
            </w:r>
          </w:p>
        </w:tc>
        <w:tc>
          <w:tcPr>
            <w:tcW w:w="993" w:type="dxa"/>
            <w:vMerge w:val="continue"/>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p>
        </w:tc>
        <w:tc>
          <w:tcPr>
            <w:tcW w:w="1417" w:type="dxa"/>
            <w:vMerge w:val="continue"/>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p>
        </w:tc>
        <w:tc>
          <w:tcPr>
            <w:tcW w:w="1418" w:type="dxa"/>
            <w:vMerge w:val="continue"/>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p>
          <w:bookmarkEnd w:id="159"/>
        </w:tc>
        <w:tc>
          <w:tcPr>
            <w:tcW w:w="1188" w:type="dxa"/>
            <w:vMerge w:val="continue"/>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东侧</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37.5</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-35</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138.8</w:t>
            </w:r>
          </w:p>
        </w:tc>
        <w:tc>
          <w:tcPr>
            <w:tcW w:w="99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昼间</w:t>
            </w:r>
          </w:p>
        </w:tc>
        <w:tc>
          <w:tcPr>
            <w:tcW w:w="1417"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27.4</w:t>
            </w:r>
          </w:p>
        </w:tc>
        <w:tc>
          <w:tcPr>
            <w:tcW w:w="141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60</w:t>
            </w:r>
          </w:p>
        </w:tc>
        <w:tc>
          <w:tcPr>
            <w:tcW w:w="118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东侧</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37.5</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-35</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138.8</w:t>
            </w:r>
          </w:p>
        </w:tc>
        <w:tc>
          <w:tcPr>
            <w:tcW w:w="99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夜间</w:t>
            </w:r>
          </w:p>
        </w:tc>
        <w:tc>
          <w:tcPr>
            <w:tcW w:w="1417"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27.4</w:t>
            </w:r>
          </w:p>
        </w:tc>
        <w:tc>
          <w:tcPr>
            <w:tcW w:w="141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50</w:t>
            </w:r>
          </w:p>
        </w:tc>
        <w:tc>
          <w:tcPr>
            <w:tcW w:w="118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南侧</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-6.2</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-45.5</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138.8</w:t>
            </w:r>
          </w:p>
        </w:tc>
        <w:tc>
          <w:tcPr>
            <w:tcW w:w="99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昼间</w:t>
            </w:r>
          </w:p>
        </w:tc>
        <w:tc>
          <w:tcPr>
            <w:tcW w:w="1417"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29.5</w:t>
            </w:r>
          </w:p>
        </w:tc>
        <w:tc>
          <w:tcPr>
            <w:tcW w:w="141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60</w:t>
            </w:r>
          </w:p>
        </w:tc>
        <w:tc>
          <w:tcPr>
            <w:tcW w:w="118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南侧</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-6.2</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-45.5</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138.8</w:t>
            </w:r>
          </w:p>
        </w:tc>
        <w:tc>
          <w:tcPr>
            <w:tcW w:w="99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夜间</w:t>
            </w:r>
          </w:p>
        </w:tc>
        <w:tc>
          <w:tcPr>
            <w:tcW w:w="1417"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29.5</w:t>
            </w:r>
          </w:p>
        </w:tc>
        <w:tc>
          <w:tcPr>
            <w:tcW w:w="141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50</w:t>
            </w:r>
          </w:p>
        </w:tc>
        <w:tc>
          <w:tcPr>
            <w:tcW w:w="118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西侧</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-36.5</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36.4</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137.7</w:t>
            </w:r>
          </w:p>
        </w:tc>
        <w:tc>
          <w:tcPr>
            <w:tcW w:w="99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昼间</w:t>
            </w:r>
          </w:p>
        </w:tc>
        <w:tc>
          <w:tcPr>
            <w:tcW w:w="1417"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30.6</w:t>
            </w:r>
          </w:p>
        </w:tc>
        <w:tc>
          <w:tcPr>
            <w:tcW w:w="141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60</w:t>
            </w:r>
          </w:p>
        </w:tc>
        <w:tc>
          <w:tcPr>
            <w:tcW w:w="118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西侧</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-36.5</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36.4</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137.7</w:t>
            </w:r>
          </w:p>
        </w:tc>
        <w:tc>
          <w:tcPr>
            <w:tcW w:w="99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夜间</w:t>
            </w:r>
          </w:p>
        </w:tc>
        <w:tc>
          <w:tcPr>
            <w:tcW w:w="1417"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30.6</w:t>
            </w:r>
          </w:p>
        </w:tc>
        <w:tc>
          <w:tcPr>
            <w:tcW w:w="141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50</w:t>
            </w:r>
          </w:p>
        </w:tc>
        <w:tc>
          <w:tcPr>
            <w:tcW w:w="118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北侧</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-10.1</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42</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140</w:t>
            </w:r>
          </w:p>
        </w:tc>
        <w:tc>
          <w:tcPr>
            <w:tcW w:w="99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昼间</w:t>
            </w:r>
          </w:p>
        </w:tc>
        <w:tc>
          <w:tcPr>
            <w:tcW w:w="1417"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32.7</w:t>
            </w:r>
          </w:p>
        </w:tc>
        <w:tc>
          <w:tcPr>
            <w:tcW w:w="141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60</w:t>
            </w:r>
          </w:p>
        </w:tc>
        <w:tc>
          <w:tcPr>
            <w:tcW w:w="118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北侧</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-10.1</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42</w:t>
            </w:r>
          </w:p>
        </w:tc>
        <w:tc>
          <w:tcPr>
            <w:tcW w:w="80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140</w:t>
            </w:r>
          </w:p>
        </w:tc>
        <w:tc>
          <w:tcPr>
            <w:tcW w:w="993"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夜间</w:t>
            </w:r>
          </w:p>
        </w:tc>
        <w:tc>
          <w:tcPr>
            <w:tcW w:w="1417"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32.7</w:t>
            </w:r>
          </w:p>
        </w:tc>
        <w:tc>
          <w:tcPr>
            <w:tcW w:w="141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50</w:t>
            </w:r>
          </w:p>
        </w:tc>
        <w:tc>
          <w:tcPr>
            <w:tcW w:w="1188" w:type="dxa"/>
            <w:shd w:val="clear" w:color="auto" w:fill="FFFFFF"/>
            <w:vAlign w:val="center"/>
          </w:tcPr>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r>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t>达标</w:t>
            </w:r>
          </w:p>
        </w:tc>
      </w:tr>
    </w:tbl>
    <w:p>
      <w:pPr>
        <w:spacing w:before="80" w:line="289" w:lineRule="exact"/>
        <w:rPr>
          <w:rFonts w:ascii="宋体" w:hAnsi="宋体" w:eastAsia="宋体" w:cs="宋体"/>
          <w:color w:val="0000FF"/>
          <w:spacing w:val="6"/>
          <w:position w:val="1"/>
          <w:sz w:val="20"/>
          <w:szCs w:val="20"/>
          <w:highlight w:val="none"/>
          <w14:textOutline w14:w="3795" w14:cap="sq" w14:cmpd="sng">
            <w14:solidFill>
              <w14:srgbClr w14:val="000000"/>
            </w14:solidFill>
            <w14:prstDash w14:val="solid"/>
            <w14:bevel/>
          </w14:textOutline>
        </w:rPr>
      </w:pPr>
    </w:p>
    <w:p>
      <w:pPr>
        <w:spacing w:before="36" w:line="375" w:lineRule="auto"/>
        <w:ind w:left="143" w:right="42" w:firstLine="471"/>
        <w:rPr>
          <w:rFonts w:ascii="宋体" w:hAnsi="宋体" w:eastAsia="宋体" w:cs="宋体"/>
          <w:color w:val="0000FF"/>
          <w:spacing w:val="14"/>
          <w:sz w:val="23"/>
          <w:szCs w:val="23"/>
          <w:highlight w:val="none"/>
        </w:rPr>
      </w:pP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xml:space="preserve">由上表可知，正常工况下，项目厂界噪声满足《工业企业厂界环境噪声排放标准》(GB12348.2008) </w:t>
      </w:r>
      <w:bookmarkStart w:id="160" w:name="PO_3"/>
      <w:r>
        <w:rPr>
          <w:rFonts w:hint="eastAsia" w:ascii="Times New Roman" w:hAnsi="Times New Roman" w:eastAsia="宋体" w:cs="Times New Roman"/>
          <w:snapToGrid/>
          <w:kern w:val="0"/>
          <w:sz w:val="24"/>
          <w:szCs w:val="24"/>
          <w:highlight w:val="none"/>
          <w:lang w:val="en-US" w:eastAsia="zh-CN" w:bidi="ar"/>
        </w:rPr>
        <w:t>2</w:t>
      </w:r>
      <w:bookmarkEnd w:id="160"/>
      <w:r>
        <w:rPr>
          <w:rFonts w:hint="eastAsia" w:ascii="Times New Roman" w:hAnsi="Times New Roman" w:eastAsia="宋体" w:cs="Times New Roman"/>
          <w:snapToGrid/>
          <w:kern w:val="0"/>
          <w:sz w:val="24"/>
          <w:szCs w:val="24"/>
          <w:highlight w:val="none"/>
          <w:lang w:val="en-US" w:eastAsia="zh-CN" w:bidi="ar"/>
        </w:rPr>
        <w:t>类标准。因此，本项目投运后，对厂界声环境影响可以接受。</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61" w:name="_bookmark130"/>
      <w:bookmarkEnd w:id="161"/>
      <w:bookmarkStart w:id="162" w:name="_Toc22320"/>
      <w:r>
        <w:rPr>
          <w:rFonts w:hint="eastAsia" w:ascii="Times New Roman" w:hAnsi="Times New Roman" w:eastAsia="宋体" w:cs="Times New Roman"/>
          <w:snapToGrid/>
          <w:kern w:val="0"/>
          <w:sz w:val="24"/>
          <w:szCs w:val="24"/>
          <w:highlight w:val="none"/>
          <w:lang w:val="en-US" w:eastAsia="zh-CN" w:bidi="ar"/>
        </w:rPr>
        <w:t>6.2.2    交流输电线路工程</w:t>
      </w:r>
      <w:bookmarkEnd w:id="162"/>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交流输电线路噪声采用类比分析的方法。本工程线路采用4 分裂的 JL/G1A-400/35 钢芯铝绞线，分裂间距450mm ，单回路架设，因此选取同样采用4 分裂导线的500kV 单回路线路断面进行类比。</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( 1)类比对象的选择及可比性分析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类比对象选取与本工程线路的电压等级、架线方式、导线型号和分裂数、导线排列 方式均相同的同位于陕西榆林神木的《陕西锦界、府谷电厂送出 500kV 交流输变电工程》中的陕西段单回路输电线路监测断面进行类比分析。类比对象与本工程相关情况见表 6.2- 1。</w:t>
      </w:r>
    </w:p>
    <w:p>
      <w:pPr>
        <w:spacing w:before="1" w:line="227" w:lineRule="auto"/>
        <w:ind w:left="2139"/>
        <w:rPr>
          <w:rFonts w:ascii="黑体" w:hAnsi="黑体" w:eastAsia="黑体" w:cs="黑体"/>
          <w:color w:val="auto"/>
          <w:sz w:val="20"/>
          <w:szCs w:val="20"/>
          <w:highlight w:val="none"/>
        </w:rPr>
      </w:pPr>
      <w:r>
        <w:rPr>
          <w:rFonts w:ascii="黑体" w:hAnsi="黑体" w:eastAsia="黑体" w:cs="黑体"/>
          <w:color w:val="auto"/>
          <w:spacing w:val="4"/>
          <w:sz w:val="20"/>
          <w:szCs w:val="20"/>
          <w:highlight w:val="none"/>
        </w:rPr>
        <w:t xml:space="preserve">表 </w:t>
      </w:r>
      <w:r>
        <w:rPr>
          <w:rFonts w:ascii="Times New Roman" w:hAnsi="Times New Roman" w:eastAsia="Times New Roman" w:cs="Times New Roman"/>
          <w:color w:val="auto"/>
          <w:spacing w:val="4"/>
          <w:sz w:val="20"/>
          <w:szCs w:val="20"/>
          <w:highlight w:val="none"/>
        </w:rPr>
        <w:t xml:space="preserve">6.2- 1    </w:t>
      </w:r>
      <w:r>
        <w:rPr>
          <w:rFonts w:ascii="黑体" w:hAnsi="黑体" w:eastAsia="黑体" w:cs="黑体"/>
          <w:color w:val="auto"/>
          <w:spacing w:val="4"/>
          <w:sz w:val="20"/>
          <w:szCs w:val="20"/>
          <w:highlight w:val="none"/>
        </w:rPr>
        <w:t>本工程输电线路与类比对象相关情况比</w:t>
      </w:r>
      <w:r>
        <w:rPr>
          <w:rFonts w:ascii="黑体" w:hAnsi="黑体" w:eastAsia="黑体" w:cs="黑体"/>
          <w:color w:val="auto"/>
          <w:spacing w:val="1"/>
          <w:sz w:val="20"/>
          <w:szCs w:val="20"/>
          <w:highlight w:val="none"/>
        </w:rPr>
        <w:t>较</w:t>
      </w:r>
      <w:r>
        <w:rPr>
          <w:rFonts w:ascii="黑体" w:hAnsi="黑体" w:eastAsia="黑体" w:cs="黑体"/>
          <w:color w:val="auto"/>
          <w:sz w:val="20"/>
          <w:szCs w:val="20"/>
          <w:highlight w:val="none"/>
        </w:rPr>
        <w:t>表</w:t>
      </w:r>
    </w:p>
    <w:p>
      <w:pPr>
        <w:spacing w:line="130" w:lineRule="exact"/>
        <w:rPr>
          <w:color w:val="0000FF"/>
          <w:highlight w:val="none"/>
        </w:rPr>
      </w:pPr>
    </w:p>
    <w:tbl>
      <w:tblPr>
        <w:tblStyle w:val="20"/>
        <w:tblW w:w="91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6"/>
        <w:gridCol w:w="2206"/>
        <w:gridCol w:w="2546"/>
        <w:gridCol w:w="22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2116" w:type="dxa"/>
            <w:tcBorders>
              <w:left w:val="single" w:color="000000" w:sz="10" w:space="0"/>
            </w:tcBorders>
            <w:vAlign w:val="top"/>
          </w:tcPr>
          <w:p>
            <w:pPr>
              <w:spacing w:line="255" w:lineRule="auto"/>
              <w:rPr>
                <w:rFonts w:ascii="Arial"/>
                <w:color w:val="auto"/>
                <w:sz w:val="21"/>
                <w:szCs w:val="21"/>
                <w:highlight w:val="none"/>
              </w:rPr>
            </w:pPr>
          </w:p>
          <w:p>
            <w:pPr>
              <w:spacing w:before="56" w:line="230" w:lineRule="auto"/>
              <w:ind w:left="896"/>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项目</w:t>
            </w:r>
          </w:p>
        </w:tc>
        <w:tc>
          <w:tcPr>
            <w:tcW w:w="2206" w:type="dxa"/>
            <w:vAlign w:val="top"/>
          </w:tcPr>
          <w:p>
            <w:pPr>
              <w:spacing w:line="256" w:lineRule="auto"/>
              <w:rPr>
                <w:rFonts w:ascii="Arial"/>
                <w:color w:val="auto"/>
                <w:sz w:val="21"/>
                <w:szCs w:val="21"/>
                <w:highlight w:val="none"/>
              </w:rPr>
            </w:pPr>
          </w:p>
          <w:p>
            <w:pPr>
              <w:spacing w:before="55" w:line="229" w:lineRule="auto"/>
              <w:ind w:left="859"/>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本</w:t>
            </w:r>
            <w:r>
              <w:rPr>
                <w:rFonts w:ascii="宋体" w:hAnsi="宋体" w:eastAsia="宋体" w:cs="宋体"/>
                <w:color w:val="auto"/>
                <w:spacing w:val="7"/>
                <w:sz w:val="21"/>
                <w:szCs w:val="21"/>
                <w:highlight w:val="none"/>
              </w:rPr>
              <w:t>工程</w:t>
            </w:r>
          </w:p>
        </w:tc>
        <w:tc>
          <w:tcPr>
            <w:tcW w:w="2546" w:type="dxa"/>
            <w:vAlign w:val="top"/>
          </w:tcPr>
          <w:p>
            <w:pPr>
              <w:spacing w:before="198" w:line="267" w:lineRule="auto"/>
              <w:ind w:left="496" w:right="131" w:hanging="351"/>
              <w:rPr>
                <w:rFonts w:ascii="宋体" w:hAnsi="宋体" w:eastAsia="宋体" w:cs="宋体"/>
                <w:color w:val="auto"/>
                <w:sz w:val="21"/>
                <w:szCs w:val="21"/>
                <w:highlight w:val="none"/>
              </w:rPr>
            </w:pPr>
            <w:r>
              <w:rPr>
                <w:rFonts w:ascii="Times New Roman" w:hAnsi="Times New Roman" w:eastAsia="Times New Roman" w:cs="Times New Roman"/>
                <w:color w:val="auto"/>
                <w:spacing w:val="4"/>
                <w:sz w:val="21"/>
                <w:szCs w:val="21"/>
                <w:highlight w:val="none"/>
              </w:rPr>
              <w:t xml:space="preserve">500 </w:t>
            </w:r>
            <w:r>
              <w:rPr>
                <w:rFonts w:ascii="宋体" w:hAnsi="宋体" w:eastAsia="宋体" w:cs="宋体"/>
                <w:color w:val="auto"/>
                <w:spacing w:val="4"/>
                <w:sz w:val="21"/>
                <w:szCs w:val="21"/>
                <w:highlight w:val="none"/>
              </w:rPr>
              <w:t xml:space="preserve">千伏锦忻Ⅲ线 </w:t>
            </w:r>
            <w:r>
              <w:rPr>
                <w:rFonts w:ascii="Times New Roman" w:hAnsi="Times New Roman" w:eastAsia="Times New Roman" w:cs="Times New Roman"/>
                <w:color w:val="auto"/>
                <w:sz w:val="21"/>
                <w:szCs w:val="21"/>
                <w:highlight w:val="none"/>
              </w:rPr>
              <w:t>J</w:t>
            </w:r>
            <w:r>
              <w:rPr>
                <w:rFonts w:ascii="Times New Roman" w:hAnsi="Times New Roman" w:eastAsia="Times New Roman" w:cs="Times New Roman"/>
                <w:color w:val="auto"/>
                <w:spacing w:val="4"/>
                <w:sz w:val="21"/>
                <w:szCs w:val="21"/>
                <w:highlight w:val="none"/>
              </w:rPr>
              <w:t>5077~507</w:t>
            </w:r>
            <w:r>
              <w:rPr>
                <w:rFonts w:ascii="Times New Roman" w:hAnsi="Times New Roman" w:eastAsia="Times New Roman" w:cs="Times New Roman"/>
                <w:color w:val="auto"/>
                <w:spacing w:val="1"/>
                <w:sz w:val="21"/>
                <w:szCs w:val="21"/>
                <w:highlight w:val="none"/>
              </w:rPr>
              <w:t>8</w:t>
            </w:r>
            <w:r>
              <w:rPr>
                <w:rFonts w:ascii="Times New Roman" w:hAnsi="Times New Roman" w:eastAsia="Times New Roman" w:cs="Times New Roman"/>
                <w:color w:val="auto"/>
                <w:sz w:val="21"/>
                <w:szCs w:val="21"/>
                <w:highlight w:val="none"/>
              </w:rPr>
              <w:t xml:space="preserve"> </w:t>
            </w:r>
            <w:r>
              <w:rPr>
                <w:rFonts w:ascii="宋体" w:hAnsi="宋体" w:eastAsia="宋体" w:cs="宋体"/>
                <w:color w:val="auto"/>
                <w:spacing w:val="9"/>
                <w:sz w:val="21"/>
                <w:szCs w:val="21"/>
                <w:highlight w:val="none"/>
              </w:rPr>
              <w:t>塔</w:t>
            </w:r>
            <w:r>
              <w:rPr>
                <w:rFonts w:ascii="宋体" w:hAnsi="宋体" w:eastAsia="宋体" w:cs="宋体"/>
                <w:color w:val="auto"/>
                <w:spacing w:val="7"/>
                <w:sz w:val="21"/>
                <w:szCs w:val="21"/>
                <w:highlight w:val="none"/>
              </w:rPr>
              <w:t>基南侧 (单回路)</w:t>
            </w:r>
          </w:p>
        </w:tc>
        <w:tc>
          <w:tcPr>
            <w:tcW w:w="2298" w:type="dxa"/>
            <w:tcBorders>
              <w:right w:val="single" w:color="000000" w:sz="10" w:space="0"/>
            </w:tcBorders>
            <w:vAlign w:val="top"/>
          </w:tcPr>
          <w:p>
            <w:pPr>
              <w:spacing w:before="80" w:line="229" w:lineRule="auto"/>
              <w:ind w:left="485"/>
              <w:rPr>
                <w:rFonts w:ascii="宋体" w:hAnsi="宋体" w:eastAsia="宋体" w:cs="宋体"/>
                <w:color w:val="auto"/>
                <w:sz w:val="21"/>
                <w:szCs w:val="21"/>
                <w:highlight w:val="none"/>
              </w:rPr>
            </w:pPr>
            <w:r>
              <w:rPr>
                <w:rFonts w:ascii="Times New Roman" w:hAnsi="Times New Roman" w:eastAsia="Times New Roman" w:cs="Times New Roman"/>
                <w:color w:val="auto"/>
                <w:spacing w:val="7"/>
                <w:sz w:val="21"/>
                <w:szCs w:val="21"/>
                <w:highlight w:val="none"/>
              </w:rPr>
              <w:t xml:space="preserve">500 </w:t>
            </w:r>
            <w:r>
              <w:rPr>
                <w:rFonts w:ascii="宋体" w:hAnsi="宋体" w:eastAsia="宋体" w:cs="宋体"/>
                <w:color w:val="auto"/>
                <w:spacing w:val="7"/>
                <w:sz w:val="21"/>
                <w:szCs w:val="21"/>
                <w:highlight w:val="none"/>
              </w:rPr>
              <w:t>千伏锦忻Ⅲ</w:t>
            </w:r>
            <w:r>
              <w:rPr>
                <w:rFonts w:ascii="宋体" w:hAnsi="宋体" w:eastAsia="宋体" w:cs="宋体"/>
                <w:color w:val="auto"/>
                <w:spacing w:val="5"/>
                <w:sz w:val="21"/>
                <w:szCs w:val="21"/>
                <w:highlight w:val="none"/>
              </w:rPr>
              <w:t>线</w:t>
            </w:r>
          </w:p>
          <w:p>
            <w:pPr>
              <w:spacing w:before="21" w:line="257" w:lineRule="auto"/>
              <w:ind w:left="1001" w:right="95" w:hanging="885"/>
              <w:rPr>
                <w:rFonts w:ascii="宋体" w:hAnsi="宋体" w:eastAsia="宋体" w:cs="宋体"/>
                <w:color w:val="auto"/>
                <w:sz w:val="21"/>
                <w:szCs w:val="21"/>
                <w:highlight w:val="none"/>
              </w:rPr>
            </w:pPr>
            <w:r>
              <w:rPr>
                <w:rFonts w:ascii="Times New Roman" w:hAnsi="Times New Roman" w:eastAsia="Times New Roman" w:cs="Times New Roman"/>
                <w:color w:val="auto"/>
                <w:sz w:val="21"/>
                <w:szCs w:val="21"/>
                <w:highlight w:val="none"/>
              </w:rPr>
              <w:t>J</w:t>
            </w:r>
            <w:r>
              <w:rPr>
                <w:rFonts w:ascii="Times New Roman" w:hAnsi="Times New Roman" w:eastAsia="Times New Roman" w:cs="Times New Roman"/>
                <w:color w:val="auto"/>
                <w:spacing w:val="8"/>
                <w:sz w:val="21"/>
                <w:szCs w:val="21"/>
                <w:highlight w:val="none"/>
              </w:rPr>
              <w:t xml:space="preserve">5077~5078 </w:t>
            </w:r>
            <w:r>
              <w:rPr>
                <w:rFonts w:ascii="宋体" w:hAnsi="宋体" w:eastAsia="宋体" w:cs="宋体"/>
                <w:color w:val="auto"/>
                <w:spacing w:val="8"/>
                <w:sz w:val="21"/>
                <w:szCs w:val="21"/>
                <w:highlight w:val="none"/>
              </w:rPr>
              <w:t>塔基北侧(单</w:t>
            </w:r>
            <w:r>
              <w:rPr>
                <w:rFonts w:ascii="宋体" w:hAnsi="宋体" w:eastAsia="宋体" w:cs="宋体"/>
                <w:color w:val="auto"/>
                <w:spacing w:val="6"/>
                <w:sz w:val="21"/>
                <w:szCs w:val="21"/>
                <w:highlight w:val="none"/>
              </w:rPr>
              <w:t>回</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路</w:t>
            </w:r>
            <w:r>
              <w:rPr>
                <w:rFonts w:ascii="宋体" w:hAnsi="宋体" w:eastAsia="宋体" w:cs="宋体"/>
                <w:color w:val="auto"/>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2116" w:type="dxa"/>
            <w:tcBorders>
              <w:left w:val="single" w:color="000000" w:sz="10" w:space="0"/>
            </w:tcBorders>
            <w:vAlign w:val="top"/>
          </w:tcPr>
          <w:p>
            <w:pPr>
              <w:spacing w:before="21" w:line="243" w:lineRule="exact"/>
              <w:ind w:left="744"/>
              <w:rPr>
                <w:rFonts w:ascii="Times New Roman" w:hAnsi="Times New Roman" w:eastAsia="Times New Roman" w:cs="Times New Roman"/>
                <w:color w:val="auto"/>
                <w:sz w:val="21"/>
                <w:szCs w:val="21"/>
                <w:highlight w:val="none"/>
              </w:rPr>
            </w:pPr>
            <w:r>
              <w:rPr>
                <w:rFonts w:ascii="宋体" w:hAnsi="宋体" w:eastAsia="宋体" w:cs="宋体"/>
                <w:color w:val="auto"/>
                <w:spacing w:val="3"/>
                <w:position w:val="2"/>
                <w:sz w:val="21"/>
                <w:szCs w:val="21"/>
                <w:highlight w:val="none"/>
              </w:rPr>
              <w:t>电压</w:t>
            </w:r>
            <w:r>
              <w:rPr>
                <w:rFonts w:ascii="Times New Roman" w:hAnsi="Times New Roman" w:eastAsia="Times New Roman" w:cs="Times New Roman"/>
                <w:color w:val="auto"/>
                <w:spacing w:val="3"/>
                <w:position w:val="2"/>
                <w:sz w:val="21"/>
                <w:szCs w:val="21"/>
                <w:highlight w:val="none"/>
              </w:rPr>
              <w:t>(</w:t>
            </w:r>
            <w:r>
              <w:rPr>
                <w:rFonts w:ascii="Times New Roman" w:hAnsi="Times New Roman" w:eastAsia="Times New Roman" w:cs="Times New Roman"/>
                <w:color w:val="auto"/>
                <w:position w:val="2"/>
                <w:sz w:val="21"/>
                <w:szCs w:val="21"/>
                <w:highlight w:val="none"/>
              </w:rPr>
              <w:t>kV</w:t>
            </w:r>
            <w:r>
              <w:rPr>
                <w:rFonts w:ascii="Times New Roman" w:hAnsi="Times New Roman" w:eastAsia="Times New Roman" w:cs="Times New Roman"/>
                <w:color w:val="auto"/>
                <w:spacing w:val="2"/>
                <w:position w:val="2"/>
                <w:sz w:val="21"/>
                <w:szCs w:val="21"/>
                <w:highlight w:val="none"/>
              </w:rPr>
              <w:t>)</w:t>
            </w:r>
          </w:p>
        </w:tc>
        <w:tc>
          <w:tcPr>
            <w:tcW w:w="2206" w:type="dxa"/>
            <w:vAlign w:val="top"/>
          </w:tcPr>
          <w:p>
            <w:pPr>
              <w:spacing w:before="85" w:line="197" w:lineRule="auto"/>
              <w:ind w:left="99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500</w:t>
            </w:r>
          </w:p>
        </w:tc>
        <w:tc>
          <w:tcPr>
            <w:tcW w:w="2546" w:type="dxa"/>
            <w:vAlign w:val="top"/>
          </w:tcPr>
          <w:p>
            <w:pPr>
              <w:spacing w:before="85" w:line="197" w:lineRule="auto"/>
              <w:ind w:left="117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500</w:t>
            </w:r>
          </w:p>
        </w:tc>
        <w:tc>
          <w:tcPr>
            <w:tcW w:w="2298" w:type="dxa"/>
            <w:tcBorders>
              <w:right w:val="single" w:color="000000" w:sz="10" w:space="0"/>
            </w:tcBorders>
            <w:vAlign w:val="top"/>
          </w:tcPr>
          <w:p>
            <w:pPr>
              <w:spacing w:before="85" w:line="197" w:lineRule="auto"/>
              <w:ind w:left="104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116" w:type="dxa"/>
            <w:tcBorders>
              <w:left w:val="single" w:color="000000" w:sz="10" w:space="0"/>
            </w:tcBorders>
            <w:vAlign w:val="top"/>
          </w:tcPr>
          <w:p>
            <w:pPr>
              <w:spacing w:before="56" w:line="230" w:lineRule="auto"/>
              <w:ind w:left="718"/>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导线型号</w:t>
            </w:r>
          </w:p>
        </w:tc>
        <w:tc>
          <w:tcPr>
            <w:tcW w:w="2206" w:type="dxa"/>
            <w:vAlign w:val="top"/>
          </w:tcPr>
          <w:p>
            <w:pPr>
              <w:spacing w:before="23" w:line="243" w:lineRule="exact"/>
              <w:ind w:left="50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position w:val="1"/>
                <w:sz w:val="21"/>
                <w:szCs w:val="21"/>
                <w:highlight w:val="none"/>
                <w:lang w:eastAsia="zh-CN"/>
              </w:rPr>
              <w:t>JL/G1A-400/35</w:t>
            </w:r>
          </w:p>
        </w:tc>
        <w:tc>
          <w:tcPr>
            <w:tcW w:w="2546" w:type="dxa"/>
            <w:vAlign w:val="top"/>
          </w:tcPr>
          <w:p>
            <w:pPr>
              <w:spacing w:before="23" w:line="243" w:lineRule="exact"/>
              <w:ind w:left="73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position w:val="1"/>
                <w:sz w:val="21"/>
                <w:szCs w:val="21"/>
                <w:highlight w:val="none"/>
              </w:rPr>
              <w:t>JL</w:t>
            </w:r>
            <w:r>
              <w:rPr>
                <w:rFonts w:ascii="Times New Roman" w:hAnsi="Times New Roman" w:eastAsia="Times New Roman" w:cs="Times New Roman"/>
                <w:color w:val="auto"/>
                <w:spacing w:val="12"/>
                <w:position w:val="1"/>
                <w:sz w:val="21"/>
                <w:szCs w:val="21"/>
                <w:highlight w:val="none"/>
              </w:rPr>
              <w:t>/</w:t>
            </w:r>
            <w:r>
              <w:rPr>
                <w:rFonts w:ascii="Times New Roman" w:hAnsi="Times New Roman" w:eastAsia="Times New Roman" w:cs="Times New Roman"/>
                <w:color w:val="auto"/>
                <w:position w:val="1"/>
                <w:sz w:val="21"/>
                <w:szCs w:val="21"/>
                <w:highlight w:val="none"/>
              </w:rPr>
              <w:t>G</w:t>
            </w:r>
            <w:r>
              <w:rPr>
                <w:rFonts w:ascii="Times New Roman" w:hAnsi="Times New Roman" w:eastAsia="Times New Roman" w:cs="Times New Roman"/>
                <w:color w:val="auto"/>
                <w:spacing w:val="6"/>
                <w:position w:val="1"/>
                <w:sz w:val="21"/>
                <w:szCs w:val="21"/>
                <w:highlight w:val="none"/>
              </w:rPr>
              <w:t>1</w:t>
            </w:r>
            <w:r>
              <w:rPr>
                <w:rFonts w:ascii="Times New Roman" w:hAnsi="Times New Roman" w:eastAsia="Times New Roman" w:cs="Times New Roman"/>
                <w:color w:val="auto"/>
                <w:position w:val="1"/>
                <w:sz w:val="21"/>
                <w:szCs w:val="21"/>
                <w:highlight w:val="none"/>
              </w:rPr>
              <w:t>A</w:t>
            </w:r>
            <w:r>
              <w:rPr>
                <w:rFonts w:ascii="Times New Roman" w:hAnsi="Times New Roman" w:eastAsia="Times New Roman" w:cs="Times New Roman"/>
                <w:color w:val="auto"/>
                <w:spacing w:val="6"/>
                <w:position w:val="1"/>
                <w:sz w:val="21"/>
                <w:szCs w:val="21"/>
                <w:highlight w:val="none"/>
              </w:rPr>
              <w:t>-630/45</w:t>
            </w:r>
          </w:p>
        </w:tc>
        <w:tc>
          <w:tcPr>
            <w:tcW w:w="2298" w:type="dxa"/>
            <w:tcBorders>
              <w:right w:val="single" w:color="000000" w:sz="10" w:space="0"/>
            </w:tcBorders>
            <w:vAlign w:val="top"/>
          </w:tcPr>
          <w:p>
            <w:pPr>
              <w:spacing w:before="23" w:line="243" w:lineRule="exact"/>
              <w:ind w:left="60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position w:val="1"/>
                <w:sz w:val="21"/>
                <w:szCs w:val="21"/>
                <w:highlight w:val="none"/>
              </w:rPr>
              <w:t>JL</w:t>
            </w:r>
            <w:r>
              <w:rPr>
                <w:rFonts w:ascii="Times New Roman" w:hAnsi="Times New Roman" w:eastAsia="Times New Roman" w:cs="Times New Roman"/>
                <w:color w:val="auto"/>
                <w:spacing w:val="10"/>
                <w:position w:val="1"/>
                <w:sz w:val="21"/>
                <w:szCs w:val="21"/>
                <w:highlight w:val="none"/>
              </w:rPr>
              <w:t>/</w:t>
            </w:r>
            <w:r>
              <w:rPr>
                <w:rFonts w:ascii="Times New Roman" w:hAnsi="Times New Roman" w:eastAsia="Times New Roman" w:cs="Times New Roman"/>
                <w:color w:val="auto"/>
                <w:position w:val="1"/>
                <w:sz w:val="21"/>
                <w:szCs w:val="21"/>
                <w:highlight w:val="none"/>
              </w:rPr>
              <w:t>G</w:t>
            </w:r>
            <w:r>
              <w:rPr>
                <w:rFonts w:ascii="Times New Roman" w:hAnsi="Times New Roman" w:eastAsia="Times New Roman" w:cs="Times New Roman"/>
                <w:color w:val="auto"/>
                <w:spacing w:val="6"/>
                <w:position w:val="1"/>
                <w:sz w:val="21"/>
                <w:szCs w:val="21"/>
                <w:highlight w:val="none"/>
              </w:rPr>
              <w:t>1</w:t>
            </w:r>
            <w:r>
              <w:rPr>
                <w:rFonts w:ascii="Times New Roman" w:hAnsi="Times New Roman" w:eastAsia="Times New Roman" w:cs="Times New Roman"/>
                <w:color w:val="auto"/>
                <w:position w:val="1"/>
                <w:sz w:val="21"/>
                <w:szCs w:val="21"/>
                <w:highlight w:val="none"/>
              </w:rPr>
              <w:t>A</w:t>
            </w:r>
            <w:r>
              <w:rPr>
                <w:rFonts w:ascii="Times New Roman" w:hAnsi="Times New Roman" w:eastAsia="Times New Roman" w:cs="Times New Roman"/>
                <w:color w:val="auto"/>
                <w:spacing w:val="6"/>
                <w:position w:val="1"/>
                <w:sz w:val="21"/>
                <w:szCs w:val="21"/>
                <w:highlight w:val="none"/>
              </w:rPr>
              <w:t>-630/45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116" w:type="dxa"/>
            <w:tcBorders>
              <w:left w:val="single" w:color="000000" w:sz="10" w:space="0"/>
            </w:tcBorders>
            <w:vAlign w:val="top"/>
          </w:tcPr>
          <w:p>
            <w:pPr>
              <w:spacing w:before="57" w:line="230" w:lineRule="auto"/>
              <w:ind w:left="53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子</w:t>
            </w:r>
            <w:r>
              <w:rPr>
                <w:rFonts w:ascii="宋体" w:hAnsi="宋体" w:eastAsia="宋体" w:cs="宋体"/>
                <w:color w:val="auto"/>
                <w:spacing w:val="8"/>
                <w:sz w:val="21"/>
                <w:szCs w:val="21"/>
                <w:highlight w:val="none"/>
              </w:rPr>
              <w:t>导线分裂数</w:t>
            </w:r>
          </w:p>
        </w:tc>
        <w:tc>
          <w:tcPr>
            <w:tcW w:w="2206" w:type="dxa"/>
            <w:vAlign w:val="top"/>
          </w:tcPr>
          <w:p>
            <w:pPr>
              <w:spacing w:before="88" w:line="197" w:lineRule="auto"/>
              <w:ind w:left="1079"/>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4</w:t>
            </w:r>
          </w:p>
        </w:tc>
        <w:tc>
          <w:tcPr>
            <w:tcW w:w="2546" w:type="dxa"/>
            <w:vAlign w:val="top"/>
          </w:tcPr>
          <w:p>
            <w:pPr>
              <w:spacing w:before="88" w:line="197" w:lineRule="auto"/>
              <w:ind w:left="125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4</w:t>
            </w:r>
          </w:p>
        </w:tc>
        <w:tc>
          <w:tcPr>
            <w:tcW w:w="2298" w:type="dxa"/>
            <w:tcBorders>
              <w:right w:val="single" w:color="000000" w:sz="10" w:space="0"/>
            </w:tcBorders>
            <w:vAlign w:val="top"/>
          </w:tcPr>
          <w:p>
            <w:pPr>
              <w:spacing w:before="88" w:line="197" w:lineRule="auto"/>
              <w:ind w:left="113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116" w:type="dxa"/>
            <w:tcBorders>
              <w:left w:val="single" w:color="000000" w:sz="10" w:space="0"/>
            </w:tcBorders>
            <w:vAlign w:val="top"/>
          </w:tcPr>
          <w:p>
            <w:pPr>
              <w:spacing w:before="23" w:line="242" w:lineRule="exact"/>
              <w:ind w:left="516"/>
              <w:rPr>
                <w:rFonts w:ascii="Times New Roman" w:hAnsi="Times New Roman" w:eastAsia="Times New Roman" w:cs="Times New Roman"/>
                <w:color w:val="auto"/>
                <w:sz w:val="21"/>
                <w:szCs w:val="21"/>
                <w:highlight w:val="none"/>
              </w:rPr>
            </w:pPr>
            <w:r>
              <w:rPr>
                <w:rFonts w:ascii="宋体" w:hAnsi="宋体" w:eastAsia="宋体" w:cs="宋体"/>
                <w:color w:val="auto"/>
                <w:spacing w:val="9"/>
                <w:position w:val="2"/>
                <w:sz w:val="21"/>
                <w:szCs w:val="21"/>
                <w:highlight w:val="none"/>
              </w:rPr>
              <w:t>分</w:t>
            </w:r>
            <w:r>
              <w:rPr>
                <w:rFonts w:ascii="宋体" w:hAnsi="宋体" w:eastAsia="宋体" w:cs="宋体"/>
                <w:color w:val="auto"/>
                <w:spacing w:val="8"/>
                <w:position w:val="2"/>
                <w:sz w:val="21"/>
                <w:szCs w:val="21"/>
                <w:highlight w:val="none"/>
              </w:rPr>
              <w:t>裂间距</w:t>
            </w:r>
            <w:r>
              <w:rPr>
                <w:rFonts w:ascii="Times New Roman" w:hAnsi="Times New Roman" w:eastAsia="Times New Roman" w:cs="Times New Roman"/>
                <w:color w:val="auto"/>
                <w:spacing w:val="8"/>
                <w:position w:val="2"/>
                <w:sz w:val="21"/>
                <w:szCs w:val="21"/>
                <w:highlight w:val="none"/>
              </w:rPr>
              <w:t>(</w:t>
            </w:r>
            <w:r>
              <w:rPr>
                <w:rFonts w:ascii="Times New Roman" w:hAnsi="Times New Roman" w:eastAsia="Times New Roman" w:cs="Times New Roman"/>
                <w:color w:val="auto"/>
                <w:position w:val="2"/>
                <w:sz w:val="21"/>
                <w:szCs w:val="21"/>
                <w:highlight w:val="none"/>
              </w:rPr>
              <w:t>mm</w:t>
            </w:r>
            <w:r>
              <w:rPr>
                <w:rFonts w:ascii="Times New Roman" w:hAnsi="Times New Roman" w:eastAsia="Times New Roman" w:cs="Times New Roman"/>
                <w:color w:val="auto"/>
                <w:spacing w:val="8"/>
                <w:position w:val="2"/>
                <w:sz w:val="21"/>
                <w:szCs w:val="21"/>
                <w:highlight w:val="none"/>
              </w:rPr>
              <w:t>)</w:t>
            </w:r>
          </w:p>
        </w:tc>
        <w:tc>
          <w:tcPr>
            <w:tcW w:w="2206" w:type="dxa"/>
            <w:vAlign w:val="top"/>
          </w:tcPr>
          <w:p>
            <w:pPr>
              <w:spacing w:before="86" w:line="197" w:lineRule="auto"/>
              <w:ind w:left="98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4"/>
                <w:sz w:val="21"/>
                <w:szCs w:val="21"/>
                <w:highlight w:val="none"/>
              </w:rPr>
              <w:t>450</w:t>
            </w:r>
          </w:p>
        </w:tc>
        <w:tc>
          <w:tcPr>
            <w:tcW w:w="2546" w:type="dxa"/>
            <w:vAlign w:val="top"/>
          </w:tcPr>
          <w:p>
            <w:pPr>
              <w:spacing w:before="86" w:line="197" w:lineRule="auto"/>
              <w:ind w:left="1173"/>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500</w:t>
            </w:r>
          </w:p>
        </w:tc>
        <w:tc>
          <w:tcPr>
            <w:tcW w:w="2298" w:type="dxa"/>
            <w:tcBorders>
              <w:right w:val="single" w:color="000000" w:sz="10" w:space="0"/>
            </w:tcBorders>
            <w:vAlign w:val="top"/>
          </w:tcPr>
          <w:p>
            <w:pPr>
              <w:spacing w:before="86" w:line="197" w:lineRule="auto"/>
              <w:ind w:left="1047"/>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2"/>
                <w:sz w:val="21"/>
                <w:szCs w:val="21"/>
                <w:highlight w:val="none"/>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116" w:type="dxa"/>
            <w:tcBorders>
              <w:left w:val="single" w:color="000000" w:sz="10" w:space="0"/>
            </w:tcBorders>
            <w:vAlign w:val="top"/>
          </w:tcPr>
          <w:p>
            <w:pPr>
              <w:spacing w:before="59" w:line="229" w:lineRule="auto"/>
              <w:ind w:left="714"/>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架线方式</w:t>
            </w:r>
          </w:p>
        </w:tc>
        <w:tc>
          <w:tcPr>
            <w:tcW w:w="2206" w:type="dxa"/>
            <w:vAlign w:val="top"/>
          </w:tcPr>
          <w:p>
            <w:pPr>
              <w:spacing w:before="59" w:line="230" w:lineRule="auto"/>
              <w:ind w:left="859"/>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单回路</w:t>
            </w:r>
          </w:p>
        </w:tc>
        <w:tc>
          <w:tcPr>
            <w:tcW w:w="2546" w:type="dxa"/>
            <w:vAlign w:val="top"/>
          </w:tcPr>
          <w:p>
            <w:pPr>
              <w:spacing w:before="59" w:line="230" w:lineRule="auto"/>
              <w:ind w:left="229"/>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单回路 (与锦忻Ⅱ线并行</w:t>
            </w:r>
            <w:r>
              <w:rPr>
                <w:rFonts w:ascii="宋体" w:hAnsi="宋体" w:eastAsia="宋体" w:cs="宋体"/>
                <w:color w:val="auto"/>
                <w:spacing w:val="5"/>
                <w:sz w:val="21"/>
                <w:szCs w:val="21"/>
                <w:highlight w:val="none"/>
              </w:rPr>
              <w:t>)</w:t>
            </w:r>
          </w:p>
        </w:tc>
        <w:tc>
          <w:tcPr>
            <w:tcW w:w="2298" w:type="dxa"/>
            <w:tcBorders>
              <w:right w:val="single" w:color="000000" w:sz="10" w:space="0"/>
            </w:tcBorders>
            <w:vAlign w:val="top"/>
          </w:tcPr>
          <w:p>
            <w:pPr>
              <w:spacing w:before="59" w:line="230" w:lineRule="auto"/>
              <w:ind w:left="91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单回路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116" w:type="dxa"/>
            <w:tcBorders>
              <w:left w:val="single" w:color="000000" w:sz="10" w:space="0"/>
            </w:tcBorders>
            <w:vAlign w:val="top"/>
          </w:tcPr>
          <w:p>
            <w:pPr>
              <w:spacing w:before="58" w:line="229" w:lineRule="auto"/>
              <w:ind w:left="71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排列方式</w:t>
            </w:r>
          </w:p>
        </w:tc>
        <w:tc>
          <w:tcPr>
            <w:tcW w:w="2206" w:type="dxa"/>
            <w:vAlign w:val="top"/>
          </w:tcPr>
          <w:p>
            <w:pPr>
              <w:spacing w:before="58" w:line="230" w:lineRule="auto"/>
              <w:ind w:left="769"/>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水</w:t>
            </w:r>
            <w:r>
              <w:rPr>
                <w:rFonts w:ascii="宋体" w:hAnsi="宋体" w:eastAsia="宋体" w:cs="宋体"/>
                <w:color w:val="auto"/>
                <w:spacing w:val="7"/>
                <w:sz w:val="21"/>
                <w:szCs w:val="21"/>
                <w:highlight w:val="none"/>
              </w:rPr>
              <w:t>平排列</w:t>
            </w:r>
          </w:p>
        </w:tc>
        <w:tc>
          <w:tcPr>
            <w:tcW w:w="2546" w:type="dxa"/>
            <w:vAlign w:val="top"/>
          </w:tcPr>
          <w:p>
            <w:pPr>
              <w:spacing w:before="58" w:line="230" w:lineRule="auto"/>
              <w:ind w:left="950"/>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水</w:t>
            </w:r>
            <w:r>
              <w:rPr>
                <w:rFonts w:ascii="宋体" w:hAnsi="宋体" w:eastAsia="宋体" w:cs="宋体"/>
                <w:color w:val="auto"/>
                <w:spacing w:val="7"/>
                <w:sz w:val="21"/>
                <w:szCs w:val="21"/>
                <w:highlight w:val="none"/>
              </w:rPr>
              <w:t>平排列</w:t>
            </w:r>
          </w:p>
        </w:tc>
        <w:tc>
          <w:tcPr>
            <w:tcW w:w="2298" w:type="dxa"/>
            <w:tcBorders>
              <w:right w:val="single" w:color="000000" w:sz="10" w:space="0"/>
            </w:tcBorders>
            <w:vAlign w:val="top"/>
          </w:tcPr>
          <w:p>
            <w:pPr>
              <w:spacing w:before="58" w:line="230" w:lineRule="auto"/>
              <w:ind w:left="822"/>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水</w:t>
            </w:r>
            <w:r>
              <w:rPr>
                <w:rFonts w:ascii="宋体" w:hAnsi="宋体" w:eastAsia="宋体" w:cs="宋体"/>
                <w:color w:val="auto"/>
                <w:spacing w:val="7"/>
                <w:sz w:val="21"/>
                <w:szCs w:val="21"/>
                <w:highlight w:val="none"/>
              </w:rPr>
              <w:t>平排列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2116" w:type="dxa"/>
            <w:tcBorders>
              <w:left w:val="single" w:color="000000" w:sz="10" w:space="0"/>
            </w:tcBorders>
            <w:vAlign w:val="top"/>
          </w:tcPr>
          <w:p>
            <w:pPr>
              <w:spacing w:before="259" w:line="242" w:lineRule="exact"/>
              <w:ind w:left="403"/>
              <w:rPr>
                <w:rFonts w:ascii="Times New Roman" w:hAnsi="Times New Roman" w:eastAsia="Times New Roman" w:cs="Times New Roman"/>
                <w:color w:val="auto"/>
                <w:sz w:val="21"/>
                <w:szCs w:val="21"/>
                <w:highlight w:val="none"/>
              </w:rPr>
            </w:pPr>
            <w:r>
              <w:rPr>
                <w:rFonts w:ascii="宋体" w:hAnsi="宋体" w:eastAsia="宋体" w:cs="宋体"/>
                <w:color w:val="auto"/>
                <w:spacing w:val="11"/>
                <w:position w:val="2"/>
                <w:sz w:val="21"/>
                <w:szCs w:val="21"/>
                <w:highlight w:val="none"/>
              </w:rPr>
              <w:t>对</w:t>
            </w:r>
            <w:r>
              <w:rPr>
                <w:rFonts w:ascii="宋体" w:hAnsi="宋体" w:eastAsia="宋体" w:cs="宋体"/>
                <w:color w:val="auto"/>
                <w:spacing w:val="8"/>
                <w:position w:val="2"/>
                <w:sz w:val="21"/>
                <w:szCs w:val="21"/>
                <w:highlight w:val="none"/>
              </w:rPr>
              <w:t>地最小距离</w:t>
            </w:r>
            <w:r>
              <w:rPr>
                <w:rFonts w:ascii="Times New Roman" w:hAnsi="Times New Roman" w:eastAsia="Times New Roman" w:cs="Times New Roman"/>
                <w:color w:val="auto"/>
                <w:spacing w:val="8"/>
                <w:position w:val="2"/>
                <w:sz w:val="21"/>
                <w:szCs w:val="21"/>
                <w:highlight w:val="none"/>
              </w:rPr>
              <w:t>(</w:t>
            </w:r>
            <w:r>
              <w:rPr>
                <w:rFonts w:ascii="Times New Roman" w:hAnsi="Times New Roman" w:eastAsia="Times New Roman" w:cs="Times New Roman"/>
                <w:color w:val="auto"/>
                <w:position w:val="2"/>
                <w:sz w:val="21"/>
                <w:szCs w:val="21"/>
                <w:highlight w:val="none"/>
              </w:rPr>
              <w:t>m</w:t>
            </w:r>
            <w:r>
              <w:rPr>
                <w:rFonts w:ascii="Times New Roman" w:hAnsi="Times New Roman" w:eastAsia="Times New Roman" w:cs="Times New Roman"/>
                <w:color w:val="auto"/>
                <w:spacing w:val="8"/>
                <w:position w:val="2"/>
                <w:sz w:val="21"/>
                <w:szCs w:val="21"/>
                <w:highlight w:val="none"/>
              </w:rPr>
              <w:t>)</w:t>
            </w:r>
          </w:p>
        </w:tc>
        <w:tc>
          <w:tcPr>
            <w:tcW w:w="2206" w:type="dxa"/>
            <w:vAlign w:val="top"/>
          </w:tcPr>
          <w:p>
            <w:pPr>
              <w:spacing w:line="237" w:lineRule="exact"/>
              <w:ind w:left="379"/>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8"/>
                <w:position w:val="2"/>
                <w:sz w:val="21"/>
                <w:szCs w:val="21"/>
                <w:highlight w:val="none"/>
                <w:lang w:val="en-US" w:eastAsia="zh-CN"/>
              </w:rPr>
              <w:t>21</w:t>
            </w:r>
          </w:p>
        </w:tc>
        <w:tc>
          <w:tcPr>
            <w:tcW w:w="2546" w:type="dxa"/>
            <w:vAlign w:val="top"/>
          </w:tcPr>
          <w:p>
            <w:pPr>
              <w:spacing w:line="272" w:lineRule="auto"/>
              <w:rPr>
                <w:rFonts w:ascii="Arial"/>
                <w:color w:val="auto"/>
                <w:sz w:val="21"/>
                <w:szCs w:val="21"/>
                <w:highlight w:val="none"/>
              </w:rPr>
            </w:pPr>
          </w:p>
          <w:p>
            <w:pPr>
              <w:spacing w:before="49" w:line="197" w:lineRule="auto"/>
              <w:ind w:left="1146"/>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2</w:t>
            </w:r>
            <w:r>
              <w:rPr>
                <w:rFonts w:ascii="Times New Roman" w:hAnsi="Times New Roman" w:eastAsia="Times New Roman" w:cs="Times New Roman"/>
                <w:color w:val="auto"/>
                <w:spacing w:val="4"/>
                <w:sz w:val="21"/>
                <w:szCs w:val="21"/>
                <w:highlight w:val="none"/>
              </w:rPr>
              <w:t>8.6</w:t>
            </w:r>
          </w:p>
        </w:tc>
        <w:tc>
          <w:tcPr>
            <w:tcW w:w="2298" w:type="dxa"/>
            <w:tcBorders>
              <w:right w:val="single" w:color="000000" w:sz="10" w:space="0"/>
            </w:tcBorders>
            <w:vAlign w:val="top"/>
          </w:tcPr>
          <w:p>
            <w:pPr>
              <w:spacing w:line="272" w:lineRule="auto"/>
              <w:rPr>
                <w:rFonts w:ascii="Arial"/>
                <w:color w:val="auto"/>
                <w:sz w:val="21"/>
                <w:szCs w:val="21"/>
                <w:highlight w:val="none"/>
              </w:rPr>
            </w:pPr>
          </w:p>
          <w:p>
            <w:pPr>
              <w:spacing w:before="49" w:line="197" w:lineRule="auto"/>
              <w:ind w:left="1020"/>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pacing w:val="5"/>
                <w:sz w:val="21"/>
                <w:szCs w:val="21"/>
                <w:highlight w:val="none"/>
              </w:rPr>
              <w:t>2</w:t>
            </w:r>
            <w:r>
              <w:rPr>
                <w:rFonts w:ascii="Times New Roman" w:hAnsi="Times New Roman" w:eastAsia="Times New Roman" w:cs="Times New Roman"/>
                <w:color w:val="auto"/>
                <w:spacing w:val="4"/>
                <w:sz w:val="21"/>
                <w:szCs w:val="21"/>
                <w:highlight w:val="none"/>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116" w:type="dxa"/>
            <w:tcBorders>
              <w:left w:val="single" w:color="000000" w:sz="10" w:space="0"/>
            </w:tcBorders>
            <w:vAlign w:val="top"/>
          </w:tcPr>
          <w:p>
            <w:pPr>
              <w:spacing w:before="59" w:line="231" w:lineRule="auto"/>
              <w:ind w:left="713"/>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所在地区</w:t>
            </w:r>
          </w:p>
        </w:tc>
        <w:tc>
          <w:tcPr>
            <w:tcW w:w="2206" w:type="dxa"/>
            <w:vAlign w:val="top"/>
          </w:tcPr>
          <w:p>
            <w:pPr>
              <w:spacing w:before="59" w:line="230" w:lineRule="auto"/>
              <w:ind w:left="60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9"/>
                <w:sz w:val="21"/>
                <w:szCs w:val="21"/>
                <w:highlight w:val="none"/>
                <w:lang w:eastAsia="zh-CN"/>
              </w:rPr>
              <w:t>黑龙江省大庆市</w:t>
            </w:r>
          </w:p>
        </w:tc>
        <w:tc>
          <w:tcPr>
            <w:tcW w:w="2546" w:type="dxa"/>
            <w:vAlign w:val="top"/>
          </w:tcPr>
          <w:p>
            <w:pPr>
              <w:spacing w:before="59" w:line="230" w:lineRule="auto"/>
              <w:ind w:left="781"/>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陕</w:t>
            </w:r>
            <w:r>
              <w:rPr>
                <w:rFonts w:ascii="宋体" w:hAnsi="宋体" w:eastAsia="宋体" w:cs="宋体"/>
                <w:color w:val="auto"/>
                <w:spacing w:val="6"/>
                <w:sz w:val="21"/>
                <w:szCs w:val="21"/>
                <w:highlight w:val="none"/>
              </w:rPr>
              <w:t>西省榆林市</w:t>
            </w:r>
          </w:p>
        </w:tc>
        <w:tc>
          <w:tcPr>
            <w:tcW w:w="2298" w:type="dxa"/>
            <w:tcBorders>
              <w:right w:val="single" w:color="000000" w:sz="10" w:space="0"/>
            </w:tcBorders>
            <w:vAlign w:val="top"/>
          </w:tcPr>
          <w:p>
            <w:pPr>
              <w:spacing w:before="59" w:line="230" w:lineRule="auto"/>
              <w:ind w:left="653"/>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陕</w:t>
            </w:r>
            <w:r>
              <w:rPr>
                <w:rFonts w:ascii="宋体" w:hAnsi="宋体" w:eastAsia="宋体" w:cs="宋体"/>
                <w:color w:val="auto"/>
                <w:spacing w:val="6"/>
                <w:sz w:val="21"/>
                <w:szCs w:val="21"/>
                <w:highlight w:val="none"/>
              </w:rPr>
              <w:t>西省榆林市</w:t>
            </w: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类比对象与本工程线路的电压等级(均为500kV) 、架线方式、分裂数(均为4分裂) 、导线排列方式(均为水平排列)均相同，导线型号、子导线分裂间距类似。类比工程断面处导线对地高度为28.6m，本工程500kV输电线路经过居民区时为了保证工频电场强度满足4kV/m 的要求，导线对地高度约为33m ，类比线路高度与本工程抬高线高后导线对地高度基本相当。类比线路的选择是合理的。</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(2)类比监测因子及布点</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监测断面上各测点及断面附近敏感目标距地面1.2m 高度处的等效连续A 声级。断面监测起点为线路中心，测至边导线地面垂直投影外50m 处为止(50m 后不具备监测条件)。</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(3)类比监测单位、监测时间、监测仪器</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监测单位：西安志诚辐射环境检测有限公司。</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监测时间：2021 年 3 月 30 日。</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监测所用仪器见表 6.2-2。</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监测所用仪器见表 6.2-2。</w:t>
      </w:r>
    </w:p>
    <w:p>
      <w:pPr>
        <w:spacing w:before="177" w:line="230" w:lineRule="auto"/>
        <w:ind w:left="3374"/>
        <w:rPr>
          <w:rFonts w:ascii="黑体" w:hAnsi="黑体" w:eastAsia="黑体" w:cs="黑体"/>
          <w:color w:val="auto"/>
          <w:sz w:val="20"/>
          <w:szCs w:val="20"/>
          <w:highlight w:val="none"/>
        </w:rPr>
      </w:pPr>
      <w:r>
        <w:rPr>
          <w:rFonts w:ascii="黑体" w:hAnsi="黑体" w:eastAsia="黑体" w:cs="黑体"/>
          <w:color w:val="auto"/>
          <w:spacing w:val="5"/>
          <w:sz w:val="20"/>
          <w:szCs w:val="20"/>
          <w:highlight w:val="none"/>
        </w:rPr>
        <w:t>表</w:t>
      </w:r>
      <w:r>
        <w:rPr>
          <w:rFonts w:ascii="黑体" w:hAnsi="黑体" w:eastAsia="黑体" w:cs="黑体"/>
          <w:color w:val="auto"/>
          <w:spacing w:val="3"/>
          <w:sz w:val="20"/>
          <w:szCs w:val="20"/>
          <w:highlight w:val="none"/>
        </w:rPr>
        <w:t xml:space="preserve"> </w:t>
      </w:r>
      <w:r>
        <w:rPr>
          <w:rFonts w:ascii="Times New Roman" w:hAnsi="Times New Roman" w:eastAsia="Times New Roman" w:cs="Times New Roman"/>
          <w:color w:val="auto"/>
          <w:spacing w:val="3"/>
          <w:sz w:val="20"/>
          <w:szCs w:val="20"/>
          <w:highlight w:val="none"/>
        </w:rPr>
        <w:t xml:space="preserve">6.2-2    </w:t>
      </w:r>
      <w:r>
        <w:rPr>
          <w:rFonts w:ascii="黑体" w:hAnsi="黑体" w:eastAsia="黑体" w:cs="黑体"/>
          <w:color w:val="auto"/>
          <w:spacing w:val="3"/>
          <w:sz w:val="20"/>
          <w:szCs w:val="20"/>
          <w:highlight w:val="none"/>
        </w:rPr>
        <w:t>监测仪器相关信息</w:t>
      </w:r>
    </w:p>
    <w:p>
      <w:pPr>
        <w:spacing w:line="129" w:lineRule="exact"/>
        <w:rPr>
          <w:color w:val="auto"/>
          <w:highlight w:val="none"/>
        </w:rPr>
      </w:pPr>
    </w:p>
    <w:tbl>
      <w:tblPr>
        <w:tblStyle w:val="20"/>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4"/>
        <w:gridCol w:w="2518"/>
        <w:gridCol w:w="1466"/>
        <w:gridCol w:w="34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1814" w:type="dxa"/>
            <w:tcBorders>
              <w:left w:val="single" w:color="000000" w:sz="10" w:space="0"/>
            </w:tcBorders>
            <w:vAlign w:val="top"/>
          </w:tcPr>
          <w:p>
            <w:pPr>
              <w:spacing w:before="51" w:line="227" w:lineRule="auto"/>
              <w:ind w:left="539"/>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仪器名称</w:t>
            </w:r>
          </w:p>
        </w:tc>
        <w:tc>
          <w:tcPr>
            <w:tcW w:w="2518" w:type="dxa"/>
            <w:vAlign w:val="top"/>
          </w:tcPr>
          <w:p>
            <w:pPr>
              <w:spacing w:before="51" w:line="227" w:lineRule="auto"/>
              <w:ind w:left="900"/>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测量范围</w:t>
            </w:r>
          </w:p>
        </w:tc>
        <w:tc>
          <w:tcPr>
            <w:tcW w:w="1466" w:type="dxa"/>
            <w:vAlign w:val="top"/>
          </w:tcPr>
          <w:p>
            <w:pPr>
              <w:spacing w:before="51" w:line="227" w:lineRule="auto"/>
              <w:ind w:left="379"/>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仪器编号</w:t>
            </w:r>
          </w:p>
        </w:tc>
        <w:tc>
          <w:tcPr>
            <w:tcW w:w="3484" w:type="dxa"/>
            <w:tcBorders>
              <w:right w:val="single" w:color="000000" w:sz="10" w:space="0"/>
            </w:tcBorders>
            <w:vAlign w:val="top"/>
          </w:tcPr>
          <w:p>
            <w:pPr>
              <w:spacing w:before="51" w:line="227" w:lineRule="auto"/>
              <w:ind w:left="1479"/>
              <w:rPr>
                <w:rFonts w:ascii="宋体" w:hAnsi="宋体" w:eastAsia="宋体" w:cs="宋体"/>
                <w:color w:val="auto"/>
                <w:sz w:val="17"/>
                <w:szCs w:val="17"/>
                <w:highlight w:val="none"/>
              </w:rPr>
            </w:pPr>
            <w:r>
              <w:rPr>
                <w:rFonts w:ascii="宋体" w:hAnsi="宋体" w:eastAsia="宋体" w:cs="宋体"/>
                <w:color w:val="auto"/>
                <w:spacing w:val="8"/>
                <w:sz w:val="17"/>
                <w:szCs w:val="17"/>
                <w:highlight w:val="none"/>
              </w:rPr>
              <w:t>有</w:t>
            </w:r>
            <w:r>
              <w:rPr>
                <w:rFonts w:ascii="宋体" w:hAnsi="宋体" w:eastAsia="宋体" w:cs="宋体"/>
                <w:color w:val="auto"/>
                <w:spacing w:val="7"/>
                <w:sz w:val="17"/>
                <w:szCs w:val="17"/>
                <w:highlight w:val="none"/>
              </w:rPr>
              <w:t>效期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7" w:hRule="atLeast"/>
        </w:trPr>
        <w:tc>
          <w:tcPr>
            <w:tcW w:w="1814" w:type="dxa"/>
            <w:tcBorders>
              <w:left w:val="single" w:color="000000" w:sz="10" w:space="0"/>
            </w:tcBorders>
            <w:vAlign w:val="top"/>
          </w:tcPr>
          <w:p>
            <w:pPr>
              <w:spacing w:line="236" w:lineRule="exact"/>
              <w:ind w:left="104"/>
              <w:rPr>
                <w:rFonts w:ascii="宋体" w:hAnsi="宋体" w:eastAsia="宋体" w:cs="宋体"/>
                <w:color w:val="auto"/>
                <w:sz w:val="17"/>
                <w:szCs w:val="17"/>
                <w:highlight w:val="none"/>
              </w:rPr>
            </w:pPr>
            <w:r>
              <w:rPr>
                <w:rFonts w:ascii="Times New Roman" w:hAnsi="Times New Roman" w:eastAsia="Times New Roman" w:cs="Times New Roman"/>
                <w:color w:val="auto"/>
                <w:position w:val="1"/>
                <w:sz w:val="17"/>
                <w:szCs w:val="17"/>
                <w:highlight w:val="none"/>
              </w:rPr>
              <w:t>AWA</w:t>
            </w:r>
            <w:r>
              <w:rPr>
                <w:rFonts w:ascii="Times New Roman" w:hAnsi="Times New Roman" w:eastAsia="Times New Roman" w:cs="Times New Roman"/>
                <w:color w:val="auto"/>
                <w:spacing w:val="6"/>
                <w:position w:val="1"/>
                <w:sz w:val="17"/>
                <w:szCs w:val="17"/>
                <w:highlight w:val="none"/>
              </w:rPr>
              <w:t>6228+</w:t>
            </w:r>
            <w:r>
              <w:rPr>
                <w:rFonts w:ascii="宋体" w:hAnsi="宋体" w:eastAsia="宋体" w:cs="宋体"/>
                <w:color w:val="auto"/>
                <w:spacing w:val="6"/>
                <w:position w:val="1"/>
                <w:sz w:val="17"/>
                <w:szCs w:val="17"/>
                <w:highlight w:val="none"/>
              </w:rPr>
              <w:t>型声级</w:t>
            </w:r>
            <w:r>
              <w:rPr>
                <w:rFonts w:ascii="宋体" w:hAnsi="宋体" w:eastAsia="宋体" w:cs="宋体"/>
                <w:color w:val="auto"/>
                <w:spacing w:val="5"/>
                <w:position w:val="1"/>
                <w:sz w:val="17"/>
                <w:szCs w:val="17"/>
                <w:highlight w:val="none"/>
              </w:rPr>
              <w:t>计</w:t>
            </w:r>
          </w:p>
        </w:tc>
        <w:tc>
          <w:tcPr>
            <w:tcW w:w="2518" w:type="dxa"/>
            <w:vAlign w:val="top"/>
          </w:tcPr>
          <w:p>
            <w:pPr>
              <w:spacing w:line="236" w:lineRule="exact"/>
              <w:ind w:left="522"/>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pacing w:val="4"/>
                <w:position w:val="3"/>
                <w:sz w:val="17"/>
                <w:szCs w:val="17"/>
                <w:highlight w:val="none"/>
              </w:rPr>
              <w:t>2</w:t>
            </w:r>
            <w:r>
              <w:rPr>
                <w:rFonts w:ascii="Times New Roman" w:hAnsi="Times New Roman" w:eastAsia="Times New Roman" w:cs="Times New Roman"/>
                <w:color w:val="auto"/>
                <w:spacing w:val="3"/>
                <w:position w:val="3"/>
                <w:sz w:val="17"/>
                <w:szCs w:val="17"/>
                <w:highlight w:val="none"/>
              </w:rPr>
              <w:t>0</w:t>
            </w:r>
            <w:r>
              <w:rPr>
                <w:rFonts w:ascii="Times New Roman" w:hAnsi="Times New Roman" w:eastAsia="Times New Roman" w:cs="Times New Roman"/>
                <w:color w:val="auto"/>
                <w:position w:val="3"/>
                <w:sz w:val="17"/>
                <w:szCs w:val="17"/>
                <w:highlight w:val="none"/>
              </w:rPr>
              <w:t>dB</w:t>
            </w:r>
            <w:r>
              <w:rPr>
                <w:rFonts w:ascii="Times New Roman" w:hAnsi="Times New Roman" w:eastAsia="Times New Roman" w:cs="Times New Roman"/>
                <w:color w:val="auto"/>
                <w:spacing w:val="3"/>
                <w:position w:val="3"/>
                <w:sz w:val="17"/>
                <w:szCs w:val="17"/>
                <w:highlight w:val="none"/>
              </w:rPr>
              <w:t>(</w:t>
            </w:r>
            <w:r>
              <w:rPr>
                <w:rFonts w:ascii="Times New Roman" w:hAnsi="Times New Roman" w:eastAsia="Times New Roman" w:cs="Times New Roman"/>
                <w:color w:val="auto"/>
                <w:position w:val="3"/>
                <w:sz w:val="17"/>
                <w:szCs w:val="17"/>
                <w:highlight w:val="none"/>
              </w:rPr>
              <w:t>A</w:t>
            </w:r>
            <w:r>
              <w:rPr>
                <w:rFonts w:ascii="Times New Roman" w:hAnsi="Times New Roman" w:eastAsia="Times New Roman" w:cs="Times New Roman"/>
                <w:color w:val="auto"/>
                <w:spacing w:val="3"/>
                <w:position w:val="3"/>
                <w:sz w:val="17"/>
                <w:szCs w:val="17"/>
                <w:highlight w:val="none"/>
              </w:rPr>
              <w:t>)~ 132</w:t>
            </w:r>
            <w:r>
              <w:rPr>
                <w:rFonts w:ascii="Times New Roman" w:hAnsi="Times New Roman" w:eastAsia="Times New Roman" w:cs="Times New Roman"/>
                <w:color w:val="auto"/>
                <w:position w:val="3"/>
                <w:sz w:val="17"/>
                <w:szCs w:val="17"/>
                <w:highlight w:val="none"/>
              </w:rPr>
              <w:t>dB</w:t>
            </w:r>
            <w:r>
              <w:rPr>
                <w:rFonts w:ascii="Times New Roman" w:hAnsi="Times New Roman" w:eastAsia="Times New Roman" w:cs="Times New Roman"/>
                <w:color w:val="auto"/>
                <w:spacing w:val="3"/>
                <w:position w:val="3"/>
                <w:sz w:val="17"/>
                <w:szCs w:val="17"/>
                <w:highlight w:val="none"/>
              </w:rPr>
              <w:t>(</w:t>
            </w:r>
            <w:r>
              <w:rPr>
                <w:rFonts w:ascii="Times New Roman" w:hAnsi="Times New Roman" w:eastAsia="Times New Roman" w:cs="Times New Roman"/>
                <w:color w:val="auto"/>
                <w:position w:val="3"/>
                <w:sz w:val="17"/>
                <w:szCs w:val="17"/>
                <w:highlight w:val="none"/>
              </w:rPr>
              <w:t>A</w:t>
            </w:r>
            <w:r>
              <w:rPr>
                <w:rFonts w:ascii="Times New Roman" w:hAnsi="Times New Roman" w:eastAsia="Times New Roman" w:cs="Times New Roman"/>
                <w:color w:val="auto"/>
                <w:spacing w:val="3"/>
                <w:position w:val="3"/>
                <w:sz w:val="17"/>
                <w:szCs w:val="17"/>
                <w:highlight w:val="none"/>
              </w:rPr>
              <w:t>)</w:t>
            </w:r>
          </w:p>
        </w:tc>
        <w:tc>
          <w:tcPr>
            <w:tcW w:w="1466" w:type="dxa"/>
            <w:vAlign w:val="top"/>
          </w:tcPr>
          <w:p>
            <w:pPr>
              <w:spacing w:before="59" w:line="199" w:lineRule="auto"/>
              <w:ind w:left="16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XAZC</w:t>
            </w:r>
            <w:r>
              <w:rPr>
                <w:rFonts w:ascii="Times New Roman" w:hAnsi="Times New Roman" w:eastAsia="Times New Roman" w:cs="Times New Roman"/>
                <w:color w:val="auto"/>
                <w:spacing w:val="15"/>
                <w:sz w:val="17"/>
                <w:szCs w:val="17"/>
                <w:highlight w:val="none"/>
              </w:rPr>
              <w:t>-</w:t>
            </w:r>
            <w:r>
              <w:rPr>
                <w:rFonts w:ascii="Times New Roman" w:hAnsi="Times New Roman" w:eastAsia="Times New Roman" w:cs="Times New Roman"/>
                <w:color w:val="auto"/>
                <w:sz w:val="17"/>
                <w:szCs w:val="17"/>
                <w:highlight w:val="none"/>
              </w:rPr>
              <w:t>YQ</w:t>
            </w:r>
            <w:r>
              <w:rPr>
                <w:rFonts w:ascii="Times New Roman" w:hAnsi="Times New Roman" w:eastAsia="Times New Roman" w:cs="Times New Roman"/>
                <w:color w:val="auto"/>
                <w:spacing w:val="12"/>
                <w:sz w:val="17"/>
                <w:szCs w:val="17"/>
                <w:highlight w:val="none"/>
              </w:rPr>
              <w:t>-021</w:t>
            </w:r>
          </w:p>
        </w:tc>
        <w:tc>
          <w:tcPr>
            <w:tcW w:w="3484" w:type="dxa"/>
            <w:vMerge w:val="restart"/>
            <w:tcBorders>
              <w:bottom w:val="nil"/>
              <w:right w:val="single" w:color="000000" w:sz="10" w:space="0"/>
            </w:tcBorders>
            <w:vAlign w:val="top"/>
          </w:tcPr>
          <w:p>
            <w:pPr>
              <w:spacing w:before="150" w:line="229" w:lineRule="auto"/>
              <w:ind w:left="140"/>
              <w:rPr>
                <w:rFonts w:ascii="宋体" w:hAnsi="宋体" w:eastAsia="宋体" w:cs="宋体"/>
                <w:color w:val="auto"/>
                <w:sz w:val="17"/>
                <w:szCs w:val="17"/>
                <w:highlight w:val="none"/>
              </w:rPr>
            </w:pPr>
            <w:r>
              <w:rPr>
                <w:rFonts w:ascii="宋体" w:hAnsi="宋体" w:eastAsia="宋体" w:cs="宋体"/>
                <w:color w:val="auto"/>
                <w:spacing w:val="4"/>
                <w:sz w:val="17"/>
                <w:szCs w:val="17"/>
                <w:highlight w:val="none"/>
              </w:rPr>
              <w:t>陕西省计</w:t>
            </w:r>
            <w:r>
              <w:rPr>
                <w:rFonts w:ascii="宋体" w:hAnsi="宋体" w:eastAsia="宋体" w:cs="宋体"/>
                <w:color w:val="auto"/>
                <w:spacing w:val="2"/>
                <w:sz w:val="17"/>
                <w:szCs w:val="17"/>
                <w:highlight w:val="none"/>
              </w:rPr>
              <w:t xml:space="preserve">量科学研究院 </w:t>
            </w:r>
            <w:r>
              <w:rPr>
                <w:rFonts w:ascii="Times New Roman" w:hAnsi="Times New Roman" w:eastAsia="Times New Roman" w:cs="Times New Roman"/>
                <w:color w:val="auto"/>
                <w:spacing w:val="2"/>
                <w:sz w:val="17"/>
                <w:szCs w:val="17"/>
                <w:highlight w:val="none"/>
              </w:rPr>
              <w:t xml:space="preserve">2021 </w:t>
            </w:r>
            <w:r>
              <w:rPr>
                <w:rFonts w:ascii="宋体" w:hAnsi="宋体" w:eastAsia="宋体" w:cs="宋体"/>
                <w:color w:val="auto"/>
                <w:spacing w:val="2"/>
                <w:sz w:val="17"/>
                <w:szCs w:val="17"/>
                <w:highlight w:val="none"/>
              </w:rPr>
              <w:t xml:space="preserve">年 </w:t>
            </w:r>
            <w:r>
              <w:rPr>
                <w:rFonts w:ascii="Times New Roman" w:hAnsi="Times New Roman" w:eastAsia="Times New Roman" w:cs="Times New Roman"/>
                <w:color w:val="auto"/>
                <w:spacing w:val="2"/>
                <w:sz w:val="17"/>
                <w:szCs w:val="17"/>
                <w:highlight w:val="none"/>
              </w:rPr>
              <w:t xml:space="preserve">6 </w:t>
            </w:r>
            <w:r>
              <w:rPr>
                <w:rFonts w:ascii="宋体" w:hAnsi="宋体" w:eastAsia="宋体" w:cs="宋体"/>
                <w:color w:val="auto"/>
                <w:spacing w:val="2"/>
                <w:sz w:val="17"/>
                <w:szCs w:val="17"/>
                <w:highlight w:val="none"/>
              </w:rPr>
              <w:t xml:space="preserve">月 </w:t>
            </w:r>
            <w:r>
              <w:rPr>
                <w:rFonts w:ascii="Times New Roman" w:hAnsi="Times New Roman" w:eastAsia="Times New Roman" w:cs="Times New Roman"/>
                <w:color w:val="auto"/>
                <w:spacing w:val="2"/>
                <w:sz w:val="17"/>
                <w:szCs w:val="17"/>
                <w:highlight w:val="none"/>
              </w:rPr>
              <w:t xml:space="preserve">27 </w:t>
            </w:r>
            <w:r>
              <w:rPr>
                <w:rFonts w:ascii="宋体" w:hAnsi="宋体" w:eastAsia="宋体" w:cs="宋体"/>
                <w:color w:val="auto"/>
                <w:spacing w:val="2"/>
                <w:sz w:val="17"/>
                <w:szCs w:val="17"/>
                <w:highlight w:val="none"/>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1814" w:type="dxa"/>
            <w:tcBorders>
              <w:left w:val="single" w:color="000000" w:sz="10" w:space="0"/>
            </w:tcBorders>
            <w:vAlign w:val="top"/>
          </w:tcPr>
          <w:p>
            <w:pPr>
              <w:spacing w:before="30" w:line="231" w:lineRule="auto"/>
              <w:ind w:left="156"/>
              <w:rPr>
                <w:rFonts w:ascii="宋体" w:hAnsi="宋体" w:eastAsia="宋体" w:cs="宋体"/>
                <w:color w:val="auto"/>
                <w:sz w:val="17"/>
                <w:szCs w:val="17"/>
                <w:highlight w:val="none"/>
              </w:rPr>
            </w:pPr>
            <w:r>
              <w:rPr>
                <w:rFonts w:ascii="Times New Roman" w:hAnsi="Times New Roman" w:eastAsia="Times New Roman" w:cs="Times New Roman"/>
                <w:color w:val="auto"/>
                <w:sz w:val="17"/>
                <w:szCs w:val="17"/>
                <w:highlight w:val="none"/>
              </w:rPr>
              <w:t>AWA</w:t>
            </w:r>
            <w:r>
              <w:rPr>
                <w:rFonts w:ascii="Times New Roman" w:hAnsi="Times New Roman" w:eastAsia="Times New Roman" w:cs="Times New Roman"/>
                <w:color w:val="auto"/>
                <w:spacing w:val="6"/>
                <w:sz w:val="17"/>
                <w:szCs w:val="17"/>
                <w:highlight w:val="none"/>
              </w:rPr>
              <w:t>6021</w:t>
            </w:r>
            <w:r>
              <w:rPr>
                <w:rFonts w:ascii="Times New Roman" w:hAnsi="Times New Roman" w:eastAsia="Times New Roman" w:cs="Times New Roman"/>
                <w:color w:val="auto"/>
                <w:sz w:val="17"/>
                <w:szCs w:val="17"/>
                <w:highlight w:val="none"/>
              </w:rPr>
              <w:t>A</w:t>
            </w:r>
            <w:r>
              <w:rPr>
                <w:rFonts w:ascii="Times New Roman" w:hAnsi="Times New Roman" w:eastAsia="Times New Roman" w:cs="Times New Roman"/>
                <w:color w:val="auto"/>
                <w:spacing w:val="6"/>
                <w:sz w:val="17"/>
                <w:szCs w:val="17"/>
                <w:highlight w:val="none"/>
              </w:rPr>
              <w:t xml:space="preserve"> </w:t>
            </w:r>
            <w:r>
              <w:rPr>
                <w:rFonts w:ascii="宋体" w:hAnsi="宋体" w:eastAsia="宋体" w:cs="宋体"/>
                <w:color w:val="auto"/>
                <w:spacing w:val="6"/>
                <w:sz w:val="17"/>
                <w:szCs w:val="17"/>
                <w:highlight w:val="none"/>
              </w:rPr>
              <w:t>校准器</w:t>
            </w:r>
          </w:p>
        </w:tc>
        <w:tc>
          <w:tcPr>
            <w:tcW w:w="2518" w:type="dxa"/>
            <w:vAlign w:val="top"/>
          </w:tcPr>
          <w:p>
            <w:pPr>
              <w:spacing w:line="238" w:lineRule="exact"/>
              <w:ind w:left="282"/>
              <w:rPr>
                <w:rFonts w:ascii="宋体" w:hAnsi="宋体" w:eastAsia="宋体" w:cs="宋体"/>
                <w:color w:val="auto"/>
                <w:sz w:val="17"/>
                <w:szCs w:val="17"/>
                <w:highlight w:val="none"/>
              </w:rPr>
            </w:pPr>
            <w:r>
              <w:rPr>
                <w:rFonts w:ascii="Times New Roman" w:hAnsi="Times New Roman" w:eastAsia="Times New Roman" w:cs="Times New Roman"/>
                <w:color w:val="auto"/>
                <w:spacing w:val="6"/>
                <w:position w:val="1"/>
                <w:sz w:val="17"/>
                <w:szCs w:val="17"/>
                <w:highlight w:val="none"/>
              </w:rPr>
              <w:t>2</w:t>
            </w:r>
            <w:r>
              <w:rPr>
                <w:rFonts w:ascii="Times New Roman" w:hAnsi="Times New Roman" w:eastAsia="Times New Roman" w:cs="Times New Roman"/>
                <w:color w:val="auto"/>
                <w:spacing w:val="3"/>
                <w:position w:val="1"/>
                <w:sz w:val="17"/>
                <w:szCs w:val="17"/>
                <w:highlight w:val="none"/>
              </w:rPr>
              <w:t>0</w:t>
            </w:r>
            <w:r>
              <w:rPr>
                <w:rFonts w:ascii="Times New Roman" w:hAnsi="Times New Roman" w:eastAsia="Times New Roman" w:cs="Times New Roman"/>
                <w:color w:val="auto"/>
                <w:position w:val="1"/>
                <w:sz w:val="17"/>
                <w:szCs w:val="17"/>
                <w:highlight w:val="none"/>
              </w:rPr>
              <w:t>dB</w:t>
            </w:r>
            <w:r>
              <w:rPr>
                <w:rFonts w:ascii="Times New Roman" w:hAnsi="Times New Roman" w:eastAsia="Times New Roman" w:cs="Times New Roman"/>
                <w:color w:val="auto"/>
                <w:spacing w:val="3"/>
                <w:position w:val="1"/>
                <w:sz w:val="17"/>
                <w:szCs w:val="17"/>
                <w:highlight w:val="none"/>
              </w:rPr>
              <w:t xml:space="preserve">  </w:t>
            </w:r>
            <w:r>
              <w:rPr>
                <w:rFonts w:ascii="宋体" w:hAnsi="宋体" w:eastAsia="宋体" w:cs="宋体"/>
                <w:color w:val="auto"/>
                <w:spacing w:val="3"/>
                <w:position w:val="1"/>
                <w:sz w:val="17"/>
                <w:szCs w:val="17"/>
                <w:highlight w:val="none"/>
              </w:rPr>
              <w:t>(</w:t>
            </w:r>
            <w:r>
              <w:rPr>
                <w:rFonts w:ascii="Times New Roman" w:hAnsi="Times New Roman" w:eastAsia="Times New Roman" w:cs="Times New Roman"/>
                <w:color w:val="auto"/>
                <w:position w:val="1"/>
                <w:sz w:val="17"/>
                <w:szCs w:val="17"/>
                <w:highlight w:val="none"/>
              </w:rPr>
              <w:t>A</w:t>
            </w:r>
            <w:r>
              <w:rPr>
                <w:rFonts w:ascii="宋体" w:hAnsi="宋体" w:eastAsia="宋体" w:cs="宋体"/>
                <w:color w:val="auto"/>
                <w:spacing w:val="3"/>
                <w:position w:val="1"/>
                <w:sz w:val="17"/>
                <w:szCs w:val="17"/>
                <w:highlight w:val="none"/>
              </w:rPr>
              <w:t xml:space="preserve">) </w:t>
            </w:r>
            <w:r>
              <w:rPr>
                <w:rFonts w:ascii="Times New Roman" w:hAnsi="Times New Roman" w:eastAsia="Times New Roman" w:cs="Times New Roman"/>
                <w:color w:val="auto"/>
                <w:spacing w:val="3"/>
                <w:position w:val="1"/>
                <w:sz w:val="17"/>
                <w:szCs w:val="17"/>
                <w:highlight w:val="none"/>
              </w:rPr>
              <w:t>~ 132</w:t>
            </w:r>
            <w:r>
              <w:rPr>
                <w:rFonts w:ascii="Times New Roman" w:hAnsi="Times New Roman" w:eastAsia="Times New Roman" w:cs="Times New Roman"/>
                <w:color w:val="auto"/>
                <w:position w:val="1"/>
                <w:sz w:val="17"/>
                <w:szCs w:val="17"/>
                <w:highlight w:val="none"/>
              </w:rPr>
              <w:t>dB</w:t>
            </w:r>
            <w:r>
              <w:rPr>
                <w:rFonts w:ascii="Times New Roman" w:hAnsi="Times New Roman" w:eastAsia="Times New Roman" w:cs="Times New Roman"/>
                <w:color w:val="auto"/>
                <w:spacing w:val="3"/>
                <w:position w:val="1"/>
                <w:sz w:val="17"/>
                <w:szCs w:val="17"/>
                <w:highlight w:val="none"/>
              </w:rPr>
              <w:t xml:space="preserve">  </w:t>
            </w:r>
            <w:r>
              <w:rPr>
                <w:rFonts w:ascii="宋体" w:hAnsi="宋体" w:eastAsia="宋体" w:cs="宋体"/>
                <w:color w:val="auto"/>
                <w:spacing w:val="3"/>
                <w:position w:val="1"/>
                <w:sz w:val="17"/>
                <w:szCs w:val="17"/>
                <w:highlight w:val="none"/>
              </w:rPr>
              <w:t>(</w:t>
            </w:r>
            <w:r>
              <w:rPr>
                <w:rFonts w:ascii="Times New Roman" w:hAnsi="Times New Roman" w:eastAsia="Times New Roman" w:cs="Times New Roman"/>
                <w:color w:val="auto"/>
                <w:position w:val="1"/>
                <w:sz w:val="17"/>
                <w:szCs w:val="17"/>
                <w:highlight w:val="none"/>
              </w:rPr>
              <w:t>A</w:t>
            </w:r>
            <w:r>
              <w:rPr>
                <w:rFonts w:ascii="宋体" w:hAnsi="宋体" w:eastAsia="宋体" w:cs="宋体"/>
                <w:color w:val="auto"/>
                <w:spacing w:val="3"/>
                <w:position w:val="1"/>
                <w:sz w:val="17"/>
                <w:szCs w:val="17"/>
                <w:highlight w:val="none"/>
              </w:rPr>
              <w:t>)</w:t>
            </w:r>
          </w:p>
        </w:tc>
        <w:tc>
          <w:tcPr>
            <w:tcW w:w="1466" w:type="dxa"/>
            <w:vAlign w:val="top"/>
          </w:tcPr>
          <w:p>
            <w:pPr>
              <w:spacing w:before="59" w:line="199" w:lineRule="auto"/>
              <w:ind w:left="164"/>
              <w:rPr>
                <w:rFonts w:ascii="Times New Roman" w:hAnsi="Times New Roman" w:eastAsia="Times New Roman" w:cs="Times New Roman"/>
                <w:color w:val="auto"/>
                <w:sz w:val="17"/>
                <w:szCs w:val="17"/>
                <w:highlight w:val="none"/>
              </w:rPr>
            </w:pPr>
            <w:r>
              <w:rPr>
                <w:rFonts w:ascii="Times New Roman" w:hAnsi="Times New Roman" w:eastAsia="Times New Roman" w:cs="Times New Roman"/>
                <w:color w:val="auto"/>
                <w:sz w:val="17"/>
                <w:szCs w:val="17"/>
                <w:highlight w:val="none"/>
              </w:rPr>
              <w:t>XAZC</w:t>
            </w:r>
            <w:r>
              <w:rPr>
                <w:rFonts w:ascii="Times New Roman" w:hAnsi="Times New Roman" w:eastAsia="Times New Roman" w:cs="Times New Roman"/>
                <w:color w:val="auto"/>
                <w:spacing w:val="15"/>
                <w:sz w:val="17"/>
                <w:szCs w:val="17"/>
                <w:highlight w:val="none"/>
              </w:rPr>
              <w:t>-</w:t>
            </w:r>
            <w:r>
              <w:rPr>
                <w:rFonts w:ascii="Times New Roman" w:hAnsi="Times New Roman" w:eastAsia="Times New Roman" w:cs="Times New Roman"/>
                <w:color w:val="auto"/>
                <w:sz w:val="17"/>
                <w:szCs w:val="17"/>
                <w:highlight w:val="none"/>
              </w:rPr>
              <w:t>YQ</w:t>
            </w:r>
            <w:r>
              <w:rPr>
                <w:rFonts w:ascii="Times New Roman" w:hAnsi="Times New Roman" w:eastAsia="Times New Roman" w:cs="Times New Roman"/>
                <w:color w:val="auto"/>
                <w:spacing w:val="12"/>
                <w:sz w:val="17"/>
                <w:szCs w:val="17"/>
                <w:highlight w:val="none"/>
              </w:rPr>
              <w:t>-022</w:t>
            </w:r>
          </w:p>
        </w:tc>
        <w:tc>
          <w:tcPr>
            <w:tcW w:w="3484" w:type="dxa"/>
            <w:vMerge w:val="continue"/>
            <w:tcBorders>
              <w:top w:val="nil"/>
              <w:right w:val="single" w:color="000000" w:sz="10" w:space="0"/>
            </w:tcBorders>
            <w:vAlign w:val="top"/>
          </w:tcPr>
          <w:p>
            <w:pPr>
              <w:rPr>
                <w:rFonts w:ascii="Arial"/>
                <w:color w:val="auto"/>
                <w:sz w:val="21"/>
                <w:highlight w:val="none"/>
              </w:rPr>
            </w:pPr>
          </w:p>
        </w:tc>
      </w:tr>
    </w:tbl>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(4)监测期环境条件</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监测期间天气多云，风速昼间 2.3~3.2m/s ，夜间 1.9~2.9m/s。</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(5)监测方法</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1)《工业企业厂界噪声排放标准》(GB12348-2008)；</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2)《声环境质量标准》(GB3096-2008)；</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3)《高压架空输电线路可听噪声测量方法》(DL/T501-2017)。</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(6)类比监测结果分析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500 千伏锦忻Ⅲ线 J5077~Z5078 塔基南侧 (单回路，与锦忻Ⅱ线并行) 监测断面和 500 千伏锦忻Ⅲ线 61J5077~Z5078 塔基北侧 (单回路，与锦忻Ⅱ线并行) 监测断面昼噪 声监测结果为42~48dB(A)，夜间噪声为40~43dB(A)。敏感点昼间监测结果为40~52dB(A)， 夜间噪声为 37~44dB(A)。</w:t>
      </w:r>
    </w:p>
    <w:p>
      <w:pPr>
        <w:spacing w:before="1" w:line="231" w:lineRule="auto"/>
        <w:ind w:left="3794"/>
        <w:rPr>
          <w:rFonts w:ascii="黑体" w:hAnsi="黑体" w:eastAsia="黑体" w:cs="黑体"/>
          <w:color w:val="auto"/>
          <w:sz w:val="24"/>
          <w:szCs w:val="24"/>
          <w:highlight w:val="none"/>
        </w:rPr>
      </w:pPr>
      <w:r>
        <w:rPr>
          <w:rFonts w:ascii="黑体" w:hAnsi="黑体" w:eastAsia="黑体" w:cs="黑体"/>
          <w:color w:val="auto"/>
          <w:spacing w:val="2"/>
          <w:sz w:val="24"/>
          <w:szCs w:val="24"/>
          <w:highlight w:val="none"/>
        </w:rPr>
        <w:t xml:space="preserve">表 </w:t>
      </w:r>
      <w:r>
        <w:rPr>
          <w:rFonts w:ascii="Times New Roman" w:hAnsi="Times New Roman" w:eastAsia="Times New Roman" w:cs="Times New Roman"/>
          <w:color w:val="auto"/>
          <w:spacing w:val="2"/>
          <w:sz w:val="24"/>
          <w:szCs w:val="24"/>
          <w:highlight w:val="none"/>
        </w:rPr>
        <w:t>6.</w:t>
      </w:r>
      <w:r>
        <w:rPr>
          <w:rFonts w:ascii="Times New Roman" w:hAnsi="Times New Roman" w:eastAsia="Times New Roman" w:cs="Times New Roman"/>
          <w:color w:val="auto"/>
          <w:spacing w:val="1"/>
          <w:sz w:val="24"/>
          <w:szCs w:val="24"/>
          <w:highlight w:val="none"/>
        </w:rPr>
        <w:t xml:space="preserve">2-3    </w:t>
      </w:r>
      <w:r>
        <w:rPr>
          <w:rFonts w:ascii="黑体" w:hAnsi="黑体" w:eastAsia="黑体" w:cs="黑体"/>
          <w:color w:val="auto"/>
          <w:spacing w:val="1"/>
          <w:sz w:val="24"/>
          <w:szCs w:val="24"/>
          <w:highlight w:val="none"/>
        </w:rPr>
        <w:t>监测结果</w:t>
      </w:r>
    </w:p>
    <w:p>
      <w:pPr>
        <w:spacing w:line="127" w:lineRule="exact"/>
        <w:rPr>
          <w:color w:val="0000FF"/>
          <w:highlight w:val="none"/>
        </w:rPr>
      </w:pPr>
    </w:p>
    <w:tbl>
      <w:tblPr>
        <w:tblStyle w:val="20"/>
        <w:tblW w:w="92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4"/>
        <w:gridCol w:w="1126"/>
        <w:gridCol w:w="4103"/>
        <w:gridCol w:w="1323"/>
        <w:gridCol w:w="13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1404" w:type="dxa"/>
            <w:tcBorders>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228" w:lineRule="auto"/>
              <w:ind w:left="0"/>
              <w:jc w:val="both"/>
              <w:textAlignment w:val="baseline"/>
              <w:rPr>
                <w:rFonts w:ascii="宋体" w:hAnsi="宋体" w:eastAsia="宋体" w:cs="宋体"/>
                <w:sz w:val="21"/>
                <w:szCs w:val="21"/>
              </w:rPr>
            </w:pPr>
            <w:r>
              <w:rPr>
                <w:rFonts w:ascii="宋体" w:hAnsi="宋体" w:eastAsia="宋体" w:cs="宋体"/>
                <w:spacing w:val="5"/>
                <w:sz w:val="21"/>
                <w:szCs w:val="21"/>
              </w:rPr>
              <w:t>线路</w:t>
            </w:r>
          </w:p>
        </w:tc>
        <w:tc>
          <w:tcPr>
            <w:tcW w:w="1126" w:type="dxa"/>
            <w:vAlign w:val="top"/>
          </w:tcPr>
          <w:p>
            <w:pPr>
              <w:spacing w:before="53" w:line="228" w:lineRule="auto"/>
              <w:ind w:left="201"/>
              <w:rPr>
                <w:rFonts w:ascii="宋体" w:hAnsi="宋体" w:eastAsia="宋体" w:cs="宋体"/>
                <w:sz w:val="21"/>
                <w:szCs w:val="21"/>
              </w:rPr>
            </w:pPr>
            <w:r>
              <w:rPr>
                <w:rFonts w:ascii="宋体" w:hAnsi="宋体" w:eastAsia="宋体" w:cs="宋体"/>
                <w:spacing w:val="8"/>
                <w:sz w:val="21"/>
                <w:szCs w:val="21"/>
              </w:rPr>
              <w:t>监测点位</w:t>
            </w:r>
          </w:p>
        </w:tc>
        <w:tc>
          <w:tcPr>
            <w:tcW w:w="4103" w:type="dxa"/>
            <w:vAlign w:val="top"/>
          </w:tcPr>
          <w:p>
            <w:pPr>
              <w:spacing w:before="18" w:line="242" w:lineRule="exact"/>
              <w:ind w:left="1007"/>
              <w:rPr>
                <w:rFonts w:ascii="Times New Roman" w:hAnsi="Times New Roman" w:eastAsia="Times New Roman" w:cs="Times New Roman"/>
                <w:sz w:val="21"/>
                <w:szCs w:val="21"/>
              </w:rPr>
            </w:pPr>
            <w:r>
              <w:rPr>
                <w:rFonts w:ascii="宋体" w:hAnsi="宋体" w:eastAsia="宋体" w:cs="宋体"/>
                <w:spacing w:val="10"/>
                <w:position w:val="2"/>
                <w:sz w:val="21"/>
                <w:szCs w:val="21"/>
              </w:rPr>
              <w:t>监</w:t>
            </w:r>
            <w:r>
              <w:rPr>
                <w:rFonts w:ascii="宋体" w:hAnsi="宋体" w:eastAsia="宋体" w:cs="宋体"/>
                <w:spacing w:val="8"/>
                <w:position w:val="2"/>
                <w:sz w:val="21"/>
                <w:szCs w:val="21"/>
              </w:rPr>
              <w:t>测位置</w:t>
            </w:r>
            <w:r>
              <w:rPr>
                <w:rFonts w:ascii="Times New Roman" w:hAnsi="Times New Roman" w:eastAsia="Times New Roman" w:cs="Times New Roman"/>
                <w:spacing w:val="8"/>
                <w:position w:val="2"/>
                <w:sz w:val="21"/>
                <w:szCs w:val="21"/>
              </w:rPr>
              <w:t>(</w:t>
            </w:r>
            <w:r>
              <w:rPr>
                <w:rFonts w:ascii="宋体" w:hAnsi="宋体" w:eastAsia="宋体" w:cs="宋体"/>
                <w:spacing w:val="8"/>
                <w:position w:val="2"/>
                <w:sz w:val="21"/>
                <w:szCs w:val="21"/>
              </w:rPr>
              <w:t>距线路中心距离</w:t>
            </w:r>
            <w:r>
              <w:rPr>
                <w:rFonts w:ascii="Times New Roman" w:hAnsi="Times New Roman" w:eastAsia="Times New Roman" w:cs="Times New Roman"/>
                <w:spacing w:val="8"/>
                <w:position w:val="2"/>
                <w:sz w:val="21"/>
                <w:szCs w:val="21"/>
              </w:rPr>
              <w:t>)</w:t>
            </w:r>
          </w:p>
        </w:tc>
        <w:tc>
          <w:tcPr>
            <w:tcW w:w="1323" w:type="dxa"/>
            <w:vAlign w:val="top"/>
          </w:tcPr>
          <w:p>
            <w:pPr>
              <w:spacing w:before="18" w:line="242" w:lineRule="exact"/>
              <w:ind w:left="117"/>
              <w:rPr>
                <w:rFonts w:ascii="宋体" w:hAnsi="宋体" w:eastAsia="宋体" w:cs="宋体"/>
                <w:sz w:val="21"/>
                <w:szCs w:val="21"/>
              </w:rPr>
            </w:pPr>
            <w:r>
              <w:rPr>
                <w:rFonts w:ascii="宋体" w:hAnsi="宋体" w:eastAsia="宋体" w:cs="宋体"/>
                <w:spacing w:val="2"/>
                <w:position w:val="1"/>
                <w:sz w:val="21"/>
                <w:szCs w:val="21"/>
              </w:rPr>
              <w:t>昼</w:t>
            </w:r>
            <w:r>
              <w:rPr>
                <w:rFonts w:ascii="宋体" w:hAnsi="宋体" w:eastAsia="宋体" w:cs="宋体"/>
                <w:spacing w:val="1"/>
                <w:position w:val="1"/>
                <w:sz w:val="21"/>
                <w:szCs w:val="21"/>
              </w:rPr>
              <w:t>间 (</w:t>
            </w:r>
            <w:r>
              <w:rPr>
                <w:rFonts w:ascii="Times New Roman" w:hAnsi="Times New Roman" w:eastAsia="Times New Roman" w:cs="Times New Roman"/>
                <w:position w:val="1"/>
                <w:sz w:val="21"/>
                <w:szCs w:val="21"/>
              </w:rPr>
              <w:t>dB</w:t>
            </w:r>
            <w:r>
              <w:rPr>
                <w:rFonts w:ascii="宋体" w:hAnsi="宋体" w:eastAsia="宋体" w:cs="宋体"/>
                <w:spacing w:val="1"/>
                <w:position w:val="1"/>
                <w:sz w:val="21"/>
                <w:szCs w:val="21"/>
              </w:rPr>
              <w:t>(</w:t>
            </w:r>
            <w:r>
              <w:rPr>
                <w:rFonts w:ascii="Times New Roman" w:hAnsi="Times New Roman" w:eastAsia="Times New Roman" w:cs="Times New Roman"/>
                <w:position w:val="1"/>
                <w:sz w:val="21"/>
                <w:szCs w:val="21"/>
              </w:rPr>
              <w:t>A</w:t>
            </w:r>
            <w:r>
              <w:rPr>
                <w:rFonts w:ascii="宋体" w:hAnsi="宋体" w:eastAsia="宋体" w:cs="宋体"/>
                <w:spacing w:val="1"/>
                <w:position w:val="1"/>
                <w:sz w:val="21"/>
                <w:szCs w:val="21"/>
              </w:rPr>
              <w:t>))</w:t>
            </w:r>
          </w:p>
        </w:tc>
        <w:tc>
          <w:tcPr>
            <w:tcW w:w="1326" w:type="dxa"/>
            <w:tcBorders>
              <w:right w:val="single" w:color="000000" w:sz="10" w:space="0"/>
            </w:tcBorders>
            <w:vAlign w:val="top"/>
          </w:tcPr>
          <w:p>
            <w:pPr>
              <w:spacing w:before="18" w:line="242" w:lineRule="exact"/>
              <w:ind w:left="124"/>
              <w:rPr>
                <w:rFonts w:ascii="宋体" w:hAnsi="宋体" w:eastAsia="宋体" w:cs="宋体"/>
                <w:sz w:val="21"/>
                <w:szCs w:val="21"/>
              </w:rPr>
            </w:pPr>
            <w:r>
              <w:rPr>
                <w:rFonts w:ascii="宋体" w:hAnsi="宋体" w:eastAsia="宋体" w:cs="宋体"/>
                <w:spacing w:val="13"/>
                <w:position w:val="1"/>
                <w:sz w:val="21"/>
                <w:szCs w:val="21"/>
              </w:rPr>
              <w:t>夜间(</w:t>
            </w:r>
            <w:r>
              <w:rPr>
                <w:rFonts w:ascii="Times New Roman" w:hAnsi="Times New Roman" w:eastAsia="Times New Roman" w:cs="Times New Roman"/>
                <w:position w:val="1"/>
                <w:sz w:val="21"/>
                <w:szCs w:val="21"/>
              </w:rPr>
              <w:t>dB</w:t>
            </w:r>
            <w:r>
              <w:rPr>
                <w:rFonts w:ascii="宋体" w:hAnsi="宋体" w:eastAsia="宋体" w:cs="宋体"/>
                <w:spacing w:val="13"/>
                <w:position w:val="1"/>
                <w:sz w:val="21"/>
                <w:szCs w:val="21"/>
              </w:rPr>
              <w:t>(</w:t>
            </w:r>
            <w:r>
              <w:rPr>
                <w:rFonts w:ascii="Times New Roman" w:hAnsi="Times New Roman" w:eastAsia="Times New Roman" w:cs="Times New Roman"/>
                <w:position w:val="1"/>
                <w:sz w:val="21"/>
                <w:szCs w:val="21"/>
              </w:rPr>
              <w:t>A</w:t>
            </w:r>
            <w:r>
              <w:rPr>
                <w:rFonts w:ascii="宋体" w:hAnsi="宋体" w:eastAsia="宋体" w:cs="宋体"/>
                <w:spacing w:val="13"/>
                <w:position w:val="1"/>
                <w:sz w:val="21"/>
                <w:szCs w:val="21"/>
              </w:rPr>
              <w:t>)</w:t>
            </w:r>
            <w:r>
              <w:rPr>
                <w:rFonts w:ascii="宋体" w:hAnsi="宋体" w:eastAsia="宋体" w:cs="宋体"/>
                <w:spacing w:val="12"/>
                <w:position w:val="1"/>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restart"/>
            <w:tcBorders>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34" w:lineRule="auto"/>
              <w:ind w:left="0"/>
              <w:jc w:val="both"/>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334" w:lineRule="auto"/>
              <w:ind w:left="0"/>
              <w:jc w:val="both"/>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53" w:lineRule="auto"/>
              <w:ind w:left="0" w:right="184" w:hanging="427"/>
              <w:jc w:val="both"/>
              <w:textAlignment w:val="baseline"/>
              <w:rPr>
                <w:rFonts w:ascii="宋体" w:hAnsi="宋体" w:eastAsia="宋体" w:cs="宋体"/>
                <w:sz w:val="21"/>
                <w:szCs w:val="21"/>
              </w:rPr>
            </w:pPr>
            <w:r>
              <w:rPr>
                <w:rFonts w:ascii="Times New Roman" w:hAnsi="Times New Roman" w:eastAsia="Times New Roman" w:cs="Times New Roman"/>
                <w:spacing w:val="8"/>
                <w:sz w:val="21"/>
                <w:szCs w:val="21"/>
              </w:rPr>
              <w:t>5</w:t>
            </w:r>
            <w:r>
              <w:rPr>
                <w:rFonts w:ascii="Times New Roman" w:hAnsi="Times New Roman" w:eastAsia="Times New Roman" w:cs="Times New Roman"/>
                <w:spacing w:val="6"/>
                <w:sz w:val="21"/>
                <w:szCs w:val="21"/>
              </w:rPr>
              <w:t xml:space="preserve">00 </w:t>
            </w:r>
            <w:r>
              <w:rPr>
                <w:rFonts w:ascii="宋体" w:hAnsi="宋体" w:eastAsia="宋体" w:cs="宋体"/>
                <w:spacing w:val="6"/>
                <w:sz w:val="21"/>
                <w:szCs w:val="21"/>
              </w:rPr>
              <w:t>千伏锦忻</w:t>
            </w:r>
            <w:r>
              <w:rPr>
                <w:rFonts w:ascii="宋体" w:hAnsi="宋体" w:eastAsia="宋体" w:cs="宋体"/>
                <w:sz w:val="21"/>
                <w:szCs w:val="21"/>
              </w:rPr>
              <w:t xml:space="preserve"> </w:t>
            </w:r>
            <w:r>
              <w:rPr>
                <w:rFonts w:ascii="宋体" w:hAnsi="宋体" w:eastAsia="宋体" w:cs="宋体"/>
                <w:spacing w:val="3"/>
                <w:sz w:val="21"/>
                <w:szCs w:val="21"/>
              </w:rPr>
              <w:t>Ⅲ</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both"/>
              <w:textAlignment w:val="baseline"/>
              <w:rPr>
                <w:rFonts w:ascii="Times New Roman" w:hAnsi="Times New Roman" w:eastAsia="Times New Roman" w:cs="Times New Roman"/>
                <w:sz w:val="21"/>
                <w:szCs w:val="21"/>
              </w:rPr>
            </w:pPr>
            <w:r>
              <w:rPr>
                <w:rFonts w:ascii="宋体" w:hAnsi="宋体" w:eastAsia="宋体" w:cs="宋体"/>
                <w:sz w:val="21"/>
                <w:szCs w:val="21"/>
              </w:rPr>
              <w:t>线</w:t>
            </w:r>
            <w:r>
              <w:rPr>
                <w:rFonts w:ascii="Times New Roman" w:hAnsi="Times New Roman" w:eastAsia="Times New Roman" w:cs="Times New Roman"/>
                <w:sz w:val="21"/>
                <w:szCs w:val="21"/>
              </w:rPr>
              <w:t>J</w:t>
            </w:r>
            <w:r>
              <w:rPr>
                <w:rFonts w:ascii="Times New Roman" w:hAnsi="Times New Roman" w:eastAsia="Times New Roman" w:cs="Times New Roman"/>
                <w:spacing w:val="6"/>
                <w:sz w:val="21"/>
                <w:szCs w:val="21"/>
              </w:rPr>
              <w:t>5077~</w:t>
            </w:r>
            <w:r>
              <w:rPr>
                <w:rFonts w:ascii="Times New Roman" w:hAnsi="Times New Roman" w:eastAsia="Times New Roman" w:cs="Times New Roman"/>
                <w:sz w:val="21"/>
                <w:szCs w:val="21"/>
              </w:rPr>
              <w:t>Z</w:t>
            </w:r>
            <w:r>
              <w:rPr>
                <w:rFonts w:ascii="Times New Roman" w:hAnsi="Times New Roman" w:eastAsia="Times New Roman" w:cs="Times New Roman"/>
                <w:spacing w:val="6"/>
                <w:sz w:val="21"/>
                <w:szCs w:val="21"/>
              </w:rPr>
              <w:t>507</w:t>
            </w:r>
            <w:r>
              <w:rPr>
                <w:rFonts w:ascii="Times New Roman" w:hAnsi="Times New Roman" w:eastAsia="Times New Roman" w:cs="Times New Roman"/>
                <w:spacing w:val="5"/>
                <w:sz w:val="21"/>
                <w:szCs w:val="21"/>
              </w:rPr>
              <w:t>8</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both"/>
              <w:textAlignment w:val="baseline"/>
              <w:rPr>
                <w:rFonts w:ascii="宋体" w:hAnsi="宋体" w:eastAsia="宋体" w:cs="宋体"/>
                <w:sz w:val="21"/>
                <w:szCs w:val="21"/>
              </w:rPr>
            </w:pPr>
            <w:r>
              <w:rPr>
                <w:rFonts w:ascii="宋体" w:hAnsi="宋体" w:eastAsia="宋体" w:cs="宋体"/>
                <w:spacing w:val="10"/>
                <w:sz w:val="21"/>
                <w:szCs w:val="21"/>
              </w:rPr>
              <w:t>塔</w:t>
            </w:r>
            <w:r>
              <w:rPr>
                <w:rFonts w:ascii="宋体" w:hAnsi="宋体" w:eastAsia="宋体" w:cs="宋体"/>
                <w:spacing w:val="7"/>
                <w:sz w:val="21"/>
                <w:szCs w:val="21"/>
              </w:rPr>
              <w:t>基南侧 (单</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both"/>
              <w:textAlignment w:val="baseline"/>
              <w:rPr>
                <w:rFonts w:ascii="宋体" w:hAnsi="宋体" w:eastAsia="宋体" w:cs="宋体"/>
                <w:sz w:val="21"/>
                <w:szCs w:val="21"/>
              </w:rPr>
            </w:pPr>
            <w:r>
              <w:rPr>
                <w:rFonts w:ascii="宋体" w:hAnsi="宋体" w:eastAsia="宋体" w:cs="宋体"/>
                <w:spacing w:val="-7"/>
                <w:sz w:val="21"/>
                <w:szCs w:val="21"/>
              </w:rPr>
              <w:t>回</w:t>
            </w:r>
            <w:r>
              <w:rPr>
                <w:rFonts w:ascii="宋体" w:hAnsi="宋体" w:eastAsia="宋体" w:cs="宋体"/>
                <w:spacing w:val="-5"/>
                <w:sz w:val="21"/>
                <w:szCs w:val="21"/>
              </w:rPr>
              <w:t>路，与锦忻Ⅱ</w:t>
            </w:r>
            <w:r>
              <w:rPr>
                <w:rFonts w:ascii="宋体" w:hAnsi="宋体" w:eastAsia="宋体" w:cs="宋体"/>
                <w:spacing w:val="8"/>
                <w:sz w:val="21"/>
                <w:szCs w:val="21"/>
              </w:rPr>
              <w:t>线</w:t>
            </w:r>
            <w:r>
              <w:rPr>
                <w:rFonts w:ascii="宋体" w:hAnsi="宋体" w:eastAsia="宋体" w:cs="宋体"/>
                <w:spacing w:val="7"/>
                <w:sz w:val="21"/>
                <w:szCs w:val="21"/>
              </w:rPr>
              <w:t>并行) 监测</w:t>
            </w:r>
            <w:r>
              <w:rPr>
                <w:rFonts w:ascii="宋体" w:hAnsi="宋体" w:eastAsia="宋体" w:cs="宋体"/>
                <w:spacing w:val="3"/>
                <w:sz w:val="21"/>
                <w:szCs w:val="21"/>
              </w:rPr>
              <w:t>断</w:t>
            </w:r>
            <w:r>
              <w:rPr>
                <w:rFonts w:ascii="宋体" w:hAnsi="宋体" w:eastAsia="宋体" w:cs="宋体"/>
                <w:spacing w:val="2"/>
                <w:sz w:val="21"/>
                <w:szCs w:val="21"/>
              </w:rPr>
              <w:t>面</w:t>
            </w:r>
          </w:p>
        </w:tc>
        <w:tc>
          <w:tcPr>
            <w:tcW w:w="1126" w:type="dxa"/>
            <w:vMerge w:val="restart"/>
            <w:tcBorders>
              <w:bottom w:val="nil"/>
            </w:tcBorders>
            <w:vAlign w:val="top"/>
          </w:tcPr>
          <w:p>
            <w:pPr>
              <w:spacing w:line="244" w:lineRule="auto"/>
              <w:rPr>
                <w:rFonts w:ascii="Arial"/>
                <w:sz w:val="21"/>
                <w:szCs w:val="21"/>
              </w:rPr>
            </w:pPr>
          </w:p>
          <w:p>
            <w:pPr>
              <w:spacing w:line="244" w:lineRule="auto"/>
              <w:rPr>
                <w:rFonts w:ascii="Arial"/>
                <w:sz w:val="21"/>
                <w:szCs w:val="21"/>
              </w:rPr>
            </w:pPr>
          </w:p>
          <w:p>
            <w:pPr>
              <w:spacing w:line="245" w:lineRule="auto"/>
              <w:rPr>
                <w:rFonts w:ascii="Arial"/>
                <w:sz w:val="21"/>
                <w:szCs w:val="21"/>
              </w:rPr>
            </w:pPr>
          </w:p>
          <w:p>
            <w:pPr>
              <w:spacing w:line="245" w:lineRule="auto"/>
              <w:rPr>
                <w:rFonts w:ascii="Arial"/>
                <w:sz w:val="21"/>
                <w:szCs w:val="21"/>
              </w:rPr>
            </w:pPr>
          </w:p>
          <w:p>
            <w:pPr>
              <w:spacing w:line="245" w:lineRule="auto"/>
              <w:rPr>
                <w:rFonts w:ascii="Arial"/>
                <w:sz w:val="21"/>
                <w:szCs w:val="21"/>
              </w:rPr>
            </w:pPr>
          </w:p>
          <w:p>
            <w:pPr>
              <w:spacing w:line="245" w:lineRule="auto"/>
              <w:rPr>
                <w:rFonts w:ascii="Arial"/>
                <w:sz w:val="21"/>
                <w:szCs w:val="21"/>
              </w:rPr>
            </w:pPr>
          </w:p>
          <w:p>
            <w:pPr>
              <w:spacing w:before="55" w:line="230" w:lineRule="auto"/>
              <w:ind w:left="289"/>
              <w:rPr>
                <w:rFonts w:ascii="宋体" w:hAnsi="宋体" w:eastAsia="宋体" w:cs="宋体"/>
                <w:sz w:val="21"/>
                <w:szCs w:val="21"/>
              </w:rPr>
            </w:pPr>
            <w:r>
              <w:rPr>
                <w:rFonts w:ascii="宋体" w:hAnsi="宋体" w:eastAsia="宋体" w:cs="宋体"/>
                <w:spacing w:val="8"/>
                <w:sz w:val="21"/>
                <w:szCs w:val="21"/>
              </w:rPr>
              <w:t>边导</w:t>
            </w:r>
            <w:r>
              <w:rPr>
                <w:rFonts w:ascii="宋体" w:hAnsi="宋体" w:eastAsia="宋体" w:cs="宋体"/>
                <w:spacing w:val="7"/>
                <w:sz w:val="21"/>
                <w:szCs w:val="21"/>
              </w:rPr>
              <w:t>线</w:t>
            </w:r>
          </w:p>
        </w:tc>
        <w:tc>
          <w:tcPr>
            <w:tcW w:w="4103" w:type="dxa"/>
            <w:vAlign w:val="top"/>
          </w:tcPr>
          <w:p>
            <w:pPr>
              <w:spacing w:before="43" w:line="197" w:lineRule="auto"/>
              <w:ind w:left="1940"/>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0</w:t>
            </w:r>
            <w:r>
              <w:rPr>
                <w:rFonts w:ascii="Times New Roman" w:hAnsi="Times New Roman" w:eastAsia="Times New Roman" w:cs="Times New Roman"/>
                <w:sz w:val="21"/>
                <w:szCs w:val="21"/>
              </w:rPr>
              <w:t>m</w:t>
            </w:r>
          </w:p>
        </w:tc>
        <w:tc>
          <w:tcPr>
            <w:tcW w:w="1323" w:type="dxa"/>
            <w:vAlign w:val="top"/>
          </w:tcPr>
          <w:p>
            <w:pPr>
              <w:spacing w:before="43"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48</w:t>
            </w:r>
          </w:p>
        </w:tc>
        <w:tc>
          <w:tcPr>
            <w:tcW w:w="1326" w:type="dxa"/>
            <w:tcBorders>
              <w:right w:val="single" w:color="000000" w:sz="10" w:space="0"/>
            </w:tcBorders>
            <w:vAlign w:val="top"/>
          </w:tcPr>
          <w:p>
            <w:pPr>
              <w:spacing w:before="43"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5" w:line="197" w:lineRule="auto"/>
              <w:ind w:left="1954"/>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w:t>
            </w:r>
            <w:r>
              <w:rPr>
                <w:rFonts w:ascii="Times New Roman" w:hAnsi="Times New Roman" w:eastAsia="Times New Roman" w:cs="Times New Roman"/>
                <w:spacing w:val="-3"/>
                <w:sz w:val="21"/>
                <w:szCs w:val="21"/>
              </w:rPr>
              <w:t>m</w:t>
            </w:r>
          </w:p>
        </w:tc>
        <w:tc>
          <w:tcPr>
            <w:tcW w:w="1323" w:type="dxa"/>
            <w:vAlign w:val="top"/>
          </w:tcPr>
          <w:p>
            <w:pPr>
              <w:spacing w:before="45"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43</w:t>
            </w:r>
          </w:p>
        </w:tc>
        <w:tc>
          <w:tcPr>
            <w:tcW w:w="1326" w:type="dxa"/>
            <w:tcBorders>
              <w:right w:val="single" w:color="000000" w:sz="10" w:space="0"/>
            </w:tcBorders>
            <w:vAlign w:val="top"/>
          </w:tcPr>
          <w:p>
            <w:pPr>
              <w:spacing w:before="45"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4" w:line="197" w:lineRule="auto"/>
              <w:ind w:left="1937"/>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2</w:t>
            </w:r>
            <w:r>
              <w:rPr>
                <w:rFonts w:ascii="Times New Roman" w:hAnsi="Times New Roman" w:eastAsia="Times New Roman" w:cs="Times New Roman"/>
                <w:sz w:val="21"/>
                <w:szCs w:val="21"/>
              </w:rPr>
              <w:t>m</w:t>
            </w:r>
          </w:p>
        </w:tc>
        <w:tc>
          <w:tcPr>
            <w:tcW w:w="1323" w:type="dxa"/>
            <w:vAlign w:val="top"/>
          </w:tcPr>
          <w:p>
            <w:pPr>
              <w:spacing w:before="44"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43</w:t>
            </w:r>
          </w:p>
        </w:tc>
        <w:tc>
          <w:tcPr>
            <w:tcW w:w="1326" w:type="dxa"/>
            <w:tcBorders>
              <w:right w:val="single" w:color="000000" w:sz="10" w:space="0"/>
            </w:tcBorders>
            <w:vAlign w:val="top"/>
          </w:tcPr>
          <w:p>
            <w:pPr>
              <w:spacing w:before="44"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3" w:line="197" w:lineRule="auto"/>
              <w:ind w:left="1941"/>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3</w:t>
            </w:r>
            <w:r>
              <w:rPr>
                <w:rFonts w:ascii="Times New Roman" w:hAnsi="Times New Roman" w:eastAsia="Times New Roman" w:cs="Times New Roman"/>
                <w:sz w:val="21"/>
                <w:szCs w:val="21"/>
              </w:rPr>
              <w:t>m</w:t>
            </w:r>
          </w:p>
        </w:tc>
        <w:tc>
          <w:tcPr>
            <w:tcW w:w="1323" w:type="dxa"/>
            <w:vAlign w:val="top"/>
          </w:tcPr>
          <w:p>
            <w:pPr>
              <w:spacing w:before="43"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3"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4" w:line="197" w:lineRule="auto"/>
              <w:ind w:left="1936"/>
              <w:rPr>
                <w:rFonts w:ascii="Times New Roman" w:hAnsi="Times New Roman" w:eastAsia="Times New Roman" w:cs="Times New Roman"/>
                <w:sz w:val="21"/>
                <w:szCs w:val="21"/>
              </w:rPr>
            </w:pPr>
            <w:r>
              <w:rPr>
                <w:rFonts w:ascii="Times New Roman" w:hAnsi="Times New Roman" w:eastAsia="Times New Roman" w:cs="Times New Roman"/>
                <w:spacing w:val="10"/>
                <w:sz w:val="21"/>
                <w:szCs w:val="21"/>
              </w:rPr>
              <w:t>4</w:t>
            </w:r>
            <w:r>
              <w:rPr>
                <w:rFonts w:ascii="Times New Roman" w:hAnsi="Times New Roman" w:eastAsia="Times New Roman" w:cs="Times New Roman"/>
                <w:sz w:val="21"/>
                <w:szCs w:val="21"/>
              </w:rPr>
              <w:t>m</w:t>
            </w:r>
          </w:p>
        </w:tc>
        <w:tc>
          <w:tcPr>
            <w:tcW w:w="1323" w:type="dxa"/>
            <w:vAlign w:val="top"/>
          </w:tcPr>
          <w:p>
            <w:pPr>
              <w:spacing w:before="44"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43</w:t>
            </w:r>
          </w:p>
        </w:tc>
        <w:tc>
          <w:tcPr>
            <w:tcW w:w="1326" w:type="dxa"/>
            <w:tcBorders>
              <w:right w:val="single" w:color="000000" w:sz="10" w:space="0"/>
            </w:tcBorders>
            <w:vAlign w:val="top"/>
          </w:tcPr>
          <w:p>
            <w:pPr>
              <w:spacing w:before="44"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7" w:line="194" w:lineRule="auto"/>
              <w:ind w:left="194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w:t>
            </w:r>
            <w:r>
              <w:rPr>
                <w:rFonts w:ascii="Times New Roman" w:hAnsi="Times New Roman" w:eastAsia="Times New Roman" w:cs="Times New Roman"/>
                <w:sz w:val="21"/>
                <w:szCs w:val="21"/>
              </w:rPr>
              <w:t>m</w:t>
            </w:r>
          </w:p>
        </w:tc>
        <w:tc>
          <w:tcPr>
            <w:tcW w:w="1323" w:type="dxa"/>
            <w:vAlign w:val="top"/>
          </w:tcPr>
          <w:p>
            <w:pPr>
              <w:spacing w:before="44"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c>
          <w:tcPr>
            <w:tcW w:w="1326" w:type="dxa"/>
            <w:tcBorders>
              <w:right w:val="single" w:color="000000" w:sz="10" w:space="0"/>
            </w:tcBorders>
            <w:vAlign w:val="top"/>
          </w:tcPr>
          <w:p>
            <w:pPr>
              <w:spacing w:before="44"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6" w:line="197" w:lineRule="auto"/>
              <w:ind w:left="19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w:t>
            </w:r>
            <w:r>
              <w:rPr>
                <w:rFonts w:ascii="Times New Roman" w:hAnsi="Times New Roman" w:eastAsia="Times New Roman" w:cs="Times New Roman"/>
                <w:spacing w:val="-1"/>
                <w:sz w:val="21"/>
                <w:szCs w:val="21"/>
              </w:rPr>
              <w:t>0m</w:t>
            </w:r>
          </w:p>
        </w:tc>
        <w:tc>
          <w:tcPr>
            <w:tcW w:w="1323" w:type="dxa"/>
            <w:vAlign w:val="top"/>
          </w:tcPr>
          <w:p>
            <w:pPr>
              <w:spacing w:before="46"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6"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5" w:line="197" w:lineRule="auto"/>
              <w:ind w:left="19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w:t>
            </w:r>
            <w:r>
              <w:rPr>
                <w:rFonts w:ascii="Times New Roman" w:hAnsi="Times New Roman" w:eastAsia="Times New Roman" w:cs="Times New Roman"/>
                <w:spacing w:val="-1"/>
                <w:sz w:val="21"/>
                <w:szCs w:val="21"/>
              </w:rPr>
              <w:t>5m</w:t>
            </w:r>
          </w:p>
        </w:tc>
        <w:tc>
          <w:tcPr>
            <w:tcW w:w="1323" w:type="dxa"/>
            <w:vAlign w:val="top"/>
          </w:tcPr>
          <w:p>
            <w:pPr>
              <w:spacing w:before="45"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5"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4" w:line="197" w:lineRule="auto"/>
              <w:ind w:left="189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2</w:t>
            </w:r>
            <w:r>
              <w:rPr>
                <w:rFonts w:ascii="Times New Roman" w:hAnsi="Times New Roman" w:eastAsia="Times New Roman" w:cs="Times New Roman"/>
                <w:spacing w:val="6"/>
                <w:sz w:val="21"/>
                <w:szCs w:val="21"/>
              </w:rPr>
              <w:t>0</w:t>
            </w:r>
            <w:r>
              <w:rPr>
                <w:rFonts w:ascii="Times New Roman" w:hAnsi="Times New Roman" w:eastAsia="Times New Roman" w:cs="Times New Roman"/>
                <w:sz w:val="21"/>
                <w:szCs w:val="21"/>
              </w:rPr>
              <w:t>m</w:t>
            </w:r>
          </w:p>
        </w:tc>
        <w:tc>
          <w:tcPr>
            <w:tcW w:w="1323" w:type="dxa"/>
            <w:vAlign w:val="top"/>
          </w:tcPr>
          <w:p>
            <w:pPr>
              <w:spacing w:before="44"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43</w:t>
            </w:r>
          </w:p>
        </w:tc>
        <w:tc>
          <w:tcPr>
            <w:tcW w:w="1326" w:type="dxa"/>
            <w:tcBorders>
              <w:right w:val="single" w:color="000000" w:sz="10" w:space="0"/>
            </w:tcBorders>
            <w:vAlign w:val="top"/>
          </w:tcPr>
          <w:p>
            <w:pPr>
              <w:spacing w:before="44"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5" w:line="197" w:lineRule="auto"/>
              <w:ind w:left="189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2</w:t>
            </w:r>
            <w:r>
              <w:rPr>
                <w:rFonts w:ascii="Times New Roman" w:hAnsi="Times New Roman" w:eastAsia="Times New Roman" w:cs="Times New Roman"/>
                <w:spacing w:val="6"/>
                <w:sz w:val="21"/>
                <w:szCs w:val="21"/>
              </w:rPr>
              <w:t>5</w:t>
            </w:r>
            <w:r>
              <w:rPr>
                <w:rFonts w:ascii="Times New Roman" w:hAnsi="Times New Roman" w:eastAsia="Times New Roman" w:cs="Times New Roman"/>
                <w:sz w:val="21"/>
                <w:szCs w:val="21"/>
              </w:rPr>
              <w:t>m</w:t>
            </w:r>
          </w:p>
        </w:tc>
        <w:tc>
          <w:tcPr>
            <w:tcW w:w="1323" w:type="dxa"/>
            <w:vAlign w:val="top"/>
          </w:tcPr>
          <w:p>
            <w:pPr>
              <w:spacing w:before="45"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5"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4" w:line="197" w:lineRule="auto"/>
              <w:ind w:left="189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30</w:t>
            </w:r>
            <w:r>
              <w:rPr>
                <w:rFonts w:ascii="Times New Roman" w:hAnsi="Times New Roman" w:eastAsia="Times New Roman" w:cs="Times New Roman"/>
                <w:sz w:val="21"/>
                <w:szCs w:val="21"/>
              </w:rPr>
              <w:t>m</w:t>
            </w:r>
          </w:p>
        </w:tc>
        <w:tc>
          <w:tcPr>
            <w:tcW w:w="1323" w:type="dxa"/>
            <w:vAlign w:val="top"/>
          </w:tcPr>
          <w:p>
            <w:pPr>
              <w:spacing w:before="44"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4"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5" w:line="197" w:lineRule="auto"/>
              <w:ind w:left="189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35</w:t>
            </w:r>
            <w:r>
              <w:rPr>
                <w:rFonts w:ascii="Times New Roman" w:hAnsi="Times New Roman" w:eastAsia="Times New Roman" w:cs="Times New Roman"/>
                <w:sz w:val="21"/>
                <w:szCs w:val="21"/>
              </w:rPr>
              <w:t>m</w:t>
            </w:r>
          </w:p>
        </w:tc>
        <w:tc>
          <w:tcPr>
            <w:tcW w:w="1323" w:type="dxa"/>
            <w:vAlign w:val="top"/>
          </w:tcPr>
          <w:p>
            <w:pPr>
              <w:spacing w:before="45"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45</w:t>
            </w:r>
          </w:p>
        </w:tc>
        <w:tc>
          <w:tcPr>
            <w:tcW w:w="1326" w:type="dxa"/>
            <w:tcBorders>
              <w:right w:val="single" w:color="000000" w:sz="10" w:space="0"/>
            </w:tcBorders>
            <w:vAlign w:val="top"/>
          </w:tcPr>
          <w:p>
            <w:pPr>
              <w:spacing w:before="45"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4" w:line="197" w:lineRule="auto"/>
              <w:ind w:left="189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40</w:t>
            </w:r>
            <w:r>
              <w:rPr>
                <w:rFonts w:ascii="Times New Roman" w:hAnsi="Times New Roman" w:eastAsia="Times New Roman" w:cs="Times New Roman"/>
                <w:sz w:val="21"/>
                <w:szCs w:val="21"/>
              </w:rPr>
              <w:t>m</w:t>
            </w:r>
          </w:p>
        </w:tc>
        <w:tc>
          <w:tcPr>
            <w:tcW w:w="1323" w:type="dxa"/>
            <w:vAlign w:val="top"/>
          </w:tcPr>
          <w:p>
            <w:pPr>
              <w:spacing w:before="44"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4"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6" w:line="197" w:lineRule="auto"/>
              <w:ind w:left="189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45</w:t>
            </w:r>
            <w:r>
              <w:rPr>
                <w:rFonts w:ascii="Times New Roman" w:hAnsi="Times New Roman" w:eastAsia="Times New Roman" w:cs="Times New Roman"/>
                <w:sz w:val="21"/>
                <w:szCs w:val="21"/>
              </w:rPr>
              <w:t>m</w:t>
            </w:r>
          </w:p>
        </w:tc>
        <w:tc>
          <w:tcPr>
            <w:tcW w:w="1323" w:type="dxa"/>
            <w:vAlign w:val="top"/>
          </w:tcPr>
          <w:p>
            <w:pPr>
              <w:spacing w:before="46"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43</w:t>
            </w:r>
          </w:p>
        </w:tc>
        <w:tc>
          <w:tcPr>
            <w:tcW w:w="1326" w:type="dxa"/>
            <w:tcBorders>
              <w:right w:val="single" w:color="000000" w:sz="10" w:space="0"/>
            </w:tcBorders>
            <w:vAlign w:val="top"/>
          </w:tcPr>
          <w:p>
            <w:pPr>
              <w:spacing w:before="46"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tcBorders>
            <w:vAlign w:val="top"/>
          </w:tcPr>
          <w:p>
            <w:pPr>
              <w:rPr>
                <w:rFonts w:ascii="Arial"/>
                <w:sz w:val="21"/>
                <w:szCs w:val="21"/>
              </w:rPr>
            </w:pPr>
          </w:p>
        </w:tc>
        <w:tc>
          <w:tcPr>
            <w:tcW w:w="4103" w:type="dxa"/>
            <w:vAlign w:val="top"/>
          </w:tcPr>
          <w:p>
            <w:pPr>
              <w:spacing w:before="45" w:line="197" w:lineRule="auto"/>
              <w:ind w:left="1896"/>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5</w:t>
            </w:r>
            <w:r>
              <w:rPr>
                <w:rFonts w:ascii="Times New Roman" w:hAnsi="Times New Roman" w:eastAsia="Times New Roman" w:cs="Times New Roman"/>
                <w:spacing w:val="5"/>
                <w:sz w:val="21"/>
                <w:szCs w:val="21"/>
              </w:rPr>
              <w:t>0</w:t>
            </w:r>
            <w:r>
              <w:rPr>
                <w:rFonts w:ascii="Times New Roman" w:hAnsi="Times New Roman" w:eastAsia="Times New Roman" w:cs="Times New Roman"/>
                <w:sz w:val="21"/>
                <w:szCs w:val="21"/>
              </w:rPr>
              <w:t>m</w:t>
            </w:r>
          </w:p>
        </w:tc>
        <w:tc>
          <w:tcPr>
            <w:tcW w:w="1323" w:type="dxa"/>
            <w:vAlign w:val="top"/>
          </w:tcPr>
          <w:p>
            <w:pPr>
              <w:spacing w:before="45"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c>
          <w:tcPr>
            <w:tcW w:w="1326" w:type="dxa"/>
            <w:tcBorders>
              <w:right w:val="single" w:color="000000" w:sz="10" w:space="0"/>
            </w:tcBorders>
            <w:vAlign w:val="top"/>
          </w:tcPr>
          <w:p>
            <w:pPr>
              <w:spacing w:before="45"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restart"/>
            <w:tcBorders>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47" w:lineRule="auto"/>
              <w:ind w:left="0"/>
              <w:jc w:val="both"/>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29" w:lineRule="auto"/>
              <w:ind w:left="0"/>
              <w:jc w:val="both"/>
              <w:textAlignment w:val="baseline"/>
              <w:rPr>
                <w:rFonts w:ascii="宋体" w:hAnsi="宋体" w:eastAsia="宋体" w:cs="宋体"/>
                <w:sz w:val="21"/>
                <w:szCs w:val="21"/>
              </w:rPr>
            </w:pPr>
            <w:r>
              <w:rPr>
                <w:rFonts w:ascii="Times New Roman" w:hAnsi="Times New Roman" w:eastAsia="Times New Roman" w:cs="Times New Roman"/>
                <w:spacing w:val="8"/>
                <w:sz w:val="21"/>
                <w:szCs w:val="21"/>
              </w:rPr>
              <w:t>5</w:t>
            </w:r>
            <w:r>
              <w:rPr>
                <w:rFonts w:ascii="Times New Roman" w:hAnsi="Times New Roman" w:eastAsia="Times New Roman" w:cs="Times New Roman"/>
                <w:spacing w:val="6"/>
                <w:sz w:val="21"/>
                <w:szCs w:val="21"/>
              </w:rPr>
              <w:t xml:space="preserve">00 </w:t>
            </w:r>
            <w:r>
              <w:rPr>
                <w:rFonts w:ascii="宋体" w:hAnsi="宋体" w:eastAsia="宋体" w:cs="宋体"/>
                <w:spacing w:val="6"/>
                <w:sz w:val="21"/>
                <w:szCs w:val="21"/>
              </w:rPr>
              <w:t>千伏锦忻</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both"/>
              <w:textAlignment w:val="baseline"/>
              <w:rPr>
                <w:rFonts w:ascii="宋体" w:hAnsi="宋体" w:eastAsia="宋体" w:cs="宋体"/>
                <w:sz w:val="21"/>
                <w:szCs w:val="21"/>
              </w:rPr>
            </w:pPr>
            <w:r>
              <w:rPr>
                <w:rFonts w:ascii="宋体" w:hAnsi="宋体" w:eastAsia="宋体" w:cs="宋体"/>
                <w:spacing w:val="7"/>
                <w:sz w:val="21"/>
                <w:szCs w:val="21"/>
              </w:rPr>
              <w:t>Ⅲ</w:t>
            </w:r>
            <w:r>
              <w:rPr>
                <w:rFonts w:ascii="宋体" w:hAnsi="宋体" w:eastAsia="宋体" w:cs="宋体"/>
                <w:spacing w:val="6"/>
                <w:sz w:val="21"/>
                <w:szCs w:val="21"/>
              </w:rPr>
              <w:t>线</w:t>
            </w:r>
          </w:p>
          <w:p>
            <w:pPr>
              <w:keepNext w:val="0"/>
              <w:keepLines w:val="0"/>
              <w:pageBreakBefore w:val="0"/>
              <w:widowControl/>
              <w:kinsoku w:val="0"/>
              <w:wordWrap/>
              <w:overflowPunct/>
              <w:topLinePunct w:val="0"/>
              <w:autoSpaceDE w:val="0"/>
              <w:autoSpaceDN w:val="0"/>
              <w:bidi w:val="0"/>
              <w:adjustRightInd w:val="0"/>
              <w:snapToGrid w:val="0"/>
              <w:spacing w:line="197" w:lineRule="auto"/>
              <w:ind w:left="0"/>
              <w:jc w:val="both"/>
              <w:textAlignment w:val="baseline"/>
              <w:rPr>
                <w:rFonts w:ascii="Times New Roman" w:hAnsi="Times New Roman" w:eastAsia="Times New Roman" w:cs="Times New Roman"/>
                <w:sz w:val="21"/>
                <w:szCs w:val="21"/>
              </w:rPr>
            </w:pPr>
            <w:r>
              <w:rPr>
                <w:rFonts w:ascii="Times New Roman" w:hAnsi="Times New Roman" w:eastAsia="Times New Roman" w:cs="Times New Roman"/>
                <w:sz w:val="21"/>
                <w:szCs w:val="21"/>
              </w:rPr>
              <w:t>J</w:t>
            </w:r>
            <w:r>
              <w:rPr>
                <w:rFonts w:ascii="Times New Roman" w:hAnsi="Times New Roman" w:eastAsia="Times New Roman" w:cs="Times New Roman"/>
                <w:spacing w:val="6"/>
                <w:sz w:val="21"/>
                <w:szCs w:val="21"/>
              </w:rPr>
              <w:t>5077~</w:t>
            </w:r>
            <w:r>
              <w:rPr>
                <w:rFonts w:ascii="Times New Roman" w:hAnsi="Times New Roman" w:eastAsia="Times New Roman" w:cs="Times New Roman"/>
                <w:sz w:val="21"/>
                <w:szCs w:val="21"/>
              </w:rPr>
              <w:t>Z</w:t>
            </w:r>
            <w:r>
              <w:rPr>
                <w:rFonts w:ascii="Times New Roman" w:hAnsi="Times New Roman" w:eastAsia="Times New Roman" w:cs="Times New Roman"/>
                <w:spacing w:val="6"/>
                <w:sz w:val="21"/>
                <w:szCs w:val="21"/>
              </w:rPr>
              <w:t>507</w:t>
            </w:r>
            <w:r>
              <w:rPr>
                <w:rFonts w:ascii="Times New Roman" w:hAnsi="Times New Roman" w:eastAsia="Times New Roman" w:cs="Times New Roman"/>
                <w:spacing w:val="5"/>
                <w:sz w:val="21"/>
                <w:szCs w:val="21"/>
              </w:rPr>
              <w:t>8</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both"/>
              <w:textAlignment w:val="baseline"/>
              <w:rPr>
                <w:rFonts w:ascii="宋体" w:hAnsi="宋体" w:eastAsia="宋体" w:cs="宋体"/>
                <w:sz w:val="21"/>
                <w:szCs w:val="21"/>
              </w:rPr>
            </w:pPr>
            <w:r>
              <w:rPr>
                <w:rFonts w:ascii="宋体" w:hAnsi="宋体" w:eastAsia="宋体" w:cs="宋体"/>
                <w:spacing w:val="10"/>
                <w:sz w:val="21"/>
                <w:szCs w:val="21"/>
              </w:rPr>
              <w:t>塔</w:t>
            </w:r>
            <w:r>
              <w:rPr>
                <w:rFonts w:ascii="宋体" w:hAnsi="宋体" w:eastAsia="宋体" w:cs="宋体"/>
                <w:spacing w:val="7"/>
                <w:sz w:val="21"/>
                <w:szCs w:val="21"/>
              </w:rPr>
              <w:t>基北侧 (单</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both"/>
              <w:textAlignment w:val="baseline"/>
              <w:rPr>
                <w:rFonts w:ascii="宋体" w:hAnsi="宋体" w:eastAsia="宋体" w:cs="宋体"/>
                <w:sz w:val="21"/>
                <w:szCs w:val="21"/>
              </w:rPr>
            </w:pPr>
            <w:r>
              <w:rPr>
                <w:rFonts w:ascii="宋体" w:hAnsi="宋体" w:eastAsia="宋体" w:cs="宋体"/>
                <w:spacing w:val="-7"/>
                <w:sz w:val="21"/>
                <w:szCs w:val="21"/>
              </w:rPr>
              <w:t>回</w:t>
            </w:r>
            <w:r>
              <w:rPr>
                <w:rFonts w:ascii="宋体" w:hAnsi="宋体" w:eastAsia="宋体" w:cs="宋体"/>
                <w:spacing w:val="-5"/>
                <w:sz w:val="21"/>
                <w:szCs w:val="21"/>
              </w:rPr>
              <w:t>路，与锦忻Ⅱ</w:t>
            </w:r>
            <w:r>
              <w:rPr>
                <w:rFonts w:ascii="宋体" w:hAnsi="宋体" w:eastAsia="宋体" w:cs="宋体"/>
                <w:spacing w:val="8"/>
                <w:sz w:val="21"/>
                <w:szCs w:val="21"/>
              </w:rPr>
              <w:t>线</w:t>
            </w:r>
            <w:r>
              <w:rPr>
                <w:rFonts w:ascii="宋体" w:hAnsi="宋体" w:eastAsia="宋体" w:cs="宋体"/>
                <w:spacing w:val="7"/>
                <w:sz w:val="21"/>
                <w:szCs w:val="21"/>
              </w:rPr>
              <w:t>并行) 监测</w:t>
            </w:r>
            <w:r>
              <w:rPr>
                <w:rFonts w:ascii="宋体" w:hAnsi="宋体" w:eastAsia="宋体" w:cs="宋体"/>
                <w:spacing w:val="3"/>
                <w:sz w:val="21"/>
                <w:szCs w:val="21"/>
              </w:rPr>
              <w:t>断</w:t>
            </w:r>
            <w:r>
              <w:rPr>
                <w:rFonts w:ascii="宋体" w:hAnsi="宋体" w:eastAsia="宋体" w:cs="宋体"/>
                <w:spacing w:val="2"/>
                <w:sz w:val="21"/>
                <w:szCs w:val="21"/>
              </w:rPr>
              <w:t>面</w:t>
            </w:r>
          </w:p>
        </w:tc>
        <w:tc>
          <w:tcPr>
            <w:tcW w:w="1126" w:type="dxa"/>
            <w:vMerge w:val="restart"/>
            <w:tcBorders>
              <w:bottom w:val="nil"/>
            </w:tcBorders>
            <w:vAlign w:val="top"/>
          </w:tcPr>
          <w:p>
            <w:pPr>
              <w:spacing w:line="309" w:lineRule="auto"/>
              <w:rPr>
                <w:rFonts w:ascii="Arial"/>
                <w:sz w:val="21"/>
                <w:szCs w:val="21"/>
              </w:rPr>
            </w:pPr>
          </w:p>
          <w:p>
            <w:pPr>
              <w:spacing w:line="310" w:lineRule="auto"/>
              <w:rPr>
                <w:rFonts w:ascii="Arial"/>
                <w:sz w:val="21"/>
                <w:szCs w:val="21"/>
              </w:rPr>
            </w:pPr>
          </w:p>
          <w:p>
            <w:pPr>
              <w:spacing w:line="310" w:lineRule="auto"/>
              <w:rPr>
                <w:rFonts w:ascii="Arial"/>
                <w:sz w:val="21"/>
                <w:szCs w:val="21"/>
              </w:rPr>
            </w:pPr>
          </w:p>
          <w:p>
            <w:pPr>
              <w:spacing w:before="55" w:line="230" w:lineRule="auto"/>
              <w:ind w:left="289"/>
              <w:rPr>
                <w:rFonts w:ascii="宋体" w:hAnsi="宋体" w:eastAsia="宋体" w:cs="宋体"/>
                <w:sz w:val="21"/>
                <w:szCs w:val="21"/>
              </w:rPr>
            </w:pPr>
            <w:r>
              <w:rPr>
                <w:rFonts w:ascii="宋体" w:hAnsi="宋体" w:eastAsia="宋体" w:cs="宋体"/>
                <w:spacing w:val="8"/>
                <w:sz w:val="21"/>
                <w:szCs w:val="21"/>
              </w:rPr>
              <w:t>边导</w:t>
            </w:r>
            <w:r>
              <w:rPr>
                <w:rFonts w:ascii="宋体" w:hAnsi="宋体" w:eastAsia="宋体" w:cs="宋体"/>
                <w:spacing w:val="7"/>
                <w:sz w:val="21"/>
                <w:szCs w:val="21"/>
              </w:rPr>
              <w:t>线</w:t>
            </w:r>
          </w:p>
        </w:tc>
        <w:tc>
          <w:tcPr>
            <w:tcW w:w="4103" w:type="dxa"/>
            <w:vAlign w:val="top"/>
          </w:tcPr>
          <w:p>
            <w:pPr>
              <w:spacing w:before="46" w:line="194" w:lineRule="auto"/>
              <w:ind w:left="1942"/>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5</w:t>
            </w:r>
            <w:r>
              <w:rPr>
                <w:rFonts w:ascii="Times New Roman" w:hAnsi="Times New Roman" w:eastAsia="Times New Roman" w:cs="Times New Roman"/>
                <w:sz w:val="21"/>
                <w:szCs w:val="21"/>
              </w:rPr>
              <w:t>m</w:t>
            </w:r>
          </w:p>
        </w:tc>
        <w:tc>
          <w:tcPr>
            <w:tcW w:w="1323" w:type="dxa"/>
            <w:vAlign w:val="top"/>
          </w:tcPr>
          <w:p>
            <w:pPr>
              <w:spacing w:before="44"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46</w:t>
            </w:r>
          </w:p>
        </w:tc>
        <w:tc>
          <w:tcPr>
            <w:tcW w:w="1326" w:type="dxa"/>
            <w:tcBorders>
              <w:right w:val="single" w:color="000000" w:sz="10" w:space="0"/>
            </w:tcBorders>
            <w:vAlign w:val="top"/>
          </w:tcPr>
          <w:p>
            <w:pPr>
              <w:spacing w:before="44"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5" w:line="197" w:lineRule="auto"/>
              <w:ind w:left="19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w:t>
            </w:r>
            <w:r>
              <w:rPr>
                <w:rFonts w:ascii="Times New Roman" w:hAnsi="Times New Roman" w:eastAsia="Times New Roman" w:cs="Times New Roman"/>
                <w:spacing w:val="-1"/>
                <w:sz w:val="21"/>
                <w:szCs w:val="21"/>
              </w:rPr>
              <w:t>0m</w:t>
            </w:r>
          </w:p>
        </w:tc>
        <w:tc>
          <w:tcPr>
            <w:tcW w:w="1323" w:type="dxa"/>
            <w:vAlign w:val="top"/>
          </w:tcPr>
          <w:p>
            <w:pPr>
              <w:spacing w:before="45"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45</w:t>
            </w:r>
          </w:p>
        </w:tc>
        <w:tc>
          <w:tcPr>
            <w:tcW w:w="1326" w:type="dxa"/>
            <w:tcBorders>
              <w:right w:val="single" w:color="000000" w:sz="10" w:space="0"/>
            </w:tcBorders>
            <w:vAlign w:val="top"/>
          </w:tcPr>
          <w:p>
            <w:pPr>
              <w:spacing w:before="45"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4" w:line="197" w:lineRule="auto"/>
              <w:ind w:left="190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w:t>
            </w:r>
            <w:r>
              <w:rPr>
                <w:rFonts w:ascii="Times New Roman" w:hAnsi="Times New Roman" w:eastAsia="Times New Roman" w:cs="Times New Roman"/>
                <w:spacing w:val="-1"/>
                <w:sz w:val="21"/>
                <w:szCs w:val="21"/>
              </w:rPr>
              <w:t>5m</w:t>
            </w:r>
          </w:p>
        </w:tc>
        <w:tc>
          <w:tcPr>
            <w:tcW w:w="1323" w:type="dxa"/>
            <w:vAlign w:val="top"/>
          </w:tcPr>
          <w:p>
            <w:pPr>
              <w:spacing w:before="44"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4"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6" w:line="197" w:lineRule="auto"/>
              <w:ind w:left="189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2</w:t>
            </w:r>
            <w:r>
              <w:rPr>
                <w:rFonts w:ascii="Times New Roman" w:hAnsi="Times New Roman" w:eastAsia="Times New Roman" w:cs="Times New Roman"/>
                <w:spacing w:val="6"/>
                <w:sz w:val="21"/>
                <w:szCs w:val="21"/>
              </w:rPr>
              <w:t>0</w:t>
            </w:r>
            <w:r>
              <w:rPr>
                <w:rFonts w:ascii="Times New Roman" w:hAnsi="Times New Roman" w:eastAsia="Times New Roman" w:cs="Times New Roman"/>
                <w:sz w:val="21"/>
                <w:szCs w:val="21"/>
              </w:rPr>
              <w:t>m</w:t>
            </w:r>
          </w:p>
        </w:tc>
        <w:tc>
          <w:tcPr>
            <w:tcW w:w="1323" w:type="dxa"/>
            <w:vAlign w:val="top"/>
          </w:tcPr>
          <w:p>
            <w:pPr>
              <w:spacing w:before="46"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45</w:t>
            </w:r>
          </w:p>
        </w:tc>
        <w:tc>
          <w:tcPr>
            <w:tcW w:w="1326" w:type="dxa"/>
            <w:tcBorders>
              <w:right w:val="single" w:color="000000" w:sz="10" w:space="0"/>
            </w:tcBorders>
            <w:vAlign w:val="top"/>
          </w:tcPr>
          <w:p>
            <w:pPr>
              <w:spacing w:before="46"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5" w:line="197" w:lineRule="auto"/>
              <w:ind w:left="189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2</w:t>
            </w:r>
            <w:r>
              <w:rPr>
                <w:rFonts w:ascii="Times New Roman" w:hAnsi="Times New Roman" w:eastAsia="Times New Roman" w:cs="Times New Roman"/>
                <w:spacing w:val="6"/>
                <w:sz w:val="21"/>
                <w:szCs w:val="21"/>
              </w:rPr>
              <w:t>5</w:t>
            </w:r>
            <w:r>
              <w:rPr>
                <w:rFonts w:ascii="Times New Roman" w:hAnsi="Times New Roman" w:eastAsia="Times New Roman" w:cs="Times New Roman"/>
                <w:sz w:val="21"/>
                <w:szCs w:val="21"/>
              </w:rPr>
              <w:t>m</w:t>
            </w:r>
          </w:p>
        </w:tc>
        <w:tc>
          <w:tcPr>
            <w:tcW w:w="1323" w:type="dxa"/>
            <w:vAlign w:val="top"/>
          </w:tcPr>
          <w:p>
            <w:pPr>
              <w:spacing w:before="45"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5"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4" w:line="197" w:lineRule="auto"/>
              <w:ind w:left="189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30</w:t>
            </w:r>
            <w:r>
              <w:rPr>
                <w:rFonts w:ascii="Times New Roman" w:hAnsi="Times New Roman" w:eastAsia="Times New Roman" w:cs="Times New Roman"/>
                <w:sz w:val="21"/>
                <w:szCs w:val="21"/>
              </w:rPr>
              <w:t>m</w:t>
            </w:r>
          </w:p>
        </w:tc>
        <w:tc>
          <w:tcPr>
            <w:tcW w:w="1323" w:type="dxa"/>
            <w:vAlign w:val="top"/>
          </w:tcPr>
          <w:p>
            <w:pPr>
              <w:spacing w:before="44"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4"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5" w:line="197" w:lineRule="auto"/>
              <w:ind w:left="1895"/>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35</w:t>
            </w:r>
            <w:r>
              <w:rPr>
                <w:rFonts w:ascii="Times New Roman" w:hAnsi="Times New Roman" w:eastAsia="Times New Roman" w:cs="Times New Roman"/>
                <w:sz w:val="21"/>
                <w:szCs w:val="21"/>
              </w:rPr>
              <w:t>m</w:t>
            </w:r>
          </w:p>
        </w:tc>
        <w:tc>
          <w:tcPr>
            <w:tcW w:w="1323" w:type="dxa"/>
            <w:vAlign w:val="top"/>
          </w:tcPr>
          <w:p>
            <w:pPr>
              <w:spacing w:before="45"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5"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4" w:line="197" w:lineRule="auto"/>
              <w:ind w:left="189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40</w:t>
            </w:r>
            <w:r>
              <w:rPr>
                <w:rFonts w:ascii="Times New Roman" w:hAnsi="Times New Roman" w:eastAsia="Times New Roman" w:cs="Times New Roman"/>
                <w:sz w:val="21"/>
                <w:szCs w:val="21"/>
              </w:rPr>
              <w:t>m</w:t>
            </w:r>
          </w:p>
        </w:tc>
        <w:tc>
          <w:tcPr>
            <w:tcW w:w="1323" w:type="dxa"/>
            <w:vAlign w:val="top"/>
          </w:tcPr>
          <w:p>
            <w:pPr>
              <w:spacing w:before="44"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4"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45" w:line="197" w:lineRule="auto"/>
              <w:ind w:left="1891"/>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45</w:t>
            </w:r>
            <w:r>
              <w:rPr>
                <w:rFonts w:ascii="Times New Roman" w:hAnsi="Times New Roman" w:eastAsia="Times New Roman" w:cs="Times New Roman"/>
                <w:sz w:val="21"/>
                <w:szCs w:val="21"/>
              </w:rPr>
              <w:t>m</w:t>
            </w:r>
          </w:p>
        </w:tc>
        <w:tc>
          <w:tcPr>
            <w:tcW w:w="1323" w:type="dxa"/>
            <w:vAlign w:val="top"/>
          </w:tcPr>
          <w:p>
            <w:pPr>
              <w:spacing w:before="45"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45"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1404" w:type="dxa"/>
            <w:vMerge w:val="continue"/>
            <w:tcBorders>
              <w:top w:val="nil"/>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tcBorders>
            <w:vAlign w:val="top"/>
          </w:tcPr>
          <w:p>
            <w:pPr>
              <w:rPr>
                <w:rFonts w:ascii="Arial"/>
                <w:sz w:val="21"/>
                <w:szCs w:val="21"/>
              </w:rPr>
            </w:pPr>
          </w:p>
        </w:tc>
        <w:tc>
          <w:tcPr>
            <w:tcW w:w="4103" w:type="dxa"/>
            <w:vAlign w:val="top"/>
          </w:tcPr>
          <w:p>
            <w:pPr>
              <w:spacing w:before="44" w:line="197" w:lineRule="auto"/>
              <w:ind w:left="189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50</w:t>
            </w:r>
            <w:r>
              <w:rPr>
                <w:rFonts w:ascii="Times New Roman" w:hAnsi="Times New Roman" w:eastAsia="Times New Roman" w:cs="Times New Roman"/>
                <w:sz w:val="21"/>
                <w:szCs w:val="21"/>
              </w:rPr>
              <w:t>m</w:t>
            </w:r>
          </w:p>
        </w:tc>
        <w:tc>
          <w:tcPr>
            <w:tcW w:w="1323" w:type="dxa"/>
            <w:vAlign w:val="top"/>
          </w:tcPr>
          <w:p>
            <w:pPr>
              <w:spacing w:before="44"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43</w:t>
            </w:r>
          </w:p>
        </w:tc>
        <w:tc>
          <w:tcPr>
            <w:tcW w:w="1326" w:type="dxa"/>
            <w:tcBorders>
              <w:right w:val="single" w:color="000000" w:sz="10" w:space="0"/>
            </w:tcBorders>
            <w:vAlign w:val="top"/>
          </w:tcPr>
          <w:p>
            <w:pPr>
              <w:spacing w:before="44"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404" w:type="dxa"/>
            <w:vMerge w:val="restart"/>
            <w:tcBorders>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76" w:lineRule="auto"/>
              <w:ind w:left="0"/>
              <w:jc w:val="both"/>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76" w:lineRule="auto"/>
              <w:ind w:left="0"/>
              <w:jc w:val="both"/>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76" w:lineRule="auto"/>
              <w:ind w:left="0"/>
              <w:jc w:val="both"/>
              <w:textAlignment w:val="baseline"/>
              <w:rPr>
                <w:rFonts w:ascii="Arial"/>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31" w:lineRule="auto"/>
              <w:ind w:left="0"/>
              <w:jc w:val="both"/>
              <w:textAlignment w:val="baseline"/>
              <w:rPr>
                <w:rFonts w:ascii="宋体" w:hAnsi="宋体" w:eastAsia="宋体" w:cs="宋体"/>
                <w:sz w:val="21"/>
                <w:szCs w:val="21"/>
              </w:rPr>
            </w:pPr>
            <w:r>
              <w:rPr>
                <w:rFonts w:ascii="宋体" w:hAnsi="宋体" w:eastAsia="宋体" w:cs="宋体"/>
                <w:spacing w:val="9"/>
                <w:sz w:val="21"/>
                <w:szCs w:val="21"/>
              </w:rPr>
              <w:t>锦</w:t>
            </w:r>
            <w:r>
              <w:rPr>
                <w:rFonts w:ascii="宋体" w:hAnsi="宋体" w:eastAsia="宋体" w:cs="宋体"/>
                <w:spacing w:val="8"/>
                <w:sz w:val="21"/>
                <w:szCs w:val="21"/>
              </w:rPr>
              <w:t>界电厂至</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both"/>
              <w:textAlignment w:val="baseline"/>
              <w:rPr>
                <w:rFonts w:ascii="宋体" w:hAnsi="宋体" w:eastAsia="宋体" w:cs="宋体"/>
                <w:sz w:val="21"/>
                <w:szCs w:val="21"/>
              </w:rPr>
            </w:pPr>
            <w:r>
              <w:rPr>
                <w:rFonts w:ascii="宋体" w:hAnsi="宋体" w:eastAsia="宋体" w:cs="宋体"/>
                <w:spacing w:val="10"/>
                <w:sz w:val="21"/>
                <w:szCs w:val="21"/>
              </w:rPr>
              <w:t>忻</w:t>
            </w:r>
            <w:r>
              <w:rPr>
                <w:rFonts w:ascii="宋体" w:hAnsi="宋体" w:eastAsia="宋体" w:cs="宋体"/>
                <w:spacing w:val="7"/>
                <w:sz w:val="21"/>
                <w:szCs w:val="21"/>
              </w:rPr>
              <w:t>都开关站</w:t>
            </w:r>
          </w:p>
          <w:p>
            <w:pPr>
              <w:keepNext w:val="0"/>
              <w:keepLines w:val="0"/>
              <w:pageBreakBefore w:val="0"/>
              <w:widowControl/>
              <w:kinsoku w:val="0"/>
              <w:wordWrap/>
              <w:overflowPunct/>
              <w:topLinePunct w:val="0"/>
              <w:autoSpaceDE w:val="0"/>
              <w:autoSpaceDN w:val="0"/>
              <w:bidi w:val="0"/>
              <w:adjustRightInd w:val="0"/>
              <w:snapToGrid w:val="0"/>
              <w:spacing w:line="229" w:lineRule="auto"/>
              <w:ind w:left="0"/>
              <w:jc w:val="both"/>
              <w:textAlignment w:val="baseline"/>
              <w:rPr>
                <w:rFonts w:ascii="宋体" w:hAnsi="宋体" w:eastAsia="宋体" w:cs="宋体"/>
                <w:sz w:val="21"/>
                <w:szCs w:val="21"/>
              </w:rPr>
            </w:pPr>
            <w:r>
              <w:rPr>
                <w:rFonts w:ascii="宋体" w:hAnsi="宋体" w:eastAsia="宋体" w:cs="宋体"/>
                <w:spacing w:val="2"/>
                <w:sz w:val="21"/>
                <w:szCs w:val="21"/>
              </w:rPr>
              <w:t>Ⅲ回</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rPr>
              <w:t xml:space="preserve">500 </w:t>
            </w:r>
            <w:r>
              <w:rPr>
                <w:rFonts w:ascii="宋体" w:hAnsi="宋体" w:eastAsia="宋体" w:cs="宋体"/>
                <w:spacing w:val="1"/>
                <w:sz w:val="21"/>
                <w:szCs w:val="21"/>
              </w:rPr>
              <w:t>千伏</w:t>
            </w:r>
          </w:p>
          <w:p>
            <w:pPr>
              <w:keepNext w:val="0"/>
              <w:keepLines w:val="0"/>
              <w:pageBreakBefore w:val="0"/>
              <w:widowControl/>
              <w:kinsoku w:val="0"/>
              <w:wordWrap/>
              <w:overflowPunct/>
              <w:topLinePunct w:val="0"/>
              <w:autoSpaceDE w:val="0"/>
              <w:autoSpaceDN w:val="0"/>
              <w:bidi w:val="0"/>
              <w:adjustRightInd w:val="0"/>
              <w:snapToGrid w:val="0"/>
              <w:spacing w:line="230" w:lineRule="auto"/>
              <w:ind w:left="0"/>
              <w:jc w:val="both"/>
              <w:textAlignment w:val="baseline"/>
              <w:rPr>
                <w:rFonts w:ascii="宋体" w:hAnsi="宋体" w:eastAsia="宋体" w:cs="宋体"/>
                <w:sz w:val="21"/>
                <w:szCs w:val="21"/>
              </w:rPr>
            </w:pPr>
            <w:r>
              <w:rPr>
                <w:rFonts w:ascii="宋体" w:hAnsi="宋体" w:eastAsia="宋体" w:cs="宋体"/>
                <w:spacing w:val="9"/>
                <w:sz w:val="21"/>
                <w:szCs w:val="21"/>
              </w:rPr>
              <w:t>线</w:t>
            </w:r>
            <w:r>
              <w:rPr>
                <w:rFonts w:ascii="宋体" w:hAnsi="宋体" w:eastAsia="宋体" w:cs="宋体"/>
                <w:spacing w:val="7"/>
                <w:sz w:val="21"/>
                <w:szCs w:val="21"/>
              </w:rPr>
              <w:t>路工程</w:t>
            </w:r>
          </w:p>
        </w:tc>
        <w:tc>
          <w:tcPr>
            <w:tcW w:w="1126" w:type="dxa"/>
            <w:vMerge w:val="restart"/>
            <w:tcBorders>
              <w:bottom w:val="nil"/>
            </w:tcBorders>
            <w:vAlign w:val="top"/>
          </w:tcPr>
          <w:p>
            <w:pPr>
              <w:spacing w:line="294" w:lineRule="auto"/>
              <w:rPr>
                <w:rFonts w:ascii="Arial"/>
                <w:sz w:val="21"/>
                <w:szCs w:val="21"/>
              </w:rPr>
            </w:pPr>
          </w:p>
          <w:p>
            <w:pPr>
              <w:spacing w:line="294" w:lineRule="auto"/>
              <w:rPr>
                <w:rFonts w:ascii="Arial"/>
                <w:sz w:val="21"/>
                <w:szCs w:val="21"/>
              </w:rPr>
            </w:pPr>
          </w:p>
          <w:p>
            <w:pPr>
              <w:spacing w:line="294" w:lineRule="auto"/>
              <w:rPr>
                <w:rFonts w:ascii="Arial"/>
                <w:sz w:val="21"/>
                <w:szCs w:val="21"/>
              </w:rPr>
            </w:pPr>
          </w:p>
          <w:p>
            <w:pPr>
              <w:spacing w:line="295" w:lineRule="auto"/>
              <w:rPr>
                <w:rFonts w:ascii="Arial"/>
                <w:sz w:val="21"/>
                <w:szCs w:val="21"/>
              </w:rPr>
            </w:pPr>
          </w:p>
          <w:p>
            <w:pPr>
              <w:spacing w:before="55" w:line="230" w:lineRule="auto"/>
              <w:ind w:left="290"/>
              <w:rPr>
                <w:rFonts w:ascii="宋体" w:hAnsi="宋体" w:eastAsia="宋体" w:cs="宋体"/>
                <w:sz w:val="21"/>
                <w:szCs w:val="21"/>
              </w:rPr>
            </w:pPr>
            <w:r>
              <w:rPr>
                <w:rFonts w:ascii="宋体" w:hAnsi="宋体" w:eastAsia="宋体" w:cs="宋体"/>
                <w:spacing w:val="8"/>
                <w:sz w:val="21"/>
                <w:szCs w:val="21"/>
              </w:rPr>
              <w:t>敏</w:t>
            </w:r>
            <w:r>
              <w:rPr>
                <w:rFonts w:ascii="宋体" w:hAnsi="宋体" w:eastAsia="宋体" w:cs="宋体"/>
                <w:spacing w:val="7"/>
                <w:sz w:val="21"/>
                <w:szCs w:val="21"/>
              </w:rPr>
              <w:t>感点</w:t>
            </w:r>
          </w:p>
        </w:tc>
        <w:tc>
          <w:tcPr>
            <w:tcW w:w="4103" w:type="dxa"/>
            <w:vAlign w:val="top"/>
          </w:tcPr>
          <w:p>
            <w:pPr>
              <w:spacing w:before="27" w:line="241" w:lineRule="auto"/>
              <w:ind w:left="1787" w:right="157" w:hanging="1615"/>
              <w:rPr>
                <w:rFonts w:ascii="宋体" w:hAnsi="宋体" w:eastAsia="宋体" w:cs="宋体"/>
                <w:sz w:val="21"/>
                <w:szCs w:val="21"/>
              </w:rPr>
            </w:pPr>
            <w:r>
              <w:rPr>
                <w:rFonts w:ascii="宋体" w:hAnsi="宋体" w:eastAsia="宋体" w:cs="宋体"/>
                <w:spacing w:val="18"/>
                <w:sz w:val="21"/>
                <w:szCs w:val="21"/>
              </w:rPr>
              <w:t>高</w:t>
            </w:r>
            <w:r>
              <w:rPr>
                <w:rFonts w:ascii="宋体" w:hAnsi="宋体" w:eastAsia="宋体" w:cs="宋体"/>
                <w:spacing w:val="9"/>
                <w:sz w:val="21"/>
                <w:szCs w:val="21"/>
              </w:rPr>
              <w:t>家堡镇青阳树沟村神木市晶富电力有限公司光</w:t>
            </w:r>
            <w:r>
              <w:rPr>
                <w:rFonts w:ascii="宋体" w:hAnsi="宋体" w:eastAsia="宋体" w:cs="宋体"/>
                <w:sz w:val="21"/>
                <w:szCs w:val="21"/>
              </w:rPr>
              <w:t xml:space="preserve"> </w:t>
            </w:r>
            <w:r>
              <w:rPr>
                <w:rFonts w:ascii="宋体" w:hAnsi="宋体" w:eastAsia="宋体" w:cs="宋体"/>
                <w:spacing w:val="8"/>
                <w:sz w:val="21"/>
                <w:szCs w:val="21"/>
              </w:rPr>
              <w:t>伏</w:t>
            </w:r>
            <w:r>
              <w:rPr>
                <w:rFonts w:ascii="宋体" w:hAnsi="宋体" w:eastAsia="宋体" w:cs="宋体"/>
                <w:spacing w:val="7"/>
                <w:sz w:val="21"/>
                <w:szCs w:val="21"/>
              </w:rPr>
              <w:t>电站</w:t>
            </w:r>
          </w:p>
        </w:tc>
        <w:tc>
          <w:tcPr>
            <w:tcW w:w="1323" w:type="dxa"/>
            <w:vAlign w:val="top"/>
          </w:tcPr>
          <w:p>
            <w:pPr>
              <w:spacing w:before="173"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47</w:t>
            </w:r>
          </w:p>
        </w:tc>
        <w:tc>
          <w:tcPr>
            <w:tcW w:w="1326" w:type="dxa"/>
            <w:tcBorders>
              <w:right w:val="single" w:color="000000" w:sz="10" w:space="0"/>
            </w:tcBorders>
            <w:vAlign w:val="top"/>
          </w:tcPr>
          <w:p>
            <w:pPr>
              <w:spacing w:before="173"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28" w:line="226" w:lineRule="auto"/>
              <w:ind w:left="1340"/>
              <w:rPr>
                <w:rFonts w:ascii="宋体" w:hAnsi="宋体" w:eastAsia="宋体" w:cs="宋体"/>
                <w:sz w:val="21"/>
                <w:szCs w:val="21"/>
              </w:rPr>
            </w:pPr>
            <w:r>
              <w:rPr>
                <w:rFonts w:ascii="宋体" w:hAnsi="宋体" w:eastAsia="宋体" w:cs="宋体"/>
                <w:spacing w:val="12"/>
                <w:sz w:val="21"/>
                <w:szCs w:val="21"/>
              </w:rPr>
              <w:t>高</w:t>
            </w:r>
            <w:r>
              <w:rPr>
                <w:rFonts w:ascii="宋体" w:hAnsi="宋体" w:eastAsia="宋体" w:cs="宋体"/>
                <w:spacing w:val="8"/>
                <w:sz w:val="21"/>
                <w:szCs w:val="21"/>
              </w:rPr>
              <w:t>家堡镇赵雄雄家</w:t>
            </w:r>
          </w:p>
        </w:tc>
        <w:tc>
          <w:tcPr>
            <w:tcW w:w="1323" w:type="dxa"/>
            <w:vAlign w:val="top"/>
          </w:tcPr>
          <w:p>
            <w:pPr>
              <w:spacing w:before="59"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43</w:t>
            </w:r>
          </w:p>
        </w:tc>
        <w:tc>
          <w:tcPr>
            <w:tcW w:w="1326" w:type="dxa"/>
            <w:tcBorders>
              <w:right w:val="single" w:color="000000" w:sz="10" w:space="0"/>
            </w:tcBorders>
            <w:vAlign w:val="top"/>
          </w:tcPr>
          <w:p>
            <w:pPr>
              <w:spacing w:before="59" w:line="197" w:lineRule="auto"/>
              <w:ind w:left="57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28" w:line="227" w:lineRule="auto"/>
              <w:ind w:left="846"/>
              <w:rPr>
                <w:rFonts w:ascii="宋体" w:hAnsi="宋体" w:eastAsia="宋体" w:cs="宋体"/>
                <w:sz w:val="21"/>
                <w:szCs w:val="21"/>
              </w:rPr>
            </w:pPr>
            <w:r>
              <w:rPr>
                <w:rFonts w:ascii="宋体" w:hAnsi="宋体" w:eastAsia="宋体" w:cs="宋体"/>
                <w:spacing w:val="5"/>
                <w:sz w:val="21"/>
                <w:szCs w:val="21"/>
              </w:rPr>
              <w:t xml:space="preserve">高家堡镇青阳树沟村 </w:t>
            </w:r>
            <w:r>
              <w:rPr>
                <w:rFonts w:ascii="Times New Roman" w:hAnsi="Times New Roman" w:eastAsia="Times New Roman" w:cs="Times New Roman"/>
                <w:spacing w:val="5"/>
                <w:sz w:val="21"/>
                <w:szCs w:val="21"/>
              </w:rPr>
              <w:t xml:space="preserve">32 </w:t>
            </w:r>
            <w:r>
              <w:rPr>
                <w:rFonts w:ascii="宋体" w:hAnsi="宋体" w:eastAsia="宋体" w:cs="宋体"/>
                <w:spacing w:val="5"/>
                <w:sz w:val="21"/>
                <w:szCs w:val="21"/>
              </w:rPr>
              <w:t>号民</w:t>
            </w:r>
            <w:r>
              <w:rPr>
                <w:rFonts w:ascii="宋体" w:hAnsi="宋体" w:eastAsia="宋体" w:cs="宋体"/>
                <w:spacing w:val="4"/>
                <w:sz w:val="21"/>
                <w:szCs w:val="21"/>
              </w:rPr>
              <w:t>房</w:t>
            </w:r>
          </w:p>
        </w:tc>
        <w:tc>
          <w:tcPr>
            <w:tcW w:w="1323" w:type="dxa"/>
            <w:vAlign w:val="top"/>
          </w:tcPr>
          <w:p>
            <w:pPr>
              <w:spacing w:before="60"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c>
          <w:tcPr>
            <w:tcW w:w="1326" w:type="dxa"/>
            <w:tcBorders>
              <w:right w:val="single" w:color="000000" w:sz="10" w:space="0"/>
            </w:tcBorders>
            <w:vAlign w:val="top"/>
          </w:tcPr>
          <w:p>
            <w:pPr>
              <w:spacing w:before="60" w:line="197" w:lineRule="auto"/>
              <w:ind w:left="5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spacing w:val="1"/>
                <w:sz w:val="21"/>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29" w:line="226" w:lineRule="auto"/>
              <w:ind w:left="975"/>
              <w:rPr>
                <w:rFonts w:ascii="宋体" w:hAnsi="宋体" w:eastAsia="宋体" w:cs="宋体"/>
                <w:sz w:val="21"/>
                <w:szCs w:val="21"/>
              </w:rPr>
            </w:pPr>
            <w:r>
              <w:rPr>
                <w:rFonts w:ascii="宋体" w:hAnsi="宋体" w:eastAsia="宋体" w:cs="宋体"/>
                <w:spacing w:val="14"/>
                <w:sz w:val="21"/>
                <w:szCs w:val="21"/>
              </w:rPr>
              <w:t>解</w:t>
            </w:r>
            <w:r>
              <w:rPr>
                <w:rFonts w:ascii="宋体" w:hAnsi="宋体" w:eastAsia="宋体" w:cs="宋体"/>
                <w:spacing w:val="9"/>
                <w:sz w:val="21"/>
                <w:szCs w:val="21"/>
              </w:rPr>
              <w:t>家堡镇中圪垯村新建民房</w:t>
            </w:r>
          </w:p>
        </w:tc>
        <w:tc>
          <w:tcPr>
            <w:tcW w:w="1323" w:type="dxa"/>
            <w:vAlign w:val="top"/>
          </w:tcPr>
          <w:p>
            <w:pPr>
              <w:spacing w:before="58"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42</w:t>
            </w:r>
          </w:p>
        </w:tc>
        <w:tc>
          <w:tcPr>
            <w:tcW w:w="1326" w:type="dxa"/>
            <w:tcBorders>
              <w:right w:val="single" w:color="000000" w:sz="10" w:space="0"/>
            </w:tcBorders>
            <w:vAlign w:val="top"/>
          </w:tcPr>
          <w:p>
            <w:pPr>
              <w:spacing w:before="58" w:line="197" w:lineRule="auto"/>
              <w:ind w:left="5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spacing w:val="1"/>
                <w:sz w:val="21"/>
                <w:szCs w:val="21"/>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29" w:line="227" w:lineRule="auto"/>
              <w:ind w:left="975"/>
              <w:rPr>
                <w:rFonts w:ascii="宋体" w:hAnsi="宋体" w:eastAsia="宋体" w:cs="宋体"/>
                <w:sz w:val="21"/>
                <w:szCs w:val="21"/>
              </w:rPr>
            </w:pPr>
            <w:r>
              <w:rPr>
                <w:rFonts w:ascii="宋体" w:hAnsi="宋体" w:eastAsia="宋体" w:cs="宋体"/>
                <w:spacing w:val="14"/>
                <w:sz w:val="21"/>
                <w:szCs w:val="21"/>
              </w:rPr>
              <w:t>解</w:t>
            </w:r>
            <w:r>
              <w:rPr>
                <w:rFonts w:ascii="宋体" w:hAnsi="宋体" w:eastAsia="宋体" w:cs="宋体"/>
                <w:spacing w:val="9"/>
                <w:sz w:val="21"/>
                <w:szCs w:val="21"/>
              </w:rPr>
              <w:t>家堡镇中圪垯村王夹会家</w:t>
            </w:r>
          </w:p>
        </w:tc>
        <w:tc>
          <w:tcPr>
            <w:tcW w:w="1323" w:type="dxa"/>
            <w:vAlign w:val="top"/>
          </w:tcPr>
          <w:p>
            <w:pPr>
              <w:spacing w:before="60"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47</w:t>
            </w:r>
          </w:p>
        </w:tc>
        <w:tc>
          <w:tcPr>
            <w:tcW w:w="1326" w:type="dxa"/>
            <w:tcBorders>
              <w:right w:val="single" w:color="000000" w:sz="10" w:space="0"/>
            </w:tcBorders>
            <w:vAlign w:val="top"/>
          </w:tcPr>
          <w:p>
            <w:pPr>
              <w:spacing w:before="60" w:line="197" w:lineRule="auto"/>
              <w:ind w:left="5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spacing w:val="1"/>
                <w:sz w:val="21"/>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30" w:line="224" w:lineRule="auto"/>
              <w:ind w:left="1066"/>
              <w:rPr>
                <w:rFonts w:ascii="宋体" w:hAnsi="宋体" w:eastAsia="宋体" w:cs="宋体"/>
                <w:sz w:val="21"/>
                <w:szCs w:val="21"/>
              </w:rPr>
            </w:pPr>
            <w:r>
              <w:rPr>
                <w:rFonts w:ascii="宋体" w:hAnsi="宋体" w:eastAsia="宋体" w:cs="宋体"/>
                <w:spacing w:val="13"/>
                <w:sz w:val="21"/>
                <w:szCs w:val="21"/>
              </w:rPr>
              <w:t>解</w:t>
            </w:r>
            <w:r>
              <w:rPr>
                <w:rFonts w:ascii="宋体" w:hAnsi="宋体" w:eastAsia="宋体" w:cs="宋体"/>
                <w:spacing w:val="9"/>
                <w:sz w:val="21"/>
                <w:szCs w:val="21"/>
              </w:rPr>
              <w:t>家堡镇中圪垯村王军家</w:t>
            </w:r>
          </w:p>
        </w:tc>
        <w:tc>
          <w:tcPr>
            <w:tcW w:w="1323" w:type="dxa"/>
            <w:vAlign w:val="top"/>
          </w:tcPr>
          <w:p>
            <w:pPr>
              <w:spacing w:before="58"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43</w:t>
            </w:r>
          </w:p>
        </w:tc>
        <w:tc>
          <w:tcPr>
            <w:tcW w:w="1326" w:type="dxa"/>
            <w:tcBorders>
              <w:right w:val="single" w:color="000000" w:sz="10" w:space="0"/>
            </w:tcBorders>
            <w:vAlign w:val="top"/>
          </w:tcPr>
          <w:p>
            <w:pPr>
              <w:spacing w:before="58" w:line="197" w:lineRule="auto"/>
              <w:ind w:left="5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spacing w:val="1"/>
                <w:sz w:val="21"/>
                <w:szCs w:val="21"/>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30" w:line="225" w:lineRule="auto"/>
              <w:ind w:left="975"/>
              <w:rPr>
                <w:rFonts w:ascii="宋体" w:hAnsi="宋体" w:eastAsia="宋体" w:cs="宋体"/>
                <w:sz w:val="21"/>
                <w:szCs w:val="21"/>
              </w:rPr>
            </w:pPr>
            <w:r>
              <w:rPr>
                <w:rFonts w:ascii="宋体" w:hAnsi="宋体" w:eastAsia="宋体" w:cs="宋体"/>
                <w:spacing w:val="14"/>
                <w:sz w:val="21"/>
                <w:szCs w:val="21"/>
              </w:rPr>
              <w:t>解</w:t>
            </w:r>
            <w:r>
              <w:rPr>
                <w:rFonts w:ascii="宋体" w:hAnsi="宋体" w:eastAsia="宋体" w:cs="宋体"/>
                <w:spacing w:val="9"/>
                <w:sz w:val="21"/>
                <w:szCs w:val="21"/>
              </w:rPr>
              <w:t>家堡镇中圪垯村王有什家</w:t>
            </w:r>
          </w:p>
        </w:tc>
        <w:tc>
          <w:tcPr>
            <w:tcW w:w="1323" w:type="dxa"/>
            <w:vAlign w:val="top"/>
          </w:tcPr>
          <w:p>
            <w:pPr>
              <w:spacing w:before="61"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43</w:t>
            </w:r>
          </w:p>
        </w:tc>
        <w:tc>
          <w:tcPr>
            <w:tcW w:w="1326" w:type="dxa"/>
            <w:tcBorders>
              <w:right w:val="single" w:color="000000" w:sz="10" w:space="0"/>
            </w:tcBorders>
            <w:vAlign w:val="top"/>
          </w:tcPr>
          <w:p>
            <w:pPr>
              <w:spacing w:before="61" w:line="197" w:lineRule="auto"/>
              <w:ind w:left="5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spacing w:val="1"/>
                <w:sz w:val="21"/>
                <w:szCs w:val="21"/>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29" w:line="226" w:lineRule="auto"/>
              <w:ind w:left="1088"/>
              <w:rPr>
                <w:rFonts w:ascii="Times New Roman" w:hAnsi="Times New Roman" w:eastAsia="Times New Roman" w:cs="Times New Roman"/>
                <w:sz w:val="21"/>
                <w:szCs w:val="21"/>
              </w:rPr>
            </w:pPr>
            <w:r>
              <w:rPr>
                <w:rFonts w:ascii="宋体" w:hAnsi="宋体" w:eastAsia="宋体" w:cs="宋体"/>
                <w:spacing w:val="5"/>
                <w:sz w:val="21"/>
                <w:szCs w:val="21"/>
              </w:rPr>
              <w:t xml:space="preserve">解家堡镇中圪垯村民房 </w:t>
            </w:r>
            <w:r>
              <w:rPr>
                <w:rFonts w:ascii="Times New Roman" w:hAnsi="Times New Roman" w:eastAsia="Times New Roman" w:cs="Times New Roman"/>
                <w:spacing w:val="4"/>
                <w:sz w:val="21"/>
                <w:szCs w:val="21"/>
              </w:rPr>
              <w:t>2</w:t>
            </w:r>
          </w:p>
        </w:tc>
        <w:tc>
          <w:tcPr>
            <w:tcW w:w="1323" w:type="dxa"/>
            <w:vAlign w:val="top"/>
          </w:tcPr>
          <w:p>
            <w:pPr>
              <w:spacing w:before="61"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46</w:t>
            </w:r>
          </w:p>
        </w:tc>
        <w:tc>
          <w:tcPr>
            <w:tcW w:w="1326" w:type="dxa"/>
            <w:tcBorders>
              <w:right w:val="single" w:color="000000" w:sz="10" w:space="0"/>
            </w:tcBorders>
            <w:vAlign w:val="top"/>
          </w:tcPr>
          <w:p>
            <w:pPr>
              <w:spacing w:before="61" w:line="197" w:lineRule="auto"/>
              <w:ind w:left="5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spacing w:val="1"/>
                <w:sz w:val="21"/>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1404" w:type="dxa"/>
            <w:vMerge w:val="continue"/>
            <w:tcBorders>
              <w:top w:val="nil"/>
              <w:left w:val="single" w:color="000000"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bottom w:val="nil"/>
            </w:tcBorders>
            <w:vAlign w:val="top"/>
          </w:tcPr>
          <w:p>
            <w:pPr>
              <w:rPr>
                <w:rFonts w:ascii="Arial"/>
                <w:sz w:val="21"/>
                <w:szCs w:val="21"/>
              </w:rPr>
            </w:pPr>
          </w:p>
        </w:tc>
        <w:tc>
          <w:tcPr>
            <w:tcW w:w="4103" w:type="dxa"/>
            <w:vAlign w:val="top"/>
          </w:tcPr>
          <w:p>
            <w:pPr>
              <w:spacing w:before="31" w:line="225" w:lineRule="auto"/>
              <w:ind w:left="1088"/>
              <w:rPr>
                <w:rFonts w:ascii="Times New Roman" w:hAnsi="Times New Roman" w:eastAsia="Times New Roman" w:cs="Times New Roman"/>
                <w:sz w:val="21"/>
                <w:szCs w:val="21"/>
              </w:rPr>
            </w:pPr>
            <w:r>
              <w:rPr>
                <w:rFonts w:ascii="宋体" w:hAnsi="宋体" w:eastAsia="宋体" w:cs="宋体"/>
                <w:spacing w:val="9"/>
                <w:sz w:val="21"/>
                <w:szCs w:val="21"/>
              </w:rPr>
              <w:t>解</w:t>
            </w:r>
            <w:r>
              <w:rPr>
                <w:rFonts w:ascii="宋体" w:hAnsi="宋体" w:eastAsia="宋体" w:cs="宋体"/>
                <w:spacing w:val="6"/>
                <w:sz w:val="21"/>
                <w:szCs w:val="21"/>
              </w:rPr>
              <w:t xml:space="preserve">家堡镇中圪垯村民房 </w:t>
            </w:r>
            <w:r>
              <w:rPr>
                <w:rFonts w:ascii="Times New Roman" w:hAnsi="Times New Roman" w:eastAsia="Times New Roman" w:cs="Times New Roman"/>
                <w:spacing w:val="6"/>
                <w:sz w:val="21"/>
                <w:szCs w:val="21"/>
              </w:rPr>
              <w:t>1</w:t>
            </w:r>
          </w:p>
        </w:tc>
        <w:tc>
          <w:tcPr>
            <w:tcW w:w="1323" w:type="dxa"/>
            <w:vAlign w:val="top"/>
          </w:tcPr>
          <w:p>
            <w:pPr>
              <w:spacing w:before="62"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43</w:t>
            </w:r>
          </w:p>
        </w:tc>
        <w:tc>
          <w:tcPr>
            <w:tcW w:w="1326" w:type="dxa"/>
            <w:tcBorders>
              <w:right w:val="single" w:color="000000" w:sz="10" w:space="0"/>
            </w:tcBorders>
            <w:vAlign w:val="top"/>
          </w:tcPr>
          <w:p>
            <w:pPr>
              <w:spacing w:before="62" w:line="197" w:lineRule="auto"/>
              <w:ind w:left="5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spacing w:val="1"/>
                <w:sz w:val="21"/>
                <w:szCs w:val="21"/>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1404" w:type="dxa"/>
            <w:vMerge w:val="continue"/>
            <w:tcBorders>
              <w:top w:val="nil"/>
              <w:left w:val="single" w:color="000000" w:sz="10" w:space="0"/>
            </w:tcBorders>
            <w:vAlign w:val="top"/>
          </w:tcPr>
          <w:p>
            <w:pPr>
              <w:keepNext w:val="0"/>
              <w:keepLines w:val="0"/>
              <w:pageBreakBefore w:val="0"/>
              <w:widowControl/>
              <w:kinsoku w:val="0"/>
              <w:wordWrap/>
              <w:overflowPunct/>
              <w:topLinePunct w:val="0"/>
              <w:autoSpaceDE w:val="0"/>
              <w:autoSpaceDN w:val="0"/>
              <w:bidi w:val="0"/>
              <w:adjustRightInd w:val="0"/>
              <w:snapToGrid w:val="0"/>
              <w:ind w:left="0"/>
              <w:jc w:val="both"/>
              <w:textAlignment w:val="baseline"/>
              <w:rPr>
                <w:rFonts w:ascii="Arial"/>
                <w:sz w:val="21"/>
                <w:szCs w:val="21"/>
              </w:rPr>
            </w:pPr>
          </w:p>
        </w:tc>
        <w:tc>
          <w:tcPr>
            <w:tcW w:w="1126" w:type="dxa"/>
            <w:vMerge w:val="continue"/>
            <w:tcBorders>
              <w:top w:val="nil"/>
            </w:tcBorders>
            <w:vAlign w:val="top"/>
          </w:tcPr>
          <w:p>
            <w:pPr>
              <w:rPr>
                <w:rFonts w:ascii="Arial"/>
                <w:sz w:val="21"/>
                <w:szCs w:val="21"/>
              </w:rPr>
            </w:pPr>
          </w:p>
        </w:tc>
        <w:tc>
          <w:tcPr>
            <w:tcW w:w="4103" w:type="dxa"/>
            <w:vAlign w:val="top"/>
          </w:tcPr>
          <w:p>
            <w:pPr>
              <w:spacing w:before="29" w:line="227" w:lineRule="auto"/>
              <w:ind w:left="975"/>
              <w:rPr>
                <w:rFonts w:ascii="宋体" w:hAnsi="宋体" w:eastAsia="宋体" w:cs="宋体"/>
                <w:sz w:val="21"/>
                <w:szCs w:val="21"/>
              </w:rPr>
            </w:pPr>
            <w:r>
              <w:rPr>
                <w:rFonts w:ascii="宋体" w:hAnsi="宋体" w:eastAsia="宋体" w:cs="宋体"/>
                <w:spacing w:val="14"/>
                <w:sz w:val="21"/>
                <w:szCs w:val="21"/>
              </w:rPr>
              <w:t>解</w:t>
            </w:r>
            <w:r>
              <w:rPr>
                <w:rFonts w:ascii="宋体" w:hAnsi="宋体" w:eastAsia="宋体" w:cs="宋体"/>
                <w:spacing w:val="9"/>
                <w:sz w:val="21"/>
                <w:szCs w:val="21"/>
              </w:rPr>
              <w:t>家堡镇中圪垯村贾须栓家</w:t>
            </w:r>
          </w:p>
        </w:tc>
        <w:tc>
          <w:tcPr>
            <w:tcW w:w="1323" w:type="dxa"/>
            <w:vAlign w:val="top"/>
          </w:tcPr>
          <w:p>
            <w:pPr>
              <w:spacing w:before="61" w:line="197" w:lineRule="auto"/>
              <w:ind w:left="57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44</w:t>
            </w:r>
          </w:p>
        </w:tc>
        <w:tc>
          <w:tcPr>
            <w:tcW w:w="1326" w:type="dxa"/>
            <w:tcBorders>
              <w:right w:val="single" w:color="000000" w:sz="10" w:space="0"/>
            </w:tcBorders>
            <w:vAlign w:val="top"/>
          </w:tcPr>
          <w:p>
            <w:pPr>
              <w:spacing w:before="61" w:line="197" w:lineRule="auto"/>
              <w:ind w:left="58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w:t>
            </w:r>
            <w:r>
              <w:rPr>
                <w:rFonts w:ascii="Times New Roman" w:hAnsi="Times New Roman" w:eastAsia="Times New Roman" w:cs="Times New Roman"/>
                <w:spacing w:val="1"/>
                <w:sz w:val="21"/>
                <w:szCs w:val="21"/>
              </w:rPr>
              <w:t>7</w:t>
            </w:r>
          </w:p>
        </w:tc>
      </w:tr>
    </w:tbl>
    <w:p>
      <w:pPr>
        <w:rPr>
          <w:rFonts w:ascii="Arial"/>
          <w:color w:val="0000FF"/>
          <w:sz w:val="21"/>
          <w:highlight w:val="none"/>
        </w:rPr>
      </w:pP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(7)监测结果分析</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本工程输电线路与类比线路电压等级(均为500kV)、架线方式、分裂数(均为4 分裂)、 导线排列方式(均为水平排列)均相同，导线型号、子导线分裂间距类似，故线路下方噪声分布规律及趋势相似。通过上述类比监测结果，可以预计本工程输电线路运行后沿线噪声影响不大。</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63" w:name="_bookmark132"/>
      <w:bookmarkEnd w:id="163"/>
      <w:bookmarkStart w:id="164" w:name="_bookmark131"/>
      <w:bookmarkEnd w:id="164"/>
      <w:bookmarkStart w:id="165" w:name="_Toc17025"/>
      <w:r>
        <w:rPr>
          <w:rFonts w:hint="eastAsia" w:ascii="Times New Roman" w:hAnsi="Times New Roman" w:eastAsia="宋体" w:cs="Times New Roman"/>
          <w:snapToGrid/>
          <w:kern w:val="0"/>
          <w:sz w:val="24"/>
          <w:szCs w:val="24"/>
          <w:highlight w:val="none"/>
          <w:lang w:val="en-US" w:eastAsia="zh-CN" w:bidi="ar"/>
        </w:rPr>
        <w:t xml:space="preserve">6.2.3  </w:t>
      </w:r>
      <w:bookmarkEnd w:id="165"/>
      <w:r>
        <w:rPr>
          <w:rFonts w:hint="eastAsia" w:ascii="Times New Roman" w:hAnsi="Times New Roman" w:eastAsia="宋体" w:cs="Times New Roman"/>
          <w:snapToGrid/>
          <w:kern w:val="0"/>
          <w:sz w:val="24"/>
          <w:szCs w:val="24"/>
          <w:highlight w:val="none"/>
          <w:lang w:val="en-US" w:eastAsia="zh-CN" w:bidi="ar"/>
        </w:rPr>
        <w:t>自查表</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根据预测结果可知，本项目运行期产生的噪声符合《工业企业厂界噪声排放标准》 (GB12348-2008)2 类标准要求。本项目声环境影响评价自查表见表 6.2-4。</w:t>
      </w:r>
    </w:p>
    <w:p>
      <w:pPr>
        <w:spacing w:before="64" w:line="230" w:lineRule="auto"/>
        <w:ind w:left="2767"/>
        <w:rPr>
          <w:rFonts w:ascii="黑体" w:hAnsi="黑体" w:eastAsia="黑体" w:cs="黑体"/>
          <w:color w:val="auto"/>
          <w:spacing w:val="2"/>
          <w:sz w:val="20"/>
          <w:szCs w:val="20"/>
          <w:highlight w:val="none"/>
        </w:rPr>
      </w:pPr>
      <w:r>
        <w:rPr>
          <w:rFonts w:ascii="黑体" w:hAnsi="黑体" w:eastAsia="黑体" w:cs="黑体"/>
          <w:color w:val="auto"/>
          <w:spacing w:val="4"/>
          <w:sz w:val="20"/>
          <w:szCs w:val="20"/>
          <w:highlight w:val="none"/>
        </w:rPr>
        <w:t>表 6.2-4   本项目声环境影响评价自查</w:t>
      </w:r>
      <w:r>
        <w:rPr>
          <w:rFonts w:ascii="黑体" w:hAnsi="黑体" w:eastAsia="黑体" w:cs="黑体"/>
          <w:color w:val="auto"/>
          <w:spacing w:val="2"/>
          <w:sz w:val="20"/>
          <w:szCs w:val="20"/>
          <w:highlight w:val="none"/>
        </w:rPr>
        <w:t>表</w:t>
      </w:r>
    </w:p>
    <w:tbl>
      <w:tblPr>
        <w:tblStyle w:val="20"/>
        <w:tblW w:w="9174"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79"/>
        <w:gridCol w:w="1618"/>
        <w:gridCol w:w="943"/>
        <w:gridCol w:w="481"/>
        <w:gridCol w:w="299"/>
        <w:gridCol w:w="220"/>
        <w:gridCol w:w="1018"/>
        <w:gridCol w:w="648"/>
        <w:gridCol w:w="422"/>
        <w:gridCol w:w="521"/>
        <w:gridCol w:w="484"/>
        <w:gridCol w:w="222"/>
        <w:gridCol w:w="12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2697" w:type="dxa"/>
            <w:gridSpan w:val="2"/>
            <w:tcBorders>
              <w:top w:val="single" w:color="000000" w:sz="12" w:space="0"/>
              <w:left w:val="single" w:color="000000" w:sz="12" w:space="0"/>
              <w:bottom w:val="single" w:color="000000" w:sz="12"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工作内容</w:t>
            </w:r>
          </w:p>
        </w:tc>
        <w:tc>
          <w:tcPr>
            <w:tcW w:w="6477" w:type="dxa"/>
            <w:gridSpan w:val="11"/>
            <w:tcBorders>
              <w:top w:val="single" w:color="000000" w:sz="12" w:space="0"/>
              <w:left w:val="single" w:color="000000" w:sz="4" w:space="0"/>
              <w:bottom w:val="single" w:color="000000" w:sz="12"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自查项目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5" w:hRule="atLeast"/>
        </w:trPr>
        <w:tc>
          <w:tcPr>
            <w:tcW w:w="1079" w:type="dxa"/>
            <w:vMerge w:val="restart"/>
            <w:tcBorders>
              <w:top w:val="single" w:color="000000" w:sz="12" w:space="0"/>
              <w:left w:val="single" w:color="000000" w:sz="12"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评价等级与范围</w:t>
            </w:r>
          </w:p>
        </w:tc>
        <w:tc>
          <w:tcPr>
            <w:tcW w:w="1618" w:type="dxa"/>
            <w:tcBorders>
              <w:top w:val="single" w:color="000000" w:sz="12" w:space="0"/>
              <w:left w:val="single" w:color="000000" w:sz="4"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评价等级</w:t>
            </w:r>
          </w:p>
        </w:tc>
        <w:tc>
          <w:tcPr>
            <w:tcW w:w="6477" w:type="dxa"/>
            <w:gridSpan w:val="11"/>
            <w:tcBorders>
              <w:top w:val="single" w:color="000000" w:sz="12" w:space="0"/>
              <w:left w:val="single" w:color="000000" w:sz="4" w:space="0"/>
              <w:bottom w:val="single" w:color="000000" w:sz="4"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一级□</w:t>
            </w:r>
            <w:r>
              <w:rPr>
                <w:rFonts w:ascii="黑体" w:hAnsi="黑体" w:eastAsia="黑体" w:cs="黑体"/>
                <w:color w:val="auto"/>
                <w:spacing w:val="2"/>
                <w:sz w:val="20"/>
                <w:szCs w:val="20"/>
                <w:highlight w:val="none"/>
              </w:rPr>
              <w:tab/>
            </w:r>
            <w:r>
              <w:rPr>
                <w:rFonts w:ascii="黑体" w:hAnsi="黑体" w:eastAsia="黑体" w:cs="黑体"/>
                <w:color w:val="auto"/>
                <w:spacing w:val="2"/>
                <w:sz w:val="20"/>
                <w:szCs w:val="20"/>
                <w:highlight w:val="none"/>
              </w:rPr>
              <w:t>二级</w:t>
            </w:r>
            <w:r>
              <w:rPr>
                <w:rFonts w:ascii="黑体" w:hAnsi="黑体" w:eastAsia="黑体" w:cs="黑体"/>
                <w:color w:val="auto"/>
                <w:spacing w:val="2"/>
                <w:sz w:val="20"/>
                <w:szCs w:val="20"/>
                <w:highlight w:val="none"/>
              </w:rPr>
              <w:sym w:font="Wingdings 2" w:char="0052"/>
            </w:r>
            <w:r>
              <w:rPr>
                <w:rFonts w:ascii="黑体" w:hAnsi="黑体" w:eastAsia="黑体" w:cs="黑体"/>
                <w:color w:val="auto"/>
                <w:spacing w:val="2"/>
                <w:sz w:val="20"/>
                <w:szCs w:val="20"/>
                <w:highlight w:val="none"/>
              </w:rPr>
              <w:tab/>
            </w:r>
            <w:r>
              <w:rPr>
                <w:rFonts w:ascii="黑体" w:hAnsi="黑体" w:eastAsia="黑体" w:cs="黑体"/>
                <w:color w:val="auto"/>
                <w:spacing w:val="2"/>
                <w:sz w:val="20"/>
                <w:szCs w:val="20"/>
                <w:highlight w:val="none"/>
              </w:rPr>
              <w:t>三级</w:t>
            </w:r>
            <w:r>
              <w:rPr>
                <w:rFonts w:ascii="黑体" w:hAnsi="黑体" w:eastAsia="黑体" w:cs="黑体"/>
                <w:color w:val="auto"/>
                <w:spacing w:val="2"/>
                <w:sz w:val="20"/>
                <w:szCs w:val="20"/>
                <w:highlight w:val="none"/>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4" w:hRule="atLeast"/>
        </w:trPr>
        <w:tc>
          <w:tcPr>
            <w:tcW w:w="1079" w:type="dxa"/>
            <w:vMerge w:val="continue"/>
            <w:tcBorders>
              <w:top w:val="single" w:color="000000" w:sz="12"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p>
        </w:tc>
        <w:tc>
          <w:tcPr>
            <w:tcW w:w="1618" w:type="dxa"/>
            <w:tcBorders>
              <w:top w:val="single" w:color="000000" w:sz="4" w:space="0"/>
              <w:left w:val="single" w:color="000000" w:sz="4"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评价范围</w:t>
            </w:r>
          </w:p>
        </w:tc>
        <w:tc>
          <w:tcPr>
            <w:tcW w:w="6477" w:type="dxa"/>
            <w:gridSpan w:val="11"/>
            <w:tcBorders>
              <w:top w:val="single" w:color="000000" w:sz="4" w:space="0"/>
              <w:left w:val="single" w:color="000000" w:sz="4" w:space="0"/>
              <w:bottom w:val="single" w:color="000000" w:sz="4"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200m</w:t>
            </w:r>
            <w:r>
              <w:rPr>
                <w:rFonts w:ascii="黑体" w:hAnsi="黑体" w:eastAsia="黑体" w:cs="黑体"/>
                <w:color w:val="auto"/>
                <w:spacing w:val="2"/>
                <w:sz w:val="20"/>
                <w:szCs w:val="20"/>
                <w:highlight w:val="none"/>
                <w:lang w:eastAsia="zh-CN"/>
              </w:rPr>
              <w:sym w:font="Wingdings 2" w:char="0052"/>
            </w:r>
            <w:r>
              <w:rPr>
                <w:rFonts w:ascii="黑体" w:hAnsi="黑体" w:eastAsia="黑体" w:cs="黑体"/>
                <w:color w:val="auto"/>
                <w:spacing w:val="2"/>
                <w:sz w:val="20"/>
                <w:szCs w:val="20"/>
                <w:highlight w:val="none"/>
                <w:lang w:eastAsia="zh-CN"/>
              </w:rPr>
              <w:tab/>
            </w:r>
            <w:r>
              <w:rPr>
                <w:rFonts w:ascii="黑体" w:hAnsi="黑体" w:eastAsia="黑体" w:cs="黑体"/>
                <w:color w:val="auto"/>
                <w:spacing w:val="2"/>
                <w:sz w:val="20"/>
                <w:szCs w:val="20"/>
                <w:highlight w:val="none"/>
                <w:lang w:eastAsia="zh-CN"/>
              </w:rPr>
              <w:t>大于 200m□</w:t>
            </w:r>
            <w:r>
              <w:rPr>
                <w:rFonts w:ascii="黑体" w:hAnsi="黑体" w:eastAsia="黑体" w:cs="黑体"/>
                <w:color w:val="auto"/>
                <w:spacing w:val="2"/>
                <w:sz w:val="20"/>
                <w:szCs w:val="20"/>
                <w:highlight w:val="none"/>
                <w:lang w:eastAsia="zh-CN"/>
              </w:rPr>
              <w:tab/>
            </w:r>
            <w:r>
              <w:rPr>
                <w:rFonts w:ascii="黑体" w:hAnsi="黑体" w:eastAsia="黑体" w:cs="黑体"/>
                <w:color w:val="auto"/>
                <w:spacing w:val="2"/>
                <w:sz w:val="20"/>
                <w:szCs w:val="20"/>
                <w:highlight w:val="none"/>
                <w:lang w:eastAsia="zh-CN"/>
              </w:rPr>
              <w:t>小于 200m□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2" w:hRule="atLeast"/>
        </w:trPr>
        <w:tc>
          <w:tcPr>
            <w:tcW w:w="1079" w:type="dxa"/>
            <w:tcBorders>
              <w:top w:val="single" w:color="000000" w:sz="4" w:space="0"/>
              <w:left w:val="single" w:color="000000" w:sz="12"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评价因子</w:t>
            </w:r>
          </w:p>
        </w:tc>
        <w:tc>
          <w:tcPr>
            <w:tcW w:w="1618" w:type="dxa"/>
            <w:tcBorders>
              <w:top w:val="single" w:color="000000" w:sz="4" w:space="0"/>
              <w:left w:val="single" w:color="000000" w:sz="4"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评价因子</w:t>
            </w:r>
          </w:p>
        </w:tc>
        <w:tc>
          <w:tcPr>
            <w:tcW w:w="6477" w:type="dxa"/>
            <w:gridSpan w:val="11"/>
            <w:tcBorders>
              <w:top w:val="single" w:color="000000" w:sz="4" w:space="0"/>
              <w:left w:val="single" w:color="000000" w:sz="4" w:space="0"/>
              <w:bottom w:val="single" w:color="000000" w:sz="4"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等效连续A声级</w:t>
            </w:r>
            <w:r>
              <w:rPr>
                <w:rFonts w:ascii="黑体" w:hAnsi="黑体" w:eastAsia="黑体" w:cs="黑体"/>
                <w:color w:val="auto"/>
                <w:spacing w:val="2"/>
                <w:sz w:val="20"/>
                <w:szCs w:val="20"/>
                <w:highlight w:val="none"/>
                <w:lang w:eastAsia="zh-CN"/>
              </w:rPr>
              <w:sym w:font="Wingdings 2" w:char="0052"/>
            </w:r>
            <w:r>
              <w:rPr>
                <w:rFonts w:ascii="黑体" w:hAnsi="黑体" w:eastAsia="黑体" w:cs="黑体"/>
                <w:color w:val="auto"/>
                <w:spacing w:val="2"/>
                <w:sz w:val="20"/>
                <w:szCs w:val="20"/>
                <w:highlight w:val="none"/>
                <w:lang w:eastAsia="zh-CN"/>
              </w:rPr>
              <w:t xml:space="preserve">      最大A声级□    计权等效连续感觉噪声级□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0" w:hRule="atLeast"/>
        </w:trPr>
        <w:tc>
          <w:tcPr>
            <w:tcW w:w="1079" w:type="dxa"/>
            <w:tcBorders>
              <w:top w:val="single" w:color="000000" w:sz="4" w:space="0"/>
              <w:left w:val="single" w:color="000000" w:sz="12"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评价标准</w:t>
            </w:r>
          </w:p>
        </w:tc>
        <w:tc>
          <w:tcPr>
            <w:tcW w:w="1618" w:type="dxa"/>
            <w:tcBorders>
              <w:top w:val="single" w:color="000000" w:sz="4" w:space="0"/>
              <w:left w:val="single" w:color="000000" w:sz="4"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评价标准</w:t>
            </w:r>
          </w:p>
        </w:tc>
        <w:tc>
          <w:tcPr>
            <w:tcW w:w="6477" w:type="dxa"/>
            <w:gridSpan w:val="11"/>
            <w:tcBorders>
              <w:top w:val="single" w:color="000000" w:sz="4" w:space="0"/>
              <w:left w:val="single" w:color="000000" w:sz="4" w:space="0"/>
              <w:bottom w:val="single" w:color="000000" w:sz="4"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国家标准</w:t>
            </w:r>
            <w:r>
              <w:rPr>
                <w:rFonts w:ascii="黑体" w:hAnsi="黑体" w:eastAsia="黑体" w:cs="黑体"/>
                <w:color w:val="auto"/>
                <w:spacing w:val="2"/>
                <w:sz w:val="20"/>
                <w:szCs w:val="20"/>
                <w:highlight w:val="none"/>
                <w:lang w:eastAsia="zh-CN"/>
              </w:rPr>
              <w:sym w:font="Wingdings 2" w:char="0052"/>
            </w:r>
            <w:r>
              <w:rPr>
                <w:rFonts w:ascii="黑体" w:hAnsi="黑体" w:eastAsia="黑体" w:cs="黑体"/>
                <w:color w:val="auto"/>
                <w:spacing w:val="2"/>
                <w:sz w:val="20"/>
                <w:szCs w:val="20"/>
                <w:highlight w:val="none"/>
                <w:lang w:eastAsia="zh-CN"/>
              </w:rPr>
              <w:t xml:space="preserve">            </w:t>
            </w:r>
            <w:r>
              <w:rPr>
                <w:rFonts w:hint="eastAsia" w:ascii="黑体" w:hAnsi="黑体" w:eastAsia="黑体" w:cs="黑体"/>
                <w:color w:val="auto"/>
                <w:spacing w:val="2"/>
                <w:sz w:val="20"/>
                <w:szCs w:val="20"/>
                <w:highlight w:val="none"/>
                <w:lang w:eastAsia="zh-CN"/>
              </w:rPr>
              <w:t xml:space="preserve">    </w:t>
            </w:r>
            <w:r>
              <w:rPr>
                <w:rFonts w:ascii="黑体" w:hAnsi="黑体" w:eastAsia="黑体" w:cs="黑体"/>
                <w:color w:val="auto"/>
                <w:spacing w:val="2"/>
                <w:sz w:val="20"/>
                <w:szCs w:val="20"/>
                <w:highlight w:val="none"/>
                <w:lang w:eastAsia="zh-CN"/>
              </w:rPr>
              <w:t xml:space="preserve">地方标准□     </w:t>
            </w:r>
            <w:r>
              <w:rPr>
                <w:rFonts w:hint="eastAsia" w:ascii="黑体" w:hAnsi="黑体" w:eastAsia="黑体" w:cs="黑体"/>
                <w:color w:val="auto"/>
                <w:spacing w:val="2"/>
                <w:sz w:val="20"/>
                <w:szCs w:val="20"/>
                <w:highlight w:val="none"/>
                <w:lang w:eastAsia="zh-CN"/>
              </w:rPr>
              <w:t xml:space="preserve">      </w:t>
            </w:r>
            <w:r>
              <w:rPr>
                <w:rFonts w:ascii="黑体" w:hAnsi="黑体" w:eastAsia="黑体" w:cs="黑体"/>
                <w:color w:val="auto"/>
                <w:spacing w:val="2"/>
                <w:sz w:val="20"/>
                <w:szCs w:val="20"/>
                <w:highlight w:val="none"/>
                <w:lang w:eastAsia="zh-CN"/>
              </w:rPr>
              <w:t xml:space="preserve">  </w:t>
            </w:r>
            <w:r>
              <w:rPr>
                <w:rFonts w:hint="eastAsia" w:ascii="黑体" w:hAnsi="黑体" w:eastAsia="黑体" w:cs="黑体"/>
                <w:color w:val="auto"/>
                <w:spacing w:val="2"/>
                <w:sz w:val="20"/>
                <w:szCs w:val="20"/>
                <w:highlight w:val="none"/>
                <w:lang w:eastAsia="zh-CN"/>
              </w:rPr>
              <w:t xml:space="preserve"> </w:t>
            </w:r>
            <w:r>
              <w:rPr>
                <w:rFonts w:ascii="黑体" w:hAnsi="黑体" w:eastAsia="黑体" w:cs="黑体"/>
                <w:color w:val="auto"/>
                <w:spacing w:val="2"/>
                <w:sz w:val="20"/>
                <w:szCs w:val="20"/>
                <w:highlight w:val="none"/>
                <w:lang w:eastAsia="zh-CN"/>
              </w:rPr>
              <w:t xml:space="preserve"> 国外标准□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7" w:hRule="atLeast"/>
        </w:trPr>
        <w:tc>
          <w:tcPr>
            <w:tcW w:w="1079" w:type="dxa"/>
            <w:vMerge w:val="restart"/>
            <w:tcBorders>
              <w:top w:val="single" w:color="000000" w:sz="4"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现状评价</w:t>
            </w:r>
          </w:p>
        </w:tc>
        <w:tc>
          <w:tcPr>
            <w:tcW w:w="16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环境功能区</w:t>
            </w:r>
          </w:p>
        </w:tc>
        <w:tc>
          <w:tcPr>
            <w:tcW w:w="943"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0 类区□</w:t>
            </w:r>
          </w:p>
        </w:tc>
        <w:tc>
          <w:tcPr>
            <w:tcW w:w="1000" w:type="dxa"/>
            <w:gridSpan w:val="3"/>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1 类区</w:t>
            </w:r>
            <w:r>
              <w:rPr>
                <w:rFonts w:ascii="黑体" w:hAnsi="黑体" w:eastAsia="黑体" w:cs="黑体"/>
                <w:color w:val="auto"/>
                <w:spacing w:val="2"/>
                <w:sz w:val="20"/>
                <w:szCs w:val="20"/>
                <w:highlight w:val="none"/>
              </w:rPr>
              <w:sym w:font="Wingdings 2" w:char="0052"/>
            </w:r>
          </w:p>
        </w:tc>
        <w:tc>
          <w:tcPr>
            <w:tcW w:w="10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2 类区</w:t>
            </w:r>
            <w:r>
              <w:rPr>
                <w:rFonts w:ascii="黑体" w:hAnsi="黑体" w:eastAsia="黑体" w:cs="黑体"/>
                <w:color w:val="auto"/>
                <w:spacing w:val="2"/>
                <w:sz w:val="20"/>
                <w:szCs w:val="20"/>
                <w:highlight w:val="none"/>
              </w:rPr>
              <w:sym w:font="Wingdings 2" w:char="0052"/>
            </w:r>
          </w:p>
        </w:tc>
        <w:tc>
          <w:tcPr>
            <w:tcW w:w="1070" w:type="dxa"/>
            <w:gridSpan w:val="2"/>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3 类区□</w:t>
            </w:r>
          </w:p>
        </w:tc>
        <w:tc>
          <w:tcPr>
            <w:tcW w:w="1227" w:type="dxa"/>
            <w:gridSpan w:val="3"/>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4a 类区□</w:t>
            </w:r>
          </w:p>
        </w:tc>
        <w:tc>
          <w:tcPr>
            <w:tcW w:w="1219" w:type="dxa"/>
            <w:tcBorders>
              <w:top w:val="single" w:color="000000" w:sz="4" w:space="0"/>
              <w:left w:val="single" w:color="000000" w:sz="4" w:space="0"/>
              <w:bottom w:val="single" w:color="000000" w:sz="4" w:space="0"/>
              <w:right w:val="single" w:color="000000" w:sz="12"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4b 类区□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79" w:type="dxa"/>
            <w:vMerge w:val="continue"/>
            <w:tcBorders>
              <w:top w:val="single" w:color="000000" w:sz="4"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p>
        </w:tc>
        <w:tc>
          <w:tcPr>
            <w:tcW w:w="16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评价年度</w:t>
            </w:r>
          </w:p>
        </w:tc>
        <w:tc>
          <w:tcPr>
            <w:tcW w:w="1424" w:type="dxa"/>
            <w:gridSpan w:val="2"/>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初期□</w:t>
            </w:r>
          </w:p>
        </w:tc>
        <w:tc>
          <w:tcPr>
            <w:tcW w:w="1537" w:type="dxa"/>
            <w:gridSpan w:val="3"/>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近期□</w:t>
            </w:r>
          </w:p>
        </w:tc>
        <w:tc>
          <w:tcPr>
            <w:tcW w:w="1591" w:type="dxa"/>
            <w:gridSpan w:val="3"/>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中期□</w:t>
            </w:r>
          </w:p>
        </w:tc>
        <w:tc>
          <w:tcPr>
            <w:tcW w:w="1925" w:type="dxa"/>
            <w:gridSpan w:val="3"/>
            <w:tcBorders>
              <w:top w:val="single" w:color="000000" w:sz="4" w:space="0"/>
              <w:left w:val="single" w:color="000000" w:sz="4" w:space="0"/>
              <w:bottom w:val="single" w:color="000000" w:sz="4" w:space="0"/>
              <w:right w:val="single" w:color="000000" w:sz="12"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远期□</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2" w:hRule="atLeast"/>
        </w:trPr>
        <w:tc>
          <w:tcPr>
            <w:tcW w:w="1079" w:type="dxa"/>
            <w:vMerge w:val="continue"/>
            <w:tcBorders>
              <w:top w:val="single" w:color="000000" w:sz="4"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p>
        </w:tc>
        <w:tc>
          <w:tcPr>
            <w:tcW w:w="16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现状调查方法</w:t>
            </w:r>
          </w:p>
        </w:tc>
        <w:tc>
          <w:tcPr>
            <w:tcW w:w="6477" w:type="dxa"/>
            <w:gridSpan w:val="11"/>
            <w:tcBorders>
              <w:top w:val="single" w:color="000000" w:sz="4" w:space="0"/>
              <w:left w:val="single" w:color="000000" w:sz="4" w:space="0"/>
              <w:bottom w:val="single" w:color="000000" w:sz="4" w:space="0"/>
              <w:right w:val="single" w:color="000000" w:sz="12" w:space="0"/>
            </w:tcBorders>
            <w:vAlign w:val="center"/>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现场实测法</w:t>
            </w:r>
            <w:r>
              <w:rPr>
                <w:rFonts w:ascii="黑体" w:hAnsi="黑体" w:eastAsia="黑体" w:cs="黑体"/>
                <w:color w:val="auto"/>
                <w:spacing w:val="2"/>
                <w:sz w:val="20"/>
                <w:szCs w:val="20"/>
                <w:highlight w:val="none"/>
                <w:lang w:eastAsia="zh-CN"/>
              </w:rPr>
              <w:sym w:font="Wingdings 2" w:char="0052"/>
            </w:r>
            <w:r>
              <w:rPr>
                <w:rFonts w:ascii="黑体" w:hAnsi="黑体" w:eastAsia="黑体" w:cs="黑体"/>
                <w:color w:val="auto"/>
                <w:spacing w:val="2"/>
                <w:sz w:val="20"/>
                <w:szCs w:val="20"/>
                <w:highlight w:val="none"/>
                <w:lang w:eastAsia="zh-CN"/>
              </w:rPr>
              <w:t xml:space="preserve">     现场实测加模型计算法□    收集资料□</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79" w:type="dxa"/>
            <w:vMerge w:val="continue"/>
            <w:tcBorders>
              <w:top w:val="single" w:color="000000" w:sz="4"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eastAsia="zh-CN"/>
              </w:rPr>
            </w:pPr>
          </w:p>
        </w:tc>
        <w:tc>
          <w:tcPr>
            <w:tcW w:w="16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现状评价</w:t>
            </w:r>
          </w:p>
        </w:tc>
        <w:tc>
          <w:tcPr>
            <w:tcW w:w="1723" w:type="dxa"/>
            <w:gridSpan w:val="3"/>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达标百分比</w:t>
            </w:r>
          </w:p>
        </w:tc>
        <w:tc>
          <w:tcPr>
            <w:tcW w:w="4754" w:type="dxa"/>
            <w:gridSpan w:val="8"/>
            <w:tcBorders>
              <w:top w:val="single" w:color="000000" w:sz="4" w:space="0"/>
              <w:left w:val="single" w:color="000000" w:sz="4" w:space="0"/>
              <w:bottom w:val="single" w:color="000000" w:sz="4" w:space="0"/>
              <w:right w:val="single" w:color="000000" w:sz="12" w:space="0"/>
            </w:tcBorders>
            <w:vAlign w:val="center"/>
          </w:tcPr>
          <w:p>
            <w:pPr>
              <w:pStyle w:val="21"/>
              <w:ind w:left="0" w:leftChars="0" w:firstLine="0" w:firstLineChars="0"/>
              <w:rPr>
                <w:rFonts w:hint="default" w:ascii="黑体" w:hAnsi="黑体" w:eastAsia="黑体" w:cs="黑体"/>
                <w:color w:val="auto"/>
                <w:spacing w:val="2"/>
                <w:sz w:val="20"/>
                <w:szCs w:val="20"/>
                <w:highlight w:val="none"/>
                <w:lang w:val="en-US" w:eastAsia="zh-CN"/>
              </w:rPr>
            </w:pPr>
            <w:r>
              <w:rPr>
                <w:rFonts w:hint="eastAsia" w:ascii="黑体" w:hAnsi="黑体" w:eastAsia="黑体" w:cs="黑体"/>
                <w:color w:val="auto"/>
                <w:spacing w:val="2"/>
                <w:sz w:val="20"/>
                <w:szCs w:val="20"/>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1" w:hRule="atLeast"/>
        </w:trPr>
        <w:tc>
          <w:tcPr>
            <w:tcW w:w="1079" w:type="dxa"/>
            <w:tcBorders>
              <w:top w:val="single" w:color="000000" w:sz="4" w:space="0"/>
              <w:left w:val="single" w:color="000000" w:sz="12"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噪声源调查</w:t>
            </w:r>
          </w:p>
        </w:tc>
        <w:tc>
          <w:tcPr>
            <w:tcW w:w="1618" w:type="dxa"/>
            <w:tcBorders>
              <w:top w:val="single" w:color="000000" w:sz="4" w:space="0"/>
              <w:left w:val="single" w:color="000000" w:sz="4"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噪声源调查方法</w:t>
            </w:r>
          </w:p>
        </w:tc>
        <w:tc>
          <w:tcPr>
            <w:tcW w:w="6477" w:type="dxa"/>
            <w:gridSpan w:val="11"/>
            <w:tcBorders>
              <w:top w:val="single" w:color="000000" w:sz="4" w:space="0"/>
              <w:left w:val="single" w:color="000000" w:sz="4" w:space="0"/>
              <w:bottom w:val="single" w:color="000000" w:sz="4"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现场实测</w:t>
            </w:r>
            <w:r>
              <w:rPr>
                <w:rFonts w:ascii="黑体" w:hAnsi="黑体" w:eastAsia="黑体" w:cs="黑体"/>
                <w:color w:val="auto"/>
                <w:spacing w:val="2"/>
                <w:sz w:val="20"/>
                <w:szCs w:val="20"/>
                <w:highlight w:val="none"/>
                <w:lang w:eastAsia="zh-CN"/>
              </w:rPr>
              <w:sym w:font="Wingdings 2" w:char="0052"/>
            </w:r>
            <w:r>
              <w:rPr>
                <w:rFonts w:ascii="黑体" w:hAnsi="黑体" w:eastAsia="黑体" w:cs="黑体"/>
                <w:color w:val="auto"/>
                <w:spacing w:val="2"/>
                <w:sz w:val="20"/>
                <w:szCs w:val="20"/>
                <w:highlight w:val="none"/>
                <w:lang w:eastAsia="zh-CN"/>
              </w:rPr>
              <w:t xml:space="preserve">                 已有资料□               研究成果□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1" w:hRule="atLeast"/>
        </w:trPr>
        <w:tc>
          <w:tcPr>
            <w:tcW w:w="1079" w:type="dxa"/>
            <w:vMerge w:val="restart"/>
            <w:tcBorders>
              <w:top w:val="single" w:color="000000" w:sz="4"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声环境影响预测与评价</w:t>
            </w:r>
          </w:p>
        </w:tc>
        <w:tc>
          <w:tcPr>
            <w:tcW w:w="16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预测模型</w:t>
            </w:r>
          </w:p>
        </w:tc>
        <w:tc>
          <w:tcPr>
            <w:tcW w:w="3609" w:type="dxa"/>
            <w:gridSpan w:val="6"/>
            <w:tcBorders>
              <w:top w:val="single" w:color="000000" w:sz="4" w:space="0"/>
              <w:left w:val="single" w:color="000000" w:sz="4" w:space="0"/>
              <w:bottom w:val="single" w:color="000000" w:sz="4" w:space="0"/>
              <w:right w:val="nil"/>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导则推荐模型</w:t>
            </w:r>
            <w:r>
              <w:rPr>
                <w:rFonts w:ascii="黑体" w:hAnsi="黑体" w:eastAsia="黑体" w:cs="黑体"/>
                <w:color w:val="auto"/>
                <w:spacing w:val="2"/>
                <w:sz w:val="20"/>
                <w:szCs w:val="20"/>
                <w:highlight w:val="none"/>
              </w:rPr>
              <w:sym w:font="Wingdings 2" w:char="0052"/>
            </w:r>
          </w:p>
        </w:tc>
        <w:tc>
          <w:tcPr>
            <w:tcW w:w="2868" w:type="dxa"/>
            <w:gridSpan w:val="5"/>
            <w:tcBorders>
              <w:top w:val="single" w:color="000000" w:sz="4" w:space="0"/>
              <w:left w:val="nil"/>
              <w:bottom w:val="single" w:color="000000" w:sz="4"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 xml:space="preserve">其他□ </w:t>
            </w:r>
            <w:r>
              <w:rPr>
                <w:rFonts w:ascii="黑体" w:hAnsi="黑体" w:eastAsia="黑体" w:cs="黑体"/>
                <w:color w:val="auto"/>
                <w:spacing w:val="2"/>
                <w:sz w:val="20"/>
                <w:szCs w:val="20"/>
                <w:highlight w:val="none"/>
              </w:rPr>
              <w:tab/>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79" w:type="dxa"/>
            <w:vMerge w:val="continue"/>
            <w:tcBorders>
              <w:top w:val="single" w:color="000000" w:sz="4"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p>
        </w:tc>
        <w:tc>
          <w:tcPr>
            <w:tcW w:w="16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预测范围</w:t>
            </w:r>
          </w:p>
        </w:tc>
        <w:tc>
          <w:tcPr>
            <w:tcW w:w="6477" w:type="dxa"/>
            <w:gridSpan w:val="11"/>
            <w:tcBorders>
              <w:top w:val="single" w:color="000000" w:sz="4" w:space="0"/>
              <w:left w:val="single" w:color="000000" w:sz="4" w:space="0"/>
              <w:bottom w:val="single" w:color="000000" w:sz="4" w:space="0"/>
              <w:right w:val="single" w:color="000000" w:sz="12" w:space="0"/>
            </w:tcBorders>
            <w:vAlign w:val="center"/>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200 m</w:t>
            </w:r>
            <w:r>
              <w:rPr>
                <w:rFonts w:ascii="黑体" w:hAnsi="黑体" w:eastAsia="黑体" w:cs="黑体"/>
                <w:color w:val="auto"/>
                <w:spacing w:val="2"/>
                <w:sz w:val="20"/>
                <w:szCs w:val="20"/>
                <w:highlight w:val="none"/>
                <w:lang w:eastAsia="zh-CN"/>
              </w:rPr>
              <w:sym w:font="Wingdings 2" w:char="0052"/>
            </w:r>
            <w:r>
              <w:rPr>
                <w:rFonts w:ascii="黑体" w:hAnsi="黑体" w:eastAsia="黑体" w:cs="黑体"/>
                <w:color w:val="auto"/>
                <w:spacing w:val="2"/>
                <w:sz w:val="20"/>
                <w:szCs w:val="20"/>
                <w:highlight w:val="none"/>
                <w:lang w:eastAsia="zh-CN"/>
              </w:rPr>
              <w:t xml:space="preserve">          大于200 m□           小于200 m</w:t>
            </w:r>
            <w:r>
              <w:rPr>
                <w:rFonts w:ascii="黑体" w:hAnsi="黑体" w:eastAsia="黑体" w:cs="黑体"/>
                <w:color w:val="auto"/>
                <w:spacing w:val="2"/>
                <w:sz w:val="20"/>
                <w:szCs w:val="20"/>
                <w:highlight w:val="none"/>
                <w:lang w:eastAsia="zh-CN"/>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79" w:type="dxa"/>
            <w:vMerge w:val="continue"/>
            <w:tcBorders>
              <w:top w:val="single" w:color="000000" w:sz="4"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eastAsia="zh-CN"/>
              </w:rPr>
            </w:pPr>
          </w:p>
        </w:tc>
        <w:tc>
          <w:tcPr>
            <w:tcW w:w="16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预测因子</w:t>
            </w:r>
          </w:p>
        </w:tc>
        <w:tc>
          <w:tcPr>
            <w:tcW w:w="1723" w:type="dxa"/>
            <w:gridSpan w:val="3"/>
            <w:tcBorders>
              <w:top w:val="single" w:color="000000" w:sz="4" w:space="0"/>
              <w:left w:val="single" w:color="000000" w:sz="4" w:space="0"/>
              <w:bottom w:val="single" w:color="000000" w:sz="4" w:space="0"/>
              <w:right w:val="nil"/>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等效连续A声级</w:t>
            </w:r>
            <w:r>
              <w:rPr>
                <w:rFonts w:ascii="黑体" w:hAnsi="黑体" w:eastAsia="黑体" w:cs="黑体"/>
                <w:color w:val="auto"/>
                <w:spacing w:val="2"/>
                <w:sz w:val="20"/>
                <w:szCs w:val="20"/>
                <w:highlight w:val="none"/>
              </w:rPr>
              <w:sym w:font="Wingdings 2" w:char="0052"/>
            </w:r>
          </w:p>
        </w:tc>
        <w:tc>
          <w:tcPr>
            <w:tcW w:w="1886" w:type="dxa"/>
            <w:gridSpan w:val="3"/>
            <w:tcBorders>
              <w:top w:val="single" w:color="000000" w:sz="4" w:space="0"/>
              <w:left w:val="nil"/>
              <w:bottom w:val="single" w:color="000000" w:sz="4" w:space="0"/>
              <w:right w:val="nil"/>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最大A声级□</w:t>
            </w:r>
          </w:p>
        </w:tc>
        <w:tc>
          <w:tcPr>
            <w:tcW w:w="2868" w:type="dxa"/>
            <w:gridSpan w:val="5"/>
            <w:tcBorders>
              <w:top w:val="single" w:color="000000" w:sz="4" w:space="0"/>
              <w:left w:val="nil"/>
              <w:bottom w:val="single" w:color="000000" w:sz="4"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计权等效连续感觉噪声级□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0" w:hRule="atLeast"/>
        </w:trPr>
        <w:tc>
          <w:tcPr>
            <w:tcW w:w="1079" w:type="dxa"/>
            <w:vMerge w:val="continue"/>
            <w:tcBorders>
              <w:top w:val="single" w:color="000000" w:sz="4"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eastAsia="zh-CN"/>
              </w:rPr>
            </w:pPr>
          </w:p>
        </w:tc>
        <w:tc>
          <w:tcPr>
            <w:tcW w:w="16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厂界噪声贡献值</w:t>
            </w:r>
          </w:p>
        </w:tc>
        <w:tc>
          <w:tcPr>
            <w:tcW w:w="6477" w:type="dxa"/>
            <w:gridSpan w:val="11"/>
            <w:tcBorders>
              <w:top w:val="single" w:color="000000" w:sz="4" w:space="0"/>
              <w:left w:val="single" w:color="000000" w:sz="4" w:space="0"/>
              <w:bottom w:val="single" w:color="000000" w:sz="4" w:space="0"/>
              <w:right w:val="single" w:color="000000" w:sz="12"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达标</w:t>
            </w:r>
            <w:r>
              <w:rPr>
                <w:rFonts w:ascii="黑体" w:hAnsi="黑体" w:eastAsia="黑体" w:cs="黑体"/>
                <w:color w:val="auto"/>
                <w:spacing w:val="2"/>
                <w:sz w:val="20"/>
                <w:szCs w:val="20"/>
                <w:highlight w:val="none"/>
              </w:rPr>
              <w:sym w:font="Wingdings 2" w:char="0052"/>
            </w:r>
            <w:r>
              <w:rPr>
                <w:rFonts w:ascii="黑体" w:hAnsi="黑体" w:eastAsia="黑体" w:cs="黑体"/>
                <w:color w:val="auto"/>
                <w:spacing w:val="2"/>
                <w:sz w:val="20"/>
                <w:szCs w:val="20"/>
                <w:highlight w:val="none"/>
                <w:lang w:eastAsia="zh-CN"/>
              </w:rPr>
              <w:t xml:space="preserve">                           </w:t>
            </w:r>
            <w:r>
              <w:rPr>
                <w:rFonts w:ascii="黑体" w:hAnsi="黑体" w:eastAsia="黑体" w:cs="黑体"/>
                <w:color w:val="auto"/>
                <w:spacing w:val="2"/>
                <w:sz w:val="20"/>
                <w:szCs w:val="20"/>
                <w:highlight w:val="none"/>
              </w:rPr>
              <w:t>不达标□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7" w:hRule="atLeast"/>
        </w:trPr>
        <w:tc>
          <w:tcPr>
            <w:tcW w:w="1079" w:type="dxa"/>
            <w:vMerge w:val="continue"/>
            <w:tcBorders>
              <w:top w:val="single" w:color="000000" w:sz="4"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p>
        </w:tc>
        <w:tc>
          <w:tcPr>
            <w:tcW w:w="16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声环境保护目标处噪声值</w:t>
            </w:r>
          </w:p>
        </w:tc>
        <w:tc>
          <w:tcPr>
            <w:tcW w:w="6477" w:type="dxa"/>
            <w:gridSpan w:val="11"/>
            <w:tcBorders>
              <w:top w:val="single" w:color="000000" w:sz="4" w:space="0"/>
              <w:left w:val="single" w:color="000000" w:sz="4" w:space="0"/>
              <w:bottom w:val="single" w:color="000000" w:sz="4" w:space="0"/>
              <w:right w:val="single" w:color="000000" w:sz="12"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达标</w:t>
            </w:r>
            <w:r>
              <w:rPr>
                <w:rFonts w:ascii="黑体" w:hAnsi="黑体" w:eastAsia="黑体" w:cs="黑体"/>
                <w:color w:val="auto"/>
                <w:spacing w:val="2"/>
                <w:sz w:val="20"/>
                <w:szCs w:val="20"/>
                <w:highlight w:val="none"/>
              </w:rPr>
              <w:sym w:font="Wingdings 2" w:char="0052"/>
            </w:r>
            <w:r>
              <w:rPr>
                <w:rFonts w:ascii="黑体" w:hAnsi="黑体" w:eastAsia="黑体" w:cs="黑体"/>
                <w:color w:val="auto"/>
                <w:spacing w:val="2"/>
                <w:sz w:val="20"/>
                <w:szCs w:val="20"/>
                <w:highlight w:val="none"/>
                <w:lang w:eastAsia="zh-CN"/>
              </w:rPr>
              <w:t xml:space="preserve">                            </w:t>
            </w:r>
            <w:r>
              <w:rPr>
                <w:rFonts w:ascii="黑体" w:hAnsi="黑体" w:eastAsia="黑体" w:cs="黑体"/>
                <w:color w:val="auto"/>
                <w:spacing w:val="2"/>
                <w:sz w:val="20"/>
                <w:szCs w:val="20"/>
                <w:highlight w:val="none"/>
              </w:rPr>
              <w:t>不达标□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7" w:hRule="atLeast"/>
        </w:trPr>
        <w:tc>
          <w:tcPr>
            <w:tcW w:w="1079" w:type="dxa"/>
            <w:vMerge w:val="restart"/>
            <w:tcBorders>
              <w:top w:val="single" w:color="000000" w:sz="4"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环境监测计划</w:t>
            </w:r>
          </w:p>
        </w:tc>
        <w:tc>
          <w:tcPr>
            <w:tcW w:w="16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排放监测</w:t>
            </w:r>
          </w:p>
        </w:tc>
        <w:tc>
          <w:tcPr>
            <w:tcW w:w="6477" w:type="dxa"/>
            <w:gridSpan w:val="11"/>
            <w:tcBorders>
              <w:top w:val="single" w:color="000000" w:sz="4" w:space="0"/>
              <w:left w:val="single" w:color="000000" w:sz="4" w:space="0"/>
              <w:bottom w:val="single" w:color="000000" w:sz="4"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厂界监测</w:t>
            </w:r>
            <w:r>
              <w:rPr>
                <w:rFonts w:ascii="黑体" w:hAnsi="黑体" w:eastAsia="黑体" w:cs="黑体"/>
                <w:color w:val="auto"/>
                <w:spacing w:val="2"/>
                <w:sz w:val="20"/>
                <w:szCs w:val="20"/>
                <w:highlight w:val="none"/>
                <w:lang w:eastAsia="zh-CN"/>
              </w:rPr>
              <w:sym w:font="Wingdings 2" w:char="0052"/>
            </w:r>
            <w:r>
              <w:rPr>
                <w:rFonts w:ascii="黑体" w:hAnsi="黑体" w:eastAsia="黑体" w:cs="黑体"/>
                <w:color w:val="auto"/>
                <w:spacing w:val="2"/>
                <w:sz w:val="20"/>
                <w:szCs w:val="20"/>
                <w:highlight w:val="none"/>
                <w:lang w:eastAsia="zh-CN"/>
              </w:rPr>
              <w:tab/>
            </w:r>
            <w:r>
              <w:rPr>
                <w:rFonts w:ascii="黑体" w:hAnsi="黑体" w:eastAsia="黑体" w:cs="黑体"/>
                <w:color w:val="auto"/>
                <w:spacing w:val="2"/>
                <w:sz w:val="20"/>
                <w:szCs w:val="20"/>
                <w:highlight w:val="none"/>
                <w:lang w:eastAsia="zh-CN"/>
              </w:rPr>
              <w:t>固定位置监测□    自动监测□   手动监测□   无监测□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8" w:hRule="atLeast"/>
        </w:trPr>
        <w:tc>
          <w:tcPr>
            <w:tcW w:w="1079" w:type="dxa"/>
            <w:vMerge w:val="continue"/>
            <w:tcBorders>
              <w:top w:val="single" w:color="000000" w:sz="4" w:space="0"/>
              <w:left w:val="single" w:color="000000" w:sz="12"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eastAsia="zh-CN"/>
              </w:rPr>
            </w:pPr>
          </w:p>
        </w:tc>
        <w:tc>
          <w:tcPr>
            <w:tcW w:w="1618" w:type="dxa"/>
            <w:tcBorders>
              <w:top w:val="single" w:color="000000" w:sz="4" w:space="0"/>
              <w:left w:val="single" w:color="000000" w:sz="4" w:space="0"/>
              <w:bottom w:val="single" w:color="000000" w:sz="4" w:space="0"/>
              <w:right w:val="single" w:color="000000" w:sz="4" w:space="0"/>
            </w:tcBorders>
            <w:vAlign w:val="center"/>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声环境保护目标处噪声监测</w:t>
            </w:r>
          </w:p>
        </w:tc>
        <w:tc>
          <w:tcPr>
            <w:tcW w:w="2961" w:type="dxa"/>
            <w:gridSpan w:val="5"/>
            <w:tcBorders>
              <w:top w:val="single" w:color="000000" w:sz="4" w:space="0"/>
              <w:left w:val="single" w:color="000000" w:sz="4"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监测因子：（</w:t>
            </w:r>
            <w:r>
              <w:rPr>
                <w:rFonts w:ascii="黑体" w:hAnsi="黑体" w:eastAsia="黑体" w:cs="黑体"/>
                <w:color w:val="auto"/>
                <w:spacing w:val="2"/>
                <w:sz w:val="20"/>
                <w:szCs w:val="20"/>
                <w:highlight w:val="none"/>
                <w:lang w:eastAsia="zh-CN"/>
              </w:rPr>
              <w:t xml:space="preserve">  </w:t>
            </w:r>
            <w:r>
              <w:rPr>
                <w:rFonts w:ascii="黑体" w:hAnsi="黑体" w:eastAsia="黑体" w:cs="黑体"/>
                <w:color w:val="auto"/>
                <w:spacing w:val="2"/>
                <w:sz w:val="20"/>
                <w:szCs w:val="20"/>
                <w:highlight w:val="none"/>
              </w:rPr>
              <w:t>）</w:t>
            </w:r>
          </w:p>
        </w:tc>
        <w:tc>
          <w:tcPr>
            <w:tcW w:w="2075" w:type="dxa"/>
            <w:gridSpan w:val="4"/>
            <w:tcBorders>
              <w:top w:val="single" w:color="000000" w:sz="4" w:space="0"/>
              <w:left w:val="single" w:color="000000" w:sz="4"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监测点位数（</w:t>
            </w:r>
            <w:r>
              <w:rPr>
                <w:rFonts w:ascii="黑体" w:hAnsi="黑体" w:eastAsia="黑体" w:cs="黑体"/>
                <w:color w:val="auto"/>
                <w:spacing w:val="2"/>
                <w:sz w:val="20"/>
                <w:szCs w:val="20"/>
                <w:highlight w:val="none"/>
                <w:lang w:eastAsia="zh-CN"/>
              </w:rPr>
              <w:t xml:space="preserve">  </w:t>
            </w:r>
            <w:r>
              <w:rPr>
                <w:rFonts w:ascii="黑体" w:hAnsi="黑体" w:eastAsia="黑体" w:cs="黑体"/>
                <w:color w:val="auto"/>
                <w:spacing w:val="2"/>
                <w:sz w:val="20"/>
                <w:szCs w:val="20"/>
                <w:highlight w:val="none"/>
              </w:rPr>
              <w:t>）</w:t>
            </w:r>
          </w:p>
        </w:tc>
        <w:tc>
          <w:tcPr>
            <w:tcW w:w="1441" w:type="dxa"/>
            <w:gridSpan w:val="2"/>
            <w:tcBorders>
              <w:top w:val="single" w:color="000000" w:sz="4" w:space="0"/>
              <w:left w:val="single" w:color="000000" w:sz="4" w:space="0"/>
              <w:bottom w:val="single" w:color="000000" w:sz="4"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无监测□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4" w:hRule="atLeast"/>
        </w:trPr>
        <w:tc>
          <w:tcPr>
            <w:tcW w:w="1079" w:type="dxa"/>
            <w:tcBorders>
              <w:top w:val="single" w:color="000000" w:sz="4" w:space="0"/>
              <w:left w:val="single" w:color="000000" w:sz="12"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评价结论</w:t>
            </w:r>
          </w:p>
        </w:tc>
        <w:tc>
          <w:tcPr>
            <w:tcW w:w="1618" w:type="dxa"/>
            <w:tcBorders>
              <w:top w:val="single" w:color="000000" w:sz="4" w:space="0"/>
              <w:left w:val="single" w:color="000000" w:sz="4" w:space="0"/>
              <w:bottom w:val="single" w:color="000000" w:sz="4" w:space="0"/>
              <w:right w:val="single" w:color="000000" w:sz="4"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环境影响</w:t>
            </w:r>
          </w:p>
        </w:tc>
        <w:tc>
          <w:tcPr>
            <w:tcW w:w="6477" w:type="dxa"/>
            <w:gridSpan w:val="11"/>
            <w:tcBorders>
              <w:top w:val="single" w:color="000000" w:sz="4" w:space="0"/>
              <w:left w:val="single" w:color="000000" w:sz="4" w:space="0"/>
              <w:bottom w:val="single" w:color="000000" w:sz="4"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rPr>
            </w:pPr>
            <w:r>
              <w:rPr>
                <w:rFonts w:ascii="黑体" w:hAnsi="黑体" w:eastAsia="黑体" w:cs="黑体"/>
                <w:color w:val="auto"/>
                <w:spacing w:val="2"/>
                <w:sz w:val="20"/>
                <w:szCs w:val="20"/>
                <w:highlight w:val="none"/>
              </w:rPr>
              <w:t>可行□</w:t>
            </w:r>
            <w:r>
              <w:rPr>
                <w:rFonts w:ascii="黑体" w:hAnsi="黑体" w:eastAsia="黑体" w:cs="黑体"/>
                <w:color w:val="auto"/>
                <w:spacing w:val="2"/>
                <w:sz w:val="20"/>
                <w:szCs w:val="20"/>
                <w:highlight w:val="none"/>
              </w:rPr>
              <w:tab/>
            </w:r>
            <w:r>
              <w:rPr>
                <w:rFonts w:ascii="黑体" w:hAnsi="黑体" w:eastAsia="黑体" w:cs="黑体"/>
                <w:color w:val="auto"/>
                <w:spacing w:val="2"/>
                <w:sz w:val="20"/>
                <w:szCs w:val="20"/>
                <w:highlight w:val="none"/>
              </w:rPr>
              <w:t>不可行□</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trPr>
        <w:tc>
          <w:tcPr>
            <w:tcW w:w="9174" w:type="dxa"/>
            <w:gridSpan w:val="13"/>
            <w:tcBorders>
              <w:top w:val="single" w:color="000000" w:sz="4" w:space="0"/>
              <w:left w:val="single" w:color="000000" w:sz="12" w:space="0"/>
              <w:bottom w:val="single" w:color="000000" w:sz="12" w:space="0"/>
              <w:right w:val="single" w:color="000000" w:sz="12" w:space="0"/>
            </w:tcBorders>
          </w:tcPr>
          <w:p>
            <w:pPr>
              <w:pStyle w:val="21"/>
              <w:ind w:left="0" w:leftChars="0" w:firstLine="0" w:firstLineChars="0"/>
              <w:rPr>
                <w:rFonts w:ascii="黑体" w:hAnsi="黑体" w:eastAsia="黑体" w:cs="黑体"/>
                <w:color w:val="auto"/>
                <w:spacing w:val="2"/>
                <w:sz w:val="20"/>
                <w:szCs w:val="20"/>
                <w:highlight w:val="none"/>
                <w:lang w:val="zh-CN" w:eastAsia="zh-CN"/>
              </w:rPr>
            </w:pPr>
            <w:r>
              <w:rPr>
                <w:rFonts w:ascii="黑体" w:hAnsi="黑体" w:eastAsia="黑体" w:cs="黑体"/>
                <w:color w:val="auto"/>
                <w:spacing w:val="2"/>
                <w:sz w:val="20"/>
                <w:szCs w:val="20"/>
                <w:highlight w:val="none"/>
                <w:lang w:eastAsia="zh-CN"/>
              </w:rPr>
              <w:t>注“□”为勾选项 ，可√；“（  ）”为内容填写项。</w:t>
            </w:r>
          </w:p>
        </w:tc>
      </w:tr>
    </w:tbl>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66" w:name="_bookmark134"/>
      <w:bookmarkEnd w:id="166"/>
      <w:bookmarkStart w:id="167" w:name="_bookmark133"/>
      <w:bookmarkEnd w:id="167"/>
      <w:bookmarkStart w:id="168" w:name="_Toc19069"/>
      <w:bookmarkStart w:id="169" w:name="_Toc27719"/>
      <w:r>
        <w:rPr>
          <w:rFonts w:hint="eastAsia" w:ascii="Times New Roman" w:hAnsi="Times New Roman" w:eastAsia="宋体" w:cs="Times New Roman"/>
          <w:snapToGrid/>
          <w:sz w:val="32"/>
          <w:lang w:val="en-US" w:eastAsia="zh-CN" w:bidi="ar-SA"/>
        </w:rPr>
        <w:t>6.3 地表水环境影响分析</w:t>
      </w:r>
      <w:bookmarkEnd w:id="168"/>
      <w:bookmarkEnd w:id="169"/>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70" w:name="_bookmark135"/>
      <w:bookmarkEnd w:id="170"/>
      <w:bookmarkStart w:id="171" w:name="_Toc1744"/>
      <w:r>
        <w:rPr>
          <w:rFonts w:hint="eastAsia" w:ascii="Times New Roman" w:hAnsi="Times New Roman" w:eastAsia="宋体" w:cs="Times New Roman"/>
          <w:snapToGrid/>
          <w:kern w:val="0"/>
          <w:sz w:val="24"/>
          <w:szCs w:val="24"/>
          <w:highlight w:val="none"/>
          <w:lang w:val="en-US" w:eastAsia="zh-CN" w:bidi="ar"/>
        </w:rPr>
        <w:t>6.3.1    500kV 汇集站</w:t>
      </w:r>
      <w:bookmarkEnd w:id="171"/>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500kV 汇集站运行期对水环境产生影响的主要是站内工作人员产生的生活污水。站 区内生活污水日产生量为0.64m³/d，经化粪池集污后拉运至大同区污水处理厂处理。</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72" w:name="_bookmark136"/>
      <w:bookmarkEnd w:id="172"/>
      <w:bookmarkStart w:id="173" w:name="_Toc20540"/>
      <w:r>
        <w:rPr>
          <w:rFonts w:hint="eastAsia" w:ascii="Times New Roman" w:hAnsi="Times New Roman" w:eastAsia="宋体" w:cs="Times New Roman"/>
          <w:snapToGrid/>
          <w:kern w:val="0"/>
          <w:sz w:val="24"/>
          <w:szCs w:val="24"/>
          <w:highlight w:val="none"/>
          <w:lang w:val="en-US" w:eastAsia="zh-CN" w:bidi="ar"/>
        </w:rPr>
        <w:t>6.3.2    交流输电线路工程</w:t>
      </w:r>
      <w:bookmarkEnd w:id="173"/>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本工程交流输电线路运行期间无废水产生，因此运行期对水环境无影响。</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74" w:name="_bookmark137"/>
      <w:bookmarkEnd w:id="174"/>
      <w:bookmarkStart w:id="175" w:name="_Toc252"/>
      <w:bookmarkStart w:id="176" w:name="_Toc16657"/>
      <w:r>
        <w:rPr>
          <w:rFonts w:hint="eastAsia" w:ascii="Times New Roman" w:hAnsi="Times New Roman" w:eastAsia="宋体" w:cs="Times New Roman"/>
          <w:snapToGrid/>
          <w:sz w:val="32"/>
          <w:lang w:val="en-US" w:eastAsia="zh-CN" w:bidi="ar-SA"/>
        </w:rPr>
        <w:t>6.4 固体废物环境影响分析</w:t>
      </w:r>
      <w:bookmarkEnd w:id="175"/>
      <w:bookmarkEnd w:id="176"/>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运行期主要固体废物为汇集站运行管理人员产生的生活垃圾、事故排油、废蓄电池。</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站内劳动定员10人，生活垃圾产生量为5kg/d，分类分区统一收集后由环卫部门统一 处置。</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500kV 汇集站内设1 处事故油池，单个容积为90m³，用于收集事故排油，废油交由有资质单位处理。报废的蓄电池暂存在站内危废暂存间，并按要求建立危废管理台账，交 有资质单位处理，并在处理废旧电池时按要求办理危险废物转移联单。</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本工程交流输电线路运行期无固体废物产生，对环境无影响。</w:t>
      </w:r>
      <w:bookmarkStart w:id="177" w:name="_bookmark138"/>
      <w:bookmarkEnd w:id="177"/>
      <w:bookmarkStart w:id="178" w:name="_Toc28451"/>
    </w:p>
    <w:p>
      <w:pPr>
        <w:widowControl/>
        <w:kinsoku/>
        <w:autoSpaceDE/>
        <w:autoSpaceDN/>
        <w:adjustRightInd/>
        <w:snapToGrid/>
        <w:spacing w:line="360" w:lineRule="auto"/>
        <w:jc w:val="both"/>
        <w:textAlignment w:val="auto"/>
        <w:rPr>
          <w:rFonts w:hint="eastAsia" w:ascii="Times New Roman" w:hAnsi="Times New Roman" w:eastAsia="宋体" w:cs="Times New Roman"/>
          <w:b/>
          <w:bCs/>
          <w:snapToGrid/>
          <w:kern w:val="0"/>
          <w:sz w:val="28"/>
          <w:szCs w:val="28"/>
          <w:highlight w:val="none"/>
          <w:lang w:val="en-US" w:eastAsia="zh-CN" w:bidi="ar"/>
        </w:rPr>
      </w:pPr>
      <w:r>
        <w:rPr>
          <w:rFonts w:hint="eastAsia" w:ascii="Times New Roman" w:hAnsi="Times New Roman" w:eastAsia="宋体" w:cs="Times New Roman"/>
          <w:b/>
          <w:bCs/>
          <w:snapToGrid/>
          <w:kern w:val="0"/>
          <w:sz w:val="28"/>
          <w:szCs w:val="28"/>
          <w:highlight w:val="none"/>
          <w:lang w:val="en-US" w:eastAsia="zh-CN" w:bidi="ar"/>
        </w:rPr>
        <w:t>6.5  环境风险分析</w:t>
      </w:r>
      <w:bookmarkEnd w:id="178"/>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升压站主变压器为了绝缘和冷却的需要，其外壳内装有变压器油，在正常运行状态下，无变压器油外排。变压器一般情况下2~3 年检修一次，在检修过程中，变压器油由专用工具收集，存放在事先准备好的容器内，在检修工作完毕后，再将变压器油注入设备内，无变压器油外排。</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在设备出现故障或检修时，会有少量含油废水产生。在发生事故时变压器油会发生 外泄，事故废油和含油废水若随意排放会对周围环境产生影响。为此，升压站内设置有 排油系统，主变、高抗设备下有油坑，坑内铺设一层卵石，四周设有排油槽与事故油池 相连，一旦设备发生事故排油或漏油，所有的油水混合物将渗过卵石层，通过排油槽进 入事故油池。油可以回收利用，废油和杂质委托有危废处置资质单位处理。</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本项目设有 90m3 事故油池 1 个，设计单位根据《变电站和换流站给水排水设计规 程》 (DL/T5143-2018) 中变压器等含油设备的事故排油规定：设置带油水分离措施的 事故油池时，其贮油量应按油量最大一台设备 100%油量确定；设计单位设计事故油池 容积按不小于最大台设备油量的100%设计，本项目设置2台主变(1000MVA) ，单台最大油量为75t ，密度0.895g/ml ，经计算事故废油最大量为83.8m³ ，设计拟建设90m³ 事故油池，可以满足变压器事故排油。事故油池和油坑防渗要求为：防渗层为至少1m 厚黏土层 (渗透系数≤10-7cm/s ) 或至少2mm 厚高密度聚乙烯。事故油池的顶板、底板、池壁采用抗渗等级为 P6 的混凝土 (其防渗系数约4.91×10-9cm/s ) ，池壁涂 2cm 厚的防 水砂浆 (防渗系数小于 1×10 - 10cm/s ) 。</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事故油池日常仅作为事故备用，主变发生事故时，废油通过管道进入事故油池，建设单位应立即按照事故应急响应机制要求，委托有资质单位处置，并按要求办理危险废物转移联单。</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随着技术的进步，主变压器和高压电抗器发生故障的可能性越来越小。同时，在采 取严格管理、落实各项环保措施的情况下，事故排油够得到妥善的处理，对环境风险很 小。</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sectPr>
          <w:headerReference r:id="rId31" w:type="default"/>
          <w:footerReference r:id="rId32" w:type="default"/>
          <w:pgSz w:w="11907" w:h="16840"/>
          <w:pgMar w:top="1212" w:right="1338" w:bottom="1155" w:left="1425" w:header="970" w:footer="994" w:gutter="0"/>
          <w:pgBorders>
            <w:top w:val="none" w:sz="0" w:space="0"/>
            <w:left w:val="none" w:sz="0" w:space="0"/>
            <w:bottom w:val="none" w:sz="0" w:space="0"/>
            <w:right w:val="none" w:sz="0" w:space="0"/>
          </w:pgBorders>
          <w:pgNumType w:fmt="decimal"/>
          <w:cols w:space="720" w:num="1"/>
        </w:sectPr>
      </w:pPr>
    </w:p>
    <w:p>
      <w:pPr>
        <w:pStyle w:val="21"/>
        <w:ind w:left="0" w:leftChars="0" w:firstLine="0" w:firstLineChars="0"/>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textAlignment w:val="baseline"/>
        <w:rPr>
          <w:color w:val="auto"/>
          <w:highlight w:val="none"/>
        </w:rPr>
        <w:sectPr>
          <w:headerReference r:id="rId33" w:type="default"/>
          <w:footerReference r:id="rId34" w:type="default"/>
          <w:pgSz w:w="11906" w:h="16839"/>
          <w:pgMar w:top="1212" w:right="1312" w:bottom="1156" w:left="1425" w:header="970" w:footer="996" w:gutter="0"/>
          <w:pgBorders>
            <w:top w:val="none" w:sz="0" w:space="0"/>
            <w:left w:val="none" w:sz="0" w:space="0"/>
            <w:bottom w:val="none" w:sz="0" w:space="0"/>
            <w:right w:val="none" w:sz="0" w:space="0"/>
          </w:pgBorders>
          <w:pgNumType w:fmt="decimal"/>
          <w:cols w:space="720" w:num="1"/>
        </w:sectPr>
      </w:pP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79" w:name="_Toc27945"/>
      <w:bookmarkStart w:id="180" w:name="_Toc20367"/>
      <w:r>
        <w:rPr>
          <w:rFonts w:hint="eastAsia" w:ascii="Times New Roman" w:hAnsi="Times New Roman" w:eastAsia="宋体" w:cs="Times New Roman"/>
          <w:snapToGrid/>
          <w:sz w:val="32"/>
          <w:lang w:val="en-US" w:eastAsia="zh-CN" w:bidi="ar-SA"/>
        </w:rPr>
        <w:t>7 环境保护设施、措施分析与论证</w:t>
      </w:r>
      <w:bookmarkEnd w:id="179"/>
      <w:bookmarkEnd w:id="180"/>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181" w:name="_bookmark140"/>
      <w:bookmarkEnd w:id="181"/>
      <w:bookmarkStart w:id="182" w:name="_Toc31893"/>
      <w:bookmarkStart w:id="183" w:name="_Toc4597"/>
      <w:r>
        <w:rPr>
          <w:rFonts w:hint="eastAsia" w:ascii="Times New Roman" w:hAnsi="Times New Roman" w:eastAsia="宋体" w:cs="Times New Roman"/>
          <w:snapToGrid/>
          <w:sz w:val="32"/>
          <w:lang w:val="en-US" w:eastAsia="zh-CN" w:bidi="ar-SA"/>
        </w:rPr>
        <w:t>7.1    环境保护设施、措施</w:t>
      </w:r>
      <w:bookmarkEnd w:id="182"/>
      <w:bookmarkEnd w:id="183"/>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bookmarkStart w:id="184" w:name="_bookmark141"/>
      <w:bookmarkEnd w:id="184"/>
      <w:bookmarkStart w:id="185" w:name="_Toc18700"/>
      <w:r>
        <w:rPr>
          <w:rFonts w:hint="eastAsia" w:ascii="Times New Roman" w:hAnsi="Times New Roman" w:eastAsia="宋体" w:cs="Times New Roman"/>
          <w:snapToGrid/>
          <w:kern w:val="0"/>
          <w:sz w:val="24"/>
          <w:szCs w:val="24"/>
          <w:highlight w:val="none"/>
          <w:lang w:val="en-US" w:eastAsia="zh-CN" w:bidi="ar"/>
        </w:rPr>
        <w:t>7.1.1    500kV 汇集站环境保护设施、措施</w:t>
      </w:r>
      <w:bookmarkEnd w:id="185"/>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bookmarkStart w:id="186" w:name="_Toc28132"/>
      <w:r>
        <w:rPr>
          <w:rFonts w:hint="eastAsia" w:ascii="Times New Roman" w:hAnsi="Times New Roman" w:eastAsia="宋体" w:cs="Times New Roman"/>
          <w:snapToGrid/>
          <w:kern w:val="0"/>
          <w:sz w:val="24"/>
          <w:szCs w:val="24"/>
          <w:highlight w:val="none"/>
          <w:lang w:val="en-US" w:eastAsia="zh-CN" w:bidi="ar"/>
        </w:rPr>
        <w:t>（1）设计阶段环境保护设施、措施</w:t>
      </w:r>
      <w:bookmarkEnd w:id="186"/>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①电磁环境</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1)为限制电晕产生电磁环境影响，在设备定货时要求导线、母线、均压环、管母线 终端球和其它金具等提高加工工艺，防止尖端放电和起电晕。</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2)尽量避免电气设备上方露出软导线；尽量增加导线对地高度。</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 GIS 设计，合理的平面布局。</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②声环境</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本期新建主变、高抗等主要声源设备。</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③地表水环境</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拟建化粪池1座，</w:t>
      </w:r>
      <w:r>
        <w:rPr>
          <w:rFonts w:hint="default" w:ascii="Times New Roman" w:hAnsi="Times New Roman" w:eastAsia="宋体" w:cs="Times New Roman"/>
          <w:snapToGrid/>
          <w:kern w:val="0"/>
          <w:sz w:val="24"/>
          <w:szCs w:val="24"/>
          <w:highlight w:val="none"/>
          <w:lang w:val="en-US" w:eastAsia="zh-CN" w:bidi="ar"/>
        </w:rPr>
        <w:t>站区内生活污水</w:t>
      </w:r>
      <w:r>
        <w:rPr>
          <w:rFonts w:hint="eastAsia" w:ascii="Times New Roman" w:hAnsi="Times New Roman" w:eastAsia="宋体" w:cs="Times New Roman"/>
          <w:snapToGrid/>
          <w:kern w:val="0"/>
          <w:sz w:val="24"/>
          <w:szCs w:val="24"/>
          <w:highlight w:val="none"/>
          <w:lang w:val="en-US" w:eastAsia="zh-CN" w:bidi="ar"/>
        </w:rPr>
        <w:t>排入化粪池内，定期清掏外运至大同区污水处理厂处理</w:t>
      </w:r>
      <w:r>
        <w:rPr>
          <w:rFonts w:hint="default" w:ascii="Times New Roman" w:hAnsi="Times New Roman" w:eastAsia="宋体" w:cs="Times New Roman"/>
          <w:snapToGrid/>
          <w:kern w:val="0"/>
          <w:sz w:val="24"/>
          <w:szCs w:val="24"/>
          <w:highlight w:val="none"/>
          <w:lang w:val="en-US" w:eastAsia="zh-CN" w:bidi="ar"/>
        </w:rPr>
        <w:t>。</w:t>
      </w:r>
      <w:r>
        <w:rPr>
          <w:rFonts w:hint="eastAsia" w:ascii="Times New Roman" w:hAnsi="Times New Roman" w:eastAsia="宋体" w:cs="Times New Roman"/>
          <w:snapToGrid/>
          <w:kern w:val="0"/>
          <w:sz w:val="24"/>
          <w:szCs w:val="24"/>
          <w:highlight w:val="none"/>
          <w:lang w:val="en-US" w:eastAsia="zh-CN" w:bidi="ar"/>
        </w:rPr>
        <w:t>食堂废水经隔油池简单处置后，排入化粪池内，随生活污水一同拉运处置。</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④环境风险</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站内新建事故油池1座，容积为90m³，事故排油、检修废油、废蓄电池经收集后统一交有资质单位处理。</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⑤其他设计。</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 500kV 汇集站内设计一处危废暂存间。</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bookmarkStart w:id="187" w:name="_Toc12630"/>
      <w:r>
        <w:rPr>
          <w:rFonts w:hint="eastAsia" w:ascii="Times New Roman" w:hAnsi="Times New Roman" w:eastAsia="宋体" w:cs="Times New Roman"/>
          <w:snapToGrid/>
          <w:kern w:val="0"/>
          <w:sz w:val="24"/>
          <w:szCs w:val="24"/>
          <w:highlight w:val="none"/>
          <w:lang w:val="en-US" w:eastAsia="zh-CN" w:bidi="ar"/>
        </w:rPr>
        <w:t>（2） 施工期环境保护措施</w:t>
      </w:r>
      <w:bookmarkEnd w:id="187"/>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①施工扬尘</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1)将施工工地扬尘污染防治纳入文明施工管理范畴，建立扬尘控制责任制度。施工 组织设计中，必须制定施工现场扬尘预防治理专项方案，并指定专人负责落实。</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2)对进场所有作业人员进行工地扬尘预防治理知识培训，未经培训严禁上岗。</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3)合理组织施工，尽量避免扬尘二次污染。</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4)施工建筑材料应集中、合理堆放，尽可能采用堆棚统一存放，若采用露天堆放， 应采取苫盖等措施，并定期洒水。</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5)加强材料转运与使用的管理，合理装卸，规范操作，以防止扬尘对环境空气质量 的影响。施工场地应定期洒水抑尘，当出现风速过大或不利天气状况时应停止施工作业。</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6)对土、石料等可能产生扬尘的材料，在运输时用防水布覆盖。对附近的运输道路定期洒水，使其保持一定的湿度，防止道路扬尘。严禁运输车辆装载过满，不得超出车 厢板高度，并采取遮盖、密闭措施防止沿途抛洒、散落。定期冲洗轮胎，车辆不得带泥</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砂出现场。进出场地的车辆应限制车速。</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7)设置固定垃圾存放点，垃圾应分类集中堆放并覆盖，及时清运，严禁焚烧、下埋 和随意丢弃。</w:t>
      </w:r>
    </w:p>
    <w:p>
      <w:pPr>
        <w:widowControl/>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②施工废水</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1)在施工生产区设置沉淀池，将施工生产废水集中，施工生产废水经沉淀处理后回用于抑尘喷洒或收集清运。</w:t>
      </w:r>
    </w:p>
    <w:p>
      <w:pPr>
        <w:widowControl/>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2)500kV 汇集站站内新建防渗化粪池1座，</w:t>
      </w:r>
      <w:r>
        <w:rPr>
          <w:rFonts w:hint="default" w:ascii="Times New Roman" w:hAnsi="Times New Roman" w:eastAsia="宋体" w:cs="Times New Roman"/>
          <w:snapToGrid/>
          <w:kern w:val="0"/>
          <w:sz w:val="24"/>
          <w:szCs w:val="24"/>
          <w:highlight w:val="none"/>
          <w:lang w:val="en-US" w:eastAsia="zh-CN" w:bidi="ar"/>
        </w:rPr>
        <w:t>站区内生活污水</w:t>
      </w:r>
      <w:r>
        <w:rPr>
          <w:rFonts w:hint="eastAsia" w:ascii="Times New Roman" w:hAnsi="Times New Roman" w:eastAsia="宋体" w:cs="Times New Roman"/>
          <w:snapToGrid/>
          <w:kern w:val="0"/>
          <w:sz w:val="24"/>
          <w:szCs w:val="24"/>
          <w:highlight w:val="none"/>
          <w:lang w:val="en-US" w:eastAsia="zh-CN" w:bidi="ar"/>
        </w:rPr>
        <w:t>排入化粪池内，定期清掏外运至大同区污水处理厂处理</w:t>
      </w:r>
      <w:r>
        <w:rPr>
          <w:rFonts w:hint="default" w:ascii="Times New Roman" w:hAnsi="Times New Roman" w:eastAsia="宋体" w:cs="Times New Roman"/>
          <w:snapToGrid/>
          <w:kern w:val="0"/>
          <w:sz w:val="24"/>
          <w:szCs w:val="24"/>
          <w:highlight w:val="none"/>
          <w:lang w:val="en-US" w:eastAsia="zh-CN" w:bidi="ar"/>
        </w:rPr>
        <w:t>。</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③施工噪声</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1)强化施工管理，加强施工期的环境管理和环境监理工作，并接受生态环境部门的 监督管理。</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2)采用噪声水平满足国家相关标准的施工机械或采取带隔声、消声设备的机械，控 制设备噪声源强。注意对施工设备的维修、保养，使各种施工机械保持良好的运行状态。</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3)限制夜间(22:00-6:00)施工，站区施工应尽可能安排在白天进行。如因工艺特殊情 况要求，需在夜间施工时，应满足《中华人民共和国噪声污染防治法》的相关规定。</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4)运输材料的车辆进入施工现场严禁鸣笛，装卸材料时应做到轻拿轻放。</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④固体废物</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在工程施工前应作好施工机构及施工人员的环保培训，明确要求施工过程中的建筑垃圾及生活垃圾应分别堆放，并安排专人专车及时清运或定期运至环卫部门指定的地点处置。</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⑤施工管理和宣传教育</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1)加强对施工人员的环境教育工作，提高其环保意识。</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2)建设单位应做好公众沟通工作，通过现场解释、分发宣传手册或者树立宣传教育 栏等方式，向公众解释工程特点以及与环境保护有关的内容，并认真解答公众的问题， 解除公众的疑惑。</w:t>
      </w:r>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88" w:name="_Toc7937"/>
      <w:r>
        <w:rPr>
          <w:rFonts w:hint="eastAsia" w:ascii="Times New Roman" w:hAnsi="Times New Roman" w:eastAsia="宋体" w:cs="Times New Roman"/>
          <w:snapToGrid/>
          <w:kern w:val="0"/>
          <w:sz w:val="24"/>
          <w:szCs w:val="24"/>
          <w:highlight w:val="none"/>
          <w:lang w:val="en-US" w:eastAsia="zh-CN" w:bidi="ar"/>
        </w:rPr>
        <w:t>（3） 运行期环境保护措施</w:t>
      </w:r>
      <w:bookmarkEnd w:id="188"/>
    </w:p>
    <w:p>
      <w:pPr>
        <w:widowControl/>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xml:space="preserve">①运行管理和宣传教育                                     </w:t>
      </w:r>
    </w:p>
    <w:p>
      <w:pPr>
        <w:widowControl/>
        <w:numPr>
          <w:ilvl w:val="0"/>
          <w:numId w:val="1"/>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对当地群众进行有关输变电工程和相关设备方面的环境宣传工作。</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2)依法进行运行期的环境管理和环境监测工作。</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3)在汇集站周围设立警示标识，加强对当地群众的环境宣传工作，帮助群众建立环 境保护意识和自我安全防护意识。</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4)加强环境管理，使站内各项污染防治设施正常、稳定、持续运行。 5)加强环境监测，及时发现环境问题并按照相关要求进行处理。</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②竣工环境保护验收</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工程投运后，应进行竣工环境保护验收调查工作，确保工频电场强度强度、工频磁 感应强度及噪声满足相关标准要求。</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89" w:name="_bookmark142"/>
      <w:bookmarkEnd w:id="189"/>
      <w:bookmarkStart w:id="190" w:name="_Toc1072"/>
      <w:r>
        <w:rPr>
          <w:rFonts w:hint="eastAsia" w:ascii="Times New Roman" w:hAnsi="Times New Roman" w:eastAsia="宋体" w:cs="Times New Roman"/>
          <w:snapToGrid/>
          <w:kern w:val="0"/>
          <w:sz w:val="24"/>
          <w:szCs w:val="24"/>
          <w:highlight w:val="none"/>
          <w:lang w:val="en-US" w:eastAsia="zh-CN" w:bidi="ar"/>
        </w:rPr>
        <w:t>7.1.2    交流输电线路工程环境保护措施</w:t>
      </w:r>
      <w:bookmarkEnd w:id="190"/>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91" w:name="_Toc1921"/>
      <w:r>
        <w:rPr>
          <w:rFonts w:hint="eastAsia" w:ascii="Times New Roman" w:hAnsi="Times New Roman" w:eastAsia="宋体" w:cs="Times New Roman"/>
          <w:snapToGrid/>
          <w:kern w:val="0"/>
          <w:sz w:val="24"/>
          <w:szCs w:val="24"/>
          <w:highlight w:val="none"/>
          <w:lang w:val="en-US" w:eastAsia="zh-CN" w:bidi="ar"/>
        </w:rPr>
        <w:t>（1） 设计阶段环境保护措施</w:t>
      </w:r>
      <w:bookmarkEnd w:id="191"/>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92" w:name="_Toc27810"/>
      <w:r>
        <w:rPr>
          <w:rFonts w:hint="eastAsia" w:ascii="Times New Roman" w:hAnsi="Times New Roman" w:eastAsia="宋体" w:cs="Times New Roman"/>
          <w:snapToGrid/>
          <w:kern w:val="0"/>
          <w:sz w:val="24"/>
          <w:szCs w:val="24"/>
          <w:highlight w:val="none"/>
          <w:lang w:val="en-US" w:eastAsia="zh-CN" w:bidi="ar"/>
        </w:rPr>
        <w:t>①电磁环境、声环境</w:t>
      </w:r>
      <w:bookmarkEnd w:id="192"/>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1)工程选线时充分征求沿线政府相关部门的意见，优化路径，尽量避让城镇规划区、 学校、居民密集区。</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2)严格按照相关规程及规范，结合工程所在区域周围的实际情况和工程设计要求， 确保评价范围内常年住人的房屋电磁环境、声环境满足标准限值要求。</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3)合理选择导线直径及导线分裂数以降低线路电磁环境影响，合理选择相间距离， 要求导线、均压环及其它金具等提高加工工艺，防止尖端放电和起电晕。采用节能金具，</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有效控制金属串的起晕电压，防止电晕发生，降低电晕噪声。</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4)合理选择导线截面和导线结构以降低线路的电晕噪声水平。</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93" w:name="_Toc6382"/>
      <w:r>
        <w:rPr>
          <w:rFonts w:hint="eastAsia" w:ascii="Times New Roman" w:hAnsi="Times New Roman" w:eastAsia="宋体" w:cs="Times New Roman"/>
          <w:snapToGrid/>
          <w:kern w:val="0"/>
          <w:sz w:val="24"/>
          <w:szCs w:val="24"/>
          <w:highlight w:val="none"/>
          <w:lang w:val="en-US" w:eastAsia="zh-CN" w:bidi="ar"/>
        </w:rPr>
        <w:t>②生态环境</w:t>
      </w:r>
      <w:bookmarkEnd w:id="193"/>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科学选线，减轻沿线生态干扰。本工程在可行性研究阶段，在多方案比选的基础上，结合当地自然生态、人文景观、 城镇规划等的实际情况，避让敏感区，选择了对自然保护区、 水源保护区、重要湿地等相对影响较小的方案通过。路径走向上，注重了与黑龙江省生态 功能区划等相关规划的协调，做到经济技术指标高，线路较短，投资经济，对沿线景观与生态环境干扰小。</w:t>
      </w:r>
    </w:p>
    <w:p>
      <w:pPr>
        <w:spacing w:line="392" w:lineRule="auto"/>
        <w:ind w:left="3" w:right="23" w:firstLine="479"/>
        <w:rPr>
          <w:rFonts w:ascii="宋体" w:hAnsi="宋体" w:eastAsia="宋体" w:cs="宋体"/>
          <w:spacing w:val="4"/>
          <w:sz w:val="24"/>
          <w:szCs w:val="24"/>
          <w:highlight w:val="none"/>
        </w:rPr>
        <w:sectPr>
          <w:headerReference r:id="rId35" w:type="default"/>
          <w:footerReference r:id="rId36" w:type="default"/>
          <w:pgSz w:w="11907" w:h="16840"/>
          <w:pgMar w:top="1212" w:right="1334" w:bottom="1155" w:left="1425" w:header="970" w:footer="994" w:gutter="0"/>
          <w:pgBorders>
            <w:top w:val="none" w:sz="0" w:space="0"/>
            <w:left w:val="none" w:sz="0" w:space="0"/>
            <w:bottom w:val="none" w:sz="0" w:space="0"/>
            <w:right w:val="none" w:sz="0" w:space="0"/>
          </w:pgBorders>
          <w:pgNumType w:fmt="decimal"/>
          <w:cols w:space="720" w:num="1"/>
        </w:sectPr>
      </w:pP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94" w:name="_Toc17964"/>
      <w:r>
        <w:rPr>
          <w:rFonts w:hint="eastAsia" w:ascii="Times New Roman" w:hAnsi="Times New Roman" w:eastAsia="宋体" w:cs="Times New Roman"/>
          <w:snapToGrid/>
          <w:kern w:val="0"/>
          <w:sz w:val="24"/>
          <w:szCs w:val="24"/>
          <w:highlight w:val="none"/>
          <w:lang w:val="en-US" w:eastAsia="zh-CN" w:bidi="ar"/>
        </w:rPr>
        <w:t>（2）  施工期环境保护措施</w:t>
      </w:r>
      <w:bookmarkEnd w:id="194"/>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195" w:name="_Toc6272"/>
      <w:r>
        <w:rPr>
          <w:rFonts w:hint="eastAsia" w:ascii="Times New Roman" w:hAnsi="Times New Roman" w:eastAsia="宋体" w:cs="Times New Roman"/>
          <w:snapToGrid/>
          <w:kern w:val="0"/>
          <w:sz w:val="24"/>
          <w:szCs w:val="24"/>
          <w:highlight w:val="none"/>
          <w:lang w:val="en-US" w:eastAsia="zh-CN" w:bidi="ar"/>
        </w:rPr>
        <w:t>①施工扬尘</w:t>
      </w:r>
      <w:bookmarkEnd w:id="195"/>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1)将施工工地扬尘污染防治纳入文明施工管理范畴，建立扬尘控制责任制度。施工 组织设计中，必须制定施工现场扬尘预防治理专项方案，并指定专人负责落实。</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2)对进场所有作业人员进行工地扬尘预防治理知识培训，未经培训严禁上岗。</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3)塔基基础开挖过程中，应定时、及时洒水使施工区域保持一定的湿度；对施工场 地内松散、干涸的表土，也应及时洒水。</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4)对施工场地内临时堆土采取苫盖等措施防止起尘。</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5)施工材料及建筑垃圾在运输时用布覆盖。严禁运输车辆装载过满，不得超出车厢 板高度，并采取遮盖、密闭措施防止沿途抛洒、散落。</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6)车辆及时冲洗，限制车速，对附近的运输道路定期洒水，使其保持一定的湿度， 防止道路扬尘。</w:t>
      </w:r>
    </w:p>
    <w:p>
      <w:pPr>
        <w:spacing w:before="2" w:line="360" w:lineRule="auto"/>
        <w:ind w:left="3" w:right="9" w:firstLine="478"/>
        <w:rPr>
          <w:rFonts w:ascii="宋体" w:hAnsi="宋体" w:eastAsia="宋体" w:cs="宋体"/>
          <w:sz w:val="24"/>
          <w:szCs w:val="24"/>
          <w:highlight w:val="none"/>
        </w:rPr>
      </w:pPr>
      <w:r>
        <w:rPr>
          <w:rFonts w:ascii="Times New Roman" w:hAnsi="Times New Roman" w:eastAsia="Times New Roman" w:cs="Times New Roman"/>
          <w:spacing w:val="15"/>
          <w:sz w:val="24"/>
          <w:szCs w:val="24"/>
          <w:highlight w:val="none"/>
        </w:rPr>
        <w:t>7</w:t>
      </w:r>
      <w:r>
        <w:rPr>
          <w:rFonts w:ascii="Times New Roman" w:hAnsi="Times New Roman" w:eastAsia="Times New Roman" w:cs="Times New Roman"/>
          <w:spacing w:val="9"/>
          <w:sz w:val="24"/>
          <w:szCs w:val="24"/>
          <w:highlight w:val="none"/>
        </w:rPr>
        <w:t>)</w:t>
      </w:r>
      <w:r>
        <w:rPr>
          <w:rFonts w:ascii="宋体" w:hAnsi="宋体" w:eastAsia="宋体" w:cs="宋体"/>
          <w:spacing w:val="9"/>
          <w:sz w:val="24"/>
          <w:szCs w:val="24"/>
          <w:highlight w:val="none"/>
        </w:rPr>
        <w:t>设置固定垃圾存放点，垃圾应分类集中堆放并覆盖，及时清运，严禁焚烧、下埋</w:t>
      </w:r>
      <w:r>
        <w:rPr>
          <w:rFonts w:ascii="宋体" w:hAnsi="宋体" w:eastAsia="宋体" w:cs="宋体"/>
          <w:sz w:val="24"/>
          <w:szCs w:val="24"/>
          <w:highlight w:val="none"/>
        </w:rPr>
        <w:t xml:space="preserve"> </w:t>
      </w:r>
      <w:r>
        <w:rPr>
          <w:rFonts w:ascii="宋体" w:hAnsi="宋体" w:eastAsia="宋体" w:cs="宋体"/>
          <w:spacing w:val="9"/>
          <w:sz w:val="24"/>
          <w:szCs w:val="24"/>
          <w:highlight w:val="none"/>
        </w:rPr>
        <w:t>和</w:t>
      </w:r>
      <w:r>
        <w:rPr>
          <w:rFonts w:ascii="宋体" w:hAnsi="宋体" w:eastAsia="宋体" w:cs="宋体"/>
          <w:spacing w:val="6"/>
          <w:sz w:val="24"/>
          <w:szCs w:val="24"/>
          <w:highlight w:val="none"/>
        </w:rPr>
        <w:t>随意丢弃。</w:t>
      </w:r>
    </w:p>
    <w:p>
      <w:pPr>
        <w:spacing w:line="360" w:lineRule="auto"/>
        <w:ind w:left="482"/>
        <w:outlineLvl w:val="2"/>
        <w:rPr>
          <w:rFonts w:ascii="宋体" w:hAnsi="宋体" w:eastAsia="宋体" w:cs="宋体"/>
          <w:sz w:val="24"/>
          <w:szCs w:val="24"/>
          <w:highlight w:val="none"/>
        </w:rPr>
      </w:pPr>
      <w:bookmarkStart w:id="196" w:name="_Toc20476"/>
      <w:bookmarkStart w:id="197" w:name="_Toc528"/>
      <w:bookmarkStart w:id="198" w:name="_Toc10813"/>
      <w:bookmarkStart w:id="199" w:name="_Toc28630"/>
      <w:bookmarkStart w:id="200" w:name="_Toc15111"/>
      <w:r>
        <w:rPr>
          <w:rFonts w:hint="eastAsia" w:ascii="Times New Roman" w:hAnsi="Times New Roman" w:eastAsia="Times New Roman" w:cs="Times New Roman"/>
          <w:spacing w:val="10"/>
          <w:position w:val="3"/>
          <w:sz w:val="24"/>
          <w:szCs w:val="24"/>
          <w:highlight w:val="none"/>
        </w:rPr>
        <w:t>②</w:t>
      </w:r>
      <w:r>
        <w:rPr>
          <w:rFonts w:ascii="宋体" w:hAnsi="宋体" w:eastAsia="宋体" w:cs="宋体"/>
          <w:spacing w:val="5"/>
          <w:position w:val="3"/>
          <w:sz w:val="24"/>
          <w:szCs w:val="24"/>
          <w:highlight w:val="none"/>
        </w:rPr>
        <w:t>施工废水</w:t>
      </w:r>
      <w:bookmarkEnd w:id="196"/>
      <w:bookmarkEnd w:id="197"/>
      <w:bookmarkEnd w:id="198"/>
      <w:bookmarkEnd w:id="199"/>
      <w:bookmarkEnd w:id="200"/>
    </w:p>
    <w:p>
      <w:pPr>
        <w:keepNext w:val="0"/>
        <w:keepLines w:val="0"/>
        <w:pageBreakBefore w:val="0"/>
        <w:widowControl/>
        <w:kinsoku w:val="0"/>
        <w:wordWrap/>
        <w:overflowPunct/>
        <w:topLinePunct w:val="0"/>
        <w:autoSpaceDE w:val="0"/>
        <w:autoSpaceDN w:val="0"/>
        <w:bidi w:val="0"/>
        <w:adjustRightInd w:val="0"/>
        <w:snapToGrid w:val="0"/>
        <w:spacing w:line="360" w:lineRule="auto"/>
        <w:ind w:left="6" w:right="11" w:firstLine="471"/>
        <w:textAlignment w:val="baseline"/>
        <w:rPr>
          <w:rFonts w:ascii="宋体" w:hAnsi="宋体" w:eastAsia="宋体" w:cs="宋体"/>
          <w:sz w:val="24"/>
          <w:szCs w:val="24"/>
          <w:highlight w:val="none"/>
        </w:rPr>
      </w:pPr>
      <w:r>
        <w:rPr>
          <w:rFonts w:ascii="Times New Roman" w:hAnsi="Times New Roman" w:eastAsia="Times New Roman" w:cs="Times New Roman"/>
          <w:spacing w:val="16"/>
          <w:position w:val="3"/>
          <w:sz w:val="24"/>
          <w:szCs w:val="24"/>
          <w:highlight w:val="none"/>
        </w:rPr>
        <w:t>1</w:t>
      </w:r>
      <w:r>
        <w:rPr>
          <w:rFonts w:ascii="Times New Roman" w:hAnsi="Times New Roman" w:eastAsia="Times New Roman" w:cs="Times New Roman"/>
          <w:spacing w:val="9"/>
          <w:position w:val="3"/>
          <w:sz w:val="24"/>
          <w:szCs w:val="24"/>
          <w:highlight w:val="none"/>
        </w:rPr>
        <w:t>)</w:t>
      </w:r>
      <w:r>
        <w:rPr>
          <w:rFonts w:ascii="宋体" w:hAnsi="宋体" w:eastAsia="宋体" w:cs="宋体"/>
          <w:spacing w:val="9"/>
          <w:sz w:val="24"/>
          <w:szCs w:val="24"/>
          <w:highlight w:val="none"/>
        </w:rPr>
        <w:t>施工期间施工场地要尽量远离</w:t>
      </w:r>
      <w:r>
        <w:rPr>
          <w:rFonts w:hint="eastAsia" w:ascii="宋体" w:hAnsi="宋体" w:eastAsia="宋体" w:cs="宋体"/>
          <w:spacing w:val="9"/>
          <w:sz w:val="24"/>
          <w:szCs w:val="24"/>
          <w:highlight w:val="none"/>
          <w:lang w:eastAsia="zh-CN"/>
        </w:rPr>
        <w:t>地表水</w:t>
      </w:r>
      <w:r>
        <w:rPr>
          <w:rFonts w:ascii="宋体" w:hAnsi="宋体" w:eastAsia="宋体" w:cs="宋体"/>
          <w:spacing w:val="9"/>
          <w:sz w:val="24"/>
          <w:szCs w:val="24"/>
          <w:highlight w:val="none"/>
        </w:rPr>
        <w:t>体，并划定明确的施工范围，不得随意扩大，施工临时道路要尽量利用已有道路</w:t>
      </w:r>
      <w:r>
        <w:rPr>
          <w:rFonts w:ascii="宋体" w:hAnsi="宋体" w:eastAsia="宋体" w:cs="宋体"/>
          <w:spacing w:val="5"/>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 w:right="11" w:firstLine="471"/>
        <w:textAlignment w:val="baseline"/>
        <w:rPr>
          <w:rFonts w:hint="eastAsia" w:ascii="宋体" w:hAnsi="宋体" w:eastAsia="宋体" w:cs="宋体"/>
          <w:spacing w:val="9"/>
          <w:sz w:val="24"/>
          <w:szCs w:val="24"/>
          <w:highlight w:val="none"/>
          <w:lang w:eastAsia="zh-CN"/>
        </w:rPr>
      </w:pPr>
      <w:r>
        <w:rPr>
          <w:rFonts w:hint="eastAsia" w:ascii="宋体" w:hAnsi="宋体" w:eastAsia="宋体" w:cs="宋体"/>
          <w:spacing w:val="9"/>
          <w:sz w:val="24"/>
          <w:szCs w:val="24"/>
          <w:highlight w:val="none"/>
          <w:lang w:eastAsia="zh-CN"/>
        </w:rPr>
        <w:t>2)施工时应先设置拦挡，后进行工程建设。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 w:right="11" w:firstLine="471"/>
        <w:textAlignment w:val="baseline"/>
        <w:rPr>
          <w:rFonts w:hint="eastAsia" w:ascii="宋体" w:hAnsi="宋体" w:eastAsia="宋体" w:cs="宋体"/>
          <w:spacing w:val="9"/>
          <w:sz w:val="24"/>
          <w:szCs w:val="24"/>
          <w:highlight w:val="none"/>
          <w:lang w:eastAsia="zh-CN"/>
        </w:rPr>
      </w:pPr>
      <w:r>
        <w:rPr>
          <w:rFonts w:hint="eastAsia" w:ascii="宋体" w:hAnsi="宋体" w:eastAsia="宋体" w:cs="宋体"/>
          <w:spacing w:val="9"/>
          <w:sz w:val="24"/>
          <w:szCs w:val="24"/>
          <w:highlight w:val="none"/>
          <w:lang w:eastAsia="zh-CN"/>
        </w:rPr>
        <w:t>3)施工中临时堆土点应远离地表水体。临时堆土场采取拦挡及苫盖措施，施工结束后拆除拦挡、苫盖。</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 w:right="11" w:firstLine="471"/>
        <w:textAlignment w:val="baseline"/>
        <w:rPr>
          <w:rFonts w:hint="eastAsia" w:ascii="宋体" w:hAnsi="宋体" w:eastAsia="宋体" w:cs="宋体"/>
          <w:spacing w:val="9"/>
          <w:sz w:val="24"/>
          <w:szCs w:val="24"/>
          <w:highlight w:val="none"/>
          <w:lang w:eastAsia="zh-CN"/>
        </w:rPr>
      </w:pPr>
      <w:r>
        <w:rPr>
          <w:rFonts w:hint="eastAsia" w:ascii="宋体" w:hAnsi="宋体" w:eastAsia="宋体" w:cs="宋体"/>
          <w:spacing w:val="9"/>
          <w:sz w:val="24"/>
          <w:szCs w:val="24"/>
          <w:highlight w:val="none"/>
          <w:lang w:eastAsia="zh-CN"/>
        </w:rPr>
        <w:t>4)基础钻孔或挖孔的渣不能随意堆弃，应运到指定地点堆放。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 w:right="11" w:firstLine="471"/>
        <w:textAlignment w:val="baseline"/>
        <w:rPr>
          <w:rFonts w:hint="eastAsia" w:ascii="宋体" w:hAnsi="宋体" w:eastAsia="宋体" w:cs="宋体"/>
          <w:spacing w:val="9"/>
          <w:sz w:val="24"/>
          <w:szCs w:val="24"/>
          <w:highlight w:val="none"/>
          <w:lang w:eastAsia="zh-CN"/>
        </w:rPr>
      </w:pPr>
      <w:r>
        <w:rPr>
          <w:rFonts w:hint="eastAsia" w:ascii="宋体" w:hAnsi="宋体" w:eastAsia="宋体" w:cs="宋体"/>
          <w:spacing w:val="9"/>
          <w:sz w:val="24"/>
          <w:szCs w:val="24"/>
          <w:highlight w:val="none"/>
          <w:lang w:eastAsia="zh-CN"/>
        </w:rPr>
        <w:t>5)尽可能采用商品混凝土。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 w:right="11" w:firstLine="471"/>
        <w:textAlignment w:val="baseline"/>
        <w:rPr>
          <w:rFonts w:hint="eastAsia" w:ascii="宋体" w:hAnsi="宋体" w:eastAsia="宋体" w:cs="宋体"/>
          <w:spacing w:val="9"/>
          <w:sz w:val="24"/>
          <w:szCs w:val="24"/>
          <w:highlight w:val="none"/>
          <w:lang w:eastAsia="zh-CN"/>
        </w:rPr>
      </w:pPr>
      <w:r>
        <w:rPr>
          <w:rFonts w:hint="eastAsia" w:ascii="宋体" w:hAnsi="宋体" w:eastAsia="宋体" w:cs="宋体"/>
          <w:spacing w:val="9"/>
          <w:sz w:val="24"/>
          <w:szCs w:val="24"/>
          <w:highlight w:val="none"/>
          <w:lang w:eastAsia="zh-CN"/>
        </w:rPr>
        <w:t>6)合理安排工期，抓紧时间完成施工内容，避免雨季施工。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6" w:right="11" w:firstLine="471"/>
        <w:textAlignment w:val="baseline"/>
        <w:rPr>
          <w:rFonts w:hint="eastAsia" w:ascii="宋体" w:hAnsi="宋体" w:eastAsia="宋体" w:cs="宋体"/>
          <w:spacing w:val="9"/>
          <w:sz w:val="24"/>
          <w:szCs w:val="24"/>
          <w:highlight w:val="none"/>
          <w:lang w:eastAsia="zh-CN"/>
        </w:rPr>
      </w:pPr>
      <w:r>
        <w:rPr>
          <w:rFonts w:hint="eastAsia" w:ascii="宋体" w:hAnsi="宋体" w:eastAsia="宋体" w:cs="宋体"/>
          <w:spacing w:val="9"/>
          <w:sz w:val="24"/>
          <w:szCs w:val="24"/>
          <w:highlight w:val="none"/>
          <w:lang w:eastAsia="zh-CN"/>
        </w:rPr>
        <w:t>7)</w:t>
      </w:r>
      <w:r>
        <w:rPr>
          <w:rFonts w:hint="default" w:ascii="宋体" w:hAnsi="宋体" w:eastAsia="宋体" w:cs="宋体"/>
          <w:spacing w:val="9"/>
          <w:sz w:val="24"/>
          <w:szCs w:val="24"/>
          <w:highlight w:val="none"/>
          <w:lang w:eastAsia="zh-CN"/>
        </w:rPr>
        <w:t>施工过程要尽量减少弃土，做好各项排水、截水、防止水土流失的设计，做好必要的截水沟和沉砂池，防止雨天水土流失</w:t>
      </w:r>
      <w:r>
        <w:rPr>
          <w:rFonts w:hint="eastAsia" w:ascii="宋体" w:hAnsi="宋体" w:eastAsia="宋体" w:cs="宋体"/>
          <w:spacing w:val="9"/>
          <w:sz w:val="24"/>
          <w:szCs w:val="24"/>
          <w:highlight w:val="none"/>
          <w:lang w:eastAsia="zh-CN"/>
        </w:rPr>
        <w:t>。</w:t>
      </w:r>
    </w:p>
    <w:p>
      <w:pPr>
        <w:spacing w:line="323" w:lineRule="exact"/>
        <w:ind w:left="482"/>
        <w:outlineLvl w:val="2"/>
        <w:rPr>
          <w:rFonts w:ascii="宋体" w:hAnsi="宋体" w:eastAsia="宋体" w:cs="宋体"/>
          <w:sz w:val="24"/>
          <w:szCs w:val="24"/>
          <w:highlight w:val="none"/>
        </w:rPr>
      </w:pPr>
      <w:bookmarkStart w:id="201" w:name="_Toc6058"/>
      <w:bookmarkStart w:id="202" w:name="_Toc19047"/>
      <w:bookmarkStart w:id="203" w:name="_Toc8826"/>
      <w:bookmarkStart w:id="204" w:name="_Toc1084"/>
      <w:bookmarkStart w:id="205" w:name="_Toc1849"/>
      <w:r>
        <w:rPr>
          <w:rFonts w:hint="eastAsia" w:ascii="Times New Roman" w:hAnsi="Times New Roman" w:eastAsia="Times New Roman" w:cs="Times New Roman"/>
          <w:spacing w:val="10"/>
          <w:position w:val="3"/>
          <w:sz w:val="24"/>
          <w:szCs w:val="24"/>
          <w:highlight w:val="none"/>
        </w:rPr>
        <w:t>③</w:t>
      </w:r>
      <w:r>
        <w:rPr>
          <w:rFonts w:ascii="宋体" w:hAnsi="宋体" w:eastAsia="宋体" w:cs="宋体"/>
          <w:spacing w:val="5"/>
          <w:position w:val="3"/>
          <w:sz w:val="24"/>
          <w:szCs w:val="24"/>
          <w:highlight w:val="none"/>
        </w:rPr>
        <w:t>施工噪声</w:t>
      </w:r>
      <w:bookmarkEnd w:id="201"/>
      <w:bookmarkEnd w:id="202"/>
      <w:bookmarkEnd w:id="203"/>
      <w:bookmarkEnd w:id="204"/>
      <w:bookmarkEnd w:id="205"/>
    </w:p>
    <w:p>
      <w:pPr>
        <w:spacing w:before="189" w:line="382" w:lineRule="auto"/>
        <w:ind w:left="2" w:right="9" w:firstLine="479"/>
        <w:rPr>
          <w:rFonts w:ascii="宋体" w:hAnsi="宋体" w:eastAsia="宋体" w:cs="宋体"/>
          <w:sz w:val="24"/>
          <w:szCs w:val="24"/>
          <w:highlight w:val="none"/>
        </w:rPr>
      </w:pPr>
      <w:r>
        <w:rPr>
          <w:rFonts w:ascii="宋体" w:hAnsi="宋体" w:eastAsia="宋体" w:cs="宋体"/>
          <w:spacing w:val="8"/>
          <w:sz w:val="24"/>
          <w:szCs w:val="24"/>
          <w:highlight w:val="none"/>
        </w:rPr>
        <w:t>塔基施工应尽</w:t>
      </w:r>
      <w:r>
        <w:rPr>
          <w:rFonts w:ascii="宋体" w:hAnsi="宋体" w:eastAsia="宋体" w:cs="宋体"/>
          <w:spacing w:val="16"/>
          <w:sz w:val="24"/>
          <w:szCs w:val="24"/>
          <w:highlight w:val="none"/>
        </w:rPr>
        <w:t>量安</w:t>
      </w:r>
      <w:r>
        <w:rPr>
          <w:rFonts w:ascii="宋体" w:hAnsi="宋体" w:eastAsia="宋体" w:cs="宋体"/>
          <w:spacing w:val="8"/>
          <w:sz w:val="24"/>
          <w:szCs w:val="24"/>
          <w:highlight w:val="none"/>
        </w:rPr>
        <w:t>排在白天进行；如果因工艺特殊情况要求，需在夜间施工时，应满足《中华人民共</w:t>
      </w:r>
      <w:r>
        <w:rPr>
          <w:rFonts w:ascii="宋体" w:hAnsi="宋体" w:eastAsia="宋体" w:cs="宋体"/>
          <w:spacing w:val="16"/>
          <w:sz w:val="24"/>
          <w:szCs w:val="24"/>
          <w:highlight w:val="none"/>
        </w:rPr>
        <w:t>和</w:t>
      </w:r>
      <w:r>
        <w:rPr>
          <w:rFonts w:ascii="宋体" w:hAnsi="宋体" w:eastAsia="宋体" w:cs="宋体"/>
          <w:spacing w:val="15"/>
          <w:sz w:val="24"/>
          <w:szCs w:val="24"/>
          <w:highlight w:val="none"/>
        </w:rPr>
        <w:t>国</w:t>
      </w:r>
      <w:r>
        <w:rPr>
          <w:rFonts w:ascii="宋体" w:hAnsi="宋体" w:eastAsia="宋体" w:cs="宋体"/>
          <w:spacing w:val="8"/>
          <w:sz w:val="24"/>
          <w:szCs w:val="24"/>
          <w:highlight w:val="none"/>
        </w:rPr>
        <w:t>噪声污染防治法》的相关规定。采用噪声水平满足国家相关标准的施工机械，控制</w:t>
      </w:r>
      <w:r>
        <w:rPr>
          <w:rFonts w:ascii="宋体" w:hAnsi="宋体" w:eastAsia="宋体" w:cs="宋体"/>
          <w:spacing w:val="16"/>
          <w:sz w:val="24"/>
          <w:szCs w:val="24"/>
          <w:highlight w:val="none"/>
        </w:rPr>
        <w:t>设备</w:t>
      </w:r>
      <w:r>
        <w:rPr>
          <w:rFonts w:ascii="宋体" w:hAnsi="宋体" w:eastAsia="宋体" w:cs="宋体"/>
          <w:spacing w:val="14"/>
          <w:sz w:val="24"/>
          <w:szCs w:val="24"/>
          <w:highlight w:val="none"/>
        </w:rPr>
        <w:t>噪</w:t>
      </w:r>
      <w:r>
        <w:rPr>
          <w:rFonts w:ascii="宋体" w:hAnsi="宋体" w:eastAsia="宋体" w:cs="宋体"/>
          <w:spacing w:val="8"/>
          <w:sz w:val="24"/>
          <w:szCs w:val="24"/>
          <w:highlight w:val="none"/>
        </w:rPr>
        <w:t>声源强。注意对施工设备的维修、保养，使各种施工机械保持良好的运行状态。</w:t>
      </w:r>
      <w:r>
        <w:rPr>
          <w:rFonts w:ascii="宋体" w:hAnsi="宋体" w:eastAsia="宋体" w:cs="宋体"/>
          <w:spacing w:val="18"/>
          <w:sz w:val="24"/>
          <w:szCs w:val="24"/>
          <w:highlight w:val="none"/>
        </w:rPr>
        <w:t>运</w:t>
      </w:r>
      <w:r>
        <w:rPr>
          <w:rFonts w:ascii="宋体" w:hAnsi="宋体" w:eastAsia="宋体" w:cs="宋体"/>
          <w:spacing w:val="11"/>
          <w:sz w:val="24"/>
          <w:szCs w:val="24"/>
          <w:highlight w:val="none"/>
        </w:rPr>
        <w:t>输</w:t>
      </w:r>
      <w:r>
        <w:rPr>
          <w:rFonts w:ascii="宋体" w:hAnsi="宋体" w:eastAsia="宋体" w:cs="宋体"/>
          <w:spacing w:val="9"/>
          <w:sz w:val="24"/>
          <w:szCs w:val="24"/>
          <w:highlight w:val="none"/>
        </w:rPr>
        <w:t>材料的车辆进入施工现场严禁鸣笛，装卸材料时应做到轻拿轻放。</w:t>
      </w:r>
    </w:p>
    <w:p>
      <w:pPr>
        <w:spacing w:before="145" w:line="384" w:lineRule="auto"/>
        <w:ind w:left="2" w:right="61" w:firstLine="480"/>
        <w:rPr>
          <w:rFonts w:ascii="Times New Roman" w:hAnsi="Times New Roman" w:eastAsia="Times New Roman" w:cs="Times New Roman"/>
          <w:sz w:val="23"/>
          <w:szCs w:val="23"/>
          <w:highlight w:val="none"/>
        </w:rPr>
      </w:pPr>
      <w:bookmarkStart w:id="206" w:name="_Toc17452"/>
      <w:r>
        <w:rPr>
          <w:rFonts w:hint="eastAsia" w:ascii="Times New Roman" w:hAnsi="Times New Roman" w:eastAsia="Times New Roman" w:cs="Times New Roman"/>
          <w:sz w:val="23"/>
          <w:szCs w:val="23"/>
          <w:highlight w:val="none"/>
        </w:rPr>
        <w:t>④</w:t>
      </w:r>
      <w:r>
        <w:rPr>
          <w:rFonts w:ascii="Times New Roman" w:hAnsi="Times New Roman" w:eastAsia="Times New Roman" w:cs="Times New Roman"/>
          <w:sz w:val="23"/>
          <w:szCs w:val="23"/>
          <w:highlight w:val="none"/>
        </w:rPr>
        <w:t>固体废物</w:t>
      </w:r>
      <w:bookmarkEnd w:id="206"/>
    </w:p>
    <w:p>
      <w:pPr>
        <w:spacing w:before="145" w:line="384" w:lineRule="auto"/>
        <w:ind w:left="2" w:right="61" w:firstLine="480"/>
        <w:rPr>
          <w:rFonts w:ascii="Times New Roman" w:hAnsi="Times New Roman" w:eastAsia="Times New Roman" w:cs="Times New Roman"/>
          <w:sz w:val="23"/>
          <w:szCs w:val="23"/>
          <w:highlight w:val="none"/>
        </w:rPr>
      </w:pPr>
      <w:r>
        <w:rPr>
          <w:rFonts w:ascii="Times New Roman" w:hAnsi="Times New Roman" w:eastAsia="Times New Roman" w:cs="Times New Roman"/>
          <w:sz w:val="23"/>
          <w:szCs w:val="23"/>
          <w:highlight w:val="none"/>
        </w:rPr>
        <w:t>在工程施工前应作好施工机构及施工人员的环保培训，明确要求施工过程中产生的 施工余土及生活垃圾应分别收集堆放。塔基施工余土一般量少，在施工完成后在塔基征 地范围内整平，并采取适宜的植物措施和工程措施防止水土流失；生活垃圾由当地环卫 部门妥善处理，及时运至环卫部门指定的地点安全处置。施工结束后对场地进行清理整 平，结合周边的土地利用现状及时恢复原有土地功能。</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07" w:name="_Toc2603"/>
      <w:r>
        <w:rPr>
          <w:rFonts w:hint="eastAsia" w:ascii="Times New Roman" w:hAnsi="Times New Roman" w:eastAsia="宋体" w:cs="Times New Roman"/>
          <w:snapToGrid/>
          <w:kern w:val="0"/>
          <w:sz w:val="24"/>
          <w:szCs w:val="24"/>
          <w:highlight w:val="none"/>
          <w:lang w:val="en-US" w:eastAsia="zh-CN" w:bidi="ar"/>
        </w:rPr>
        <w:t>⑤生态环境</w:t>
      </w:r>
      <w:bookmarkEnd w:id="207"/>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1)总体措施</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本工程包含 500kV 汇集站和两条输变电线路工程。500kV 汇集站占地类型为耕地；</w:t>
      </w:r>
      <w:r>
        <w:rPr>
          <w:rFonts w:hint="default" w:ascii="Times New Roman" w:hAnsi="Times New Roman" w:eastAsia="宋体" w:cs="Times New Roman"/>
          <w:snapToGrid/>
          <w:kern w:val="0"/>
          <w:sz w:val="24"/>
          <w:szCs w:val="24"/>
          <w:highlight w:val="none"/>
          <w:lang w:val="en-US" w:eastAsia="zh-CN" w:bidi="ar"/>
        </w:rPr>
        <w:t>500kV</w:t>
      </w:r>
      <w:r>
        <w:rPr>
          <w:rFonts w:hint="eastAsia" w:ascii="Times New Roman" w:hAnsi="Times New Roman" w:eastAsia="宋体" w:cs="Times New Roman"/>
          <w:snapToGrid/>
          <w:kern w:val="0"/>
          <w:sz w:val="24"/>
          <w:szCs w:val="24"/>
          <w:highlight w:val="none"/>
          <w:lang w:val="en-US" w:eastAsia="zh-CN" w:bidi="ar"/>
        </w:rPr>
        <w:t>输电线</w:t>
      </w:r>
      <w:r>
        <w:rPr>
          <w:rFonts w:hint="default" w:ascii="Times New Roman" w:hAnsi="Times New Roman" w:eastAsia="宋体" w:cs="Times New Roman"/>
          <w:snapToGrid/>
          <w:kern w:val="0"/>
          <w:sz w:val="24"/>
          <w:szCs w:val="24"/>
          <w:highlight w:val="none"/>
          <w:lang w:val="en-US" w:eastAsia="zh-CN" w:bidi="ar"/>
        </w:rPr>
        <w:t>起于新建的500kV汇集站，</w:t>
      </w:r>
      <w:r>
        <w:rPr>
          <w:rFonts w:hint="eastAsia" w:ascii="Times New Roman" w:hAnsi="Times New Roman" w:eastAsia="宋体" w:cs="Times New Roman"/>
          <w:snapToGrid/>
          <w:kern w:val="0"/>
          <w:sz w:val="24"/>
          <w:szCs w:val="24"/>
          <w:highlight w:val="none"/>
          <w:lang w:val="en-US" w:eastAsia="zh-CN" w:bidi="ar"/>
        </w:rPr>
        <w:t>沿线跨越林带、穿越油田机井密集区，进入国富500kV变电站，线路全长5km，占地类型为耕地；220</w:t>
      </w:r>
      <w:r>
        <w:rPr>
          <w:rFonts w:hint="default" w:ascii="Times New Roman" w:hAnsi="Times New Roman" w:eastAsia="宋体" w:cs="Times New Roman"/>
          <w:snapToGrid/>
          <w:kern w:val="0"/>
          <w:sz w:val="24"/>
          <w:szCs w:val="24"/>
          <w:highlight w:val="none"/>
          <w:lang w:val="en-US" w:eastAsia="zh-CN" w:bidi="ar"/>
        </w:rPr>
        <w:t>kV</w:t>
      </w:r>
      <w:r>
        <w:rPr>
          <w:rFonts w:hint="eastAsia" w:ascii="Times New Roman" w:hAnsi="Times New Roman" w:eastAsia="宋体" w:cs="Times New Roman"/>
          <w:snapToGrid/>
          <w:kern w:val="0"/>
          <w:sz w:val="24"/>
          <w:szCs w:val="24"/>
          <w:highlight w:val="none"/>
          <w:lang w:val="en-US" w:eastAsia="zh-CN" w:bidi="ar"/>
        </w:rPr>
        <w:t>输电线</w:t>
      </w:r>
      <w:r>
        <w:rPr>
          <w:rFonts w:hint="default" w:ascii="Times New Roman" w:hAnsi="Times New Roman" w:eastAsia="宋体" w:cs="Times New Roman"/>
          <w:snapToGrid/>
          <w:kern w:val="0"/>
          <w:sz w:val="24"/>
          <w:szCs w:val="24"/>
          <w:highlight w:val="none"/>
          <w:lang w:val="en-US" w:eastAsia="zh-CN" w:bidi="ar"/>
        </w:rPr>
        <w:t>起于</w:t>
      </w:r>
      <w:r>
        <w:rPr>
          <w:rFonts w:hint="eastAsia" w:ascii="Times New Roman" w:hAnsi="Times New Roman" w:eastAsia="宋体" w:cs="Times New Roman"/>
          <w:snapToGrid/>
          <w:kern w:val="0"/>
          <w:sz w:val="24"/>
          <w:szCs w:val="24"/>
          <w:highlight w:val="none"/>
          <w:lang w:val="en-US" w:eastAsia="zh-CN" w:bidi="ar"/>
        </w:rPr>
        <w:t>永跃220</w:t>
      </w:r>
      <w:r>
        <w:rPr>
          <w:rFonts w:hint="default" w:ascii="Times New Roman" w:hAnsi="Times New Roman" w:eastAsia="宋体" w:cs="Times New Roman"/>
          <w:snapToGrid/>
          <w:kern w:val="0"/>
          <w:sz w:val="24"/>
          <w:szCs w:val="24"/>
          <w:highlight w:val="none"/>
          <w:lang w:val="en-US" w:eastAsia="zh-CN" w:bidi="ar"/>
        </w:rPr>
        <w:t>kV升压站</w:t>
      </w:r>
      <w:r>
        <w:rPr>
          <w:rFonts w:hint="eastAsia" w:ascii="Times New Roman" w:hAnsi="Times New Roman" w:eastAsia="宋体" w:cs="Times New Roman"/>
          <w:snapToGrid/>
          <w:kern w:val="0"/>
          <w:sz w:val="24"/>
          <w:szCs w:val="24"/>
          <w:highlight w:val="none"/>
          <w:lang w:val="en-US" w:eastAsia="zh-CN" w:bidi="ar"/>
        </w:rPr>
        <w:t>，沿线跨越</w:t>
      </w:r>
      <w:r>
        <w:rPr>
          <w:rFonts w:hint="default" w:ascii="Times New Roman" w:hAnsi="Times New Roman" w:eastAsia="宋体" w:cs="Times New Roman"/>
          <w:snapToGrid/>
          <w:kern w:val="0"/>
          <w:sz w:val="24"/>
          <w:szCs w:val="24"/>
          <w:highlight w:val="none"/>
          <w:lang w:val="en-US" w:eastAsia="zh-CN" w:bidi="ar"/>
        </w:rPr>
        <w:t>220千伏</w:t>
      </w:r>
      <w:r>
        <w:rPr>
          <w:rFonts w:hint="eastAsia" w:ascii="Times New Roman" w:hAnsi="Times New Roman" w:eastAsia="宋体" w:cs="Times New Roman"/>
          <w:snapToGrid/>
          <w:kern w:val="0"/>
          <w:sz w:val="24"/>
          <w:szCs w:val="24"/>
          <w:highlight w:val="none"/>
          <w:lang w:val="en-US" w:eastAsia="zh-CN" w:bidi="ar"/>
        </w:rPr>
        <w:t>、</w:t>
      </w:r>
      <w:r>
        <w:rPr>
          <w:rFonts w:hint="default" w:ascii="Times New Roman" w:hAnsi="Times New Roman" w:eastAsia="宋体" w:cs="Times New Roman"/>
          <w:snapToGrid/>
          <w:kern w:val="0"/>
          <w:sz w:val="24"/>
          <w:szCs w:val="24"/>
          <w:highlight w:val="none"/>
          <w:lang w:val="en-US" w:eastAsia="zh-CN" w:bidi="ar"/>
        </w:rPr>
        <w:t>110千伏</w:t>
      </w:r>
      <w:r>
        <w:rPr>
          <w:rFonts w:hint="eastAsia" w:ascii="Times New Roman" w:hAnsi="Times New Roman" w:eastAsia="宋体" w:cs="Times New Roman"/>
          <w:snapToGrid/>
          <w:kern w:val="0"/>
          <w:sz w:val="24"/>
          <w:szCs w:val="24"/>
          <w:highlight w:val="none"/>
          <w:lang w:val="en-US" w:eastAsia="zh-CN" w:bidi="ar"/>
        </w:rPr>
        <w:t>输电线，</w:t>
      </w:r>
      <w:r>
        <w:rPr>
          <w:rFonts w:hint="default" w:ascii="Times New Roman" w:hAnsi="Times New Roman" w:eastAsia="宋体" w:cs="Times New Roman"/>
          <w:snapToGrid/>
          <w:kern w:val="0"/>
          <w:sz w:val="24"/>
          <w:szCs w:val="24"/>
          <w:highlight w:val="none"/>
          <w:lang w:val="en-US" w:eastAsia="zh-CN" w:bidi="ar"/>
        </w:rPr>
        <w:t>钻越500千伏</w:t>
      </w:r>
      <w:r>
        <w:rPr>
          <w:rFonts w:hint="eastAsia" w:ascii="Times New Roman" w:hAnsi="Times New Roman" w:eastAsia="宋体" w:cs="Times New Roman"/>
          <w:snapToGrid/>
          <w:kern w:val="0"/>
          <w:sz w:val="24"/>
          <w:szCs w:val="24"/>
          <w:highlight w:val="none"/>
          <w:lang w:val="en-US" w:eastAsia="zh-CN" w:bidi="ar"/>
        </w:rPr>
        <w:t>输电线，</w:t>
      </w:r>
      <w:r>
        <w:rPr>
          <w:rFonts w:hint="default" w:ascii="Times New Roman" w:hAnsi="Times New Roman" w:eastAsia="宋体" w:cs="Times New Roman"/>
          <w:snapToGrid/>
          <w:kern w:val="0"/>
          <w:sz w:val="24"/>
          <w:szCs w:val="24"/>
          <w:highlight w:val="none"/>
          <w:lang w:val="en-US" w:eastAsia="zh-CN" w:bidi="ar"/>
        </w:rPr>
        <w:t>经</w:t>
      </w:r>
      <w:r>
        <w:rPr>
          <w:rFonts w:hint="eastAsia" w:ascii="Times New Roman" w:hAnsi="Times New Roman" w:eastAsia="宋体" w:cs="Times New Roman"/>
          <w:snapToGrid/>
          <w:kern w:val="0"/>
          <w:sz w:val="24"/>
          <w:szCs w:val="24"/>
          <w:highlight w:val="none"/>
          <w:lang w:val="en-US" w:eastAsia="zh-CN" w:bidi="ar"/>
        </w:rPr>
        <w:t>村屯、企业、</w:t>
      </w:r>
      <w:r>
        <w:rPr>
          <w:rFonts w:hint="default" w:ascii="Times New Roman" w:hAnsi="Times New Roman" w:eastAsia="宋体" w:cs="Times New Roman"/>
          <w:snapToGrid/>
          <w:kern w:val="0"/>
          <w:sz w:val="24"/>
          <w:szCs w:val="24"/>
          <w:highlight w:val="none"/>
          <w:lang w:val="en-US" w:eastAsia="zh-CN" w:bidi="ar"/>
        </w:rPr>
        <w:t>鱼池</w:t>
      </w:r>
      <w:r>
        <w:rPr>
          <w:rFonts w:hint="eastAsia" w:ascii="Times New Roman" w:hAnsi="Times New Roman" w:eastAsia="宋体" w:cs="Times New Roman"/>
          <w:snapToGrid/>
          <w:kern w:val="0"/>
          <w:sz w:val="24"/>
          <w:szCs w:val="24"/>
          <w:highlight w:val="none"/>
          <w:lang w:val="en-US" w:eastAsia="zh-CN" w:bidi="ar"/>
        </w:rPr>
        <w:t>、</w:t>
      </w:r>
      <w:r>
        <w:rPr>
          <w:rFonts w:hint="default" w:ascii="Times New Roman" w:hAnsi="Times New Roman" w:eastAsia="宋体" w:cs="Times New Roman"/>
          <w:snapToGrid/>
          <w:kern w:val="0"/>
          <w:sz w:val="24"/>
          <w:szCs w:val="24"/>
          <w:highlight w:val="none"/>
          <w:lang w:val="en-US" w:eastAsia="zh-CN" w:bidi="ar"/>
        </w:rPr>
        <w:t>油田密集区，进入汇集站220千伏侧构架</w:t>
      </w:r>
      <w:r>
        <w:rPr>
          <w:rFonts w:hint="eastAsia" w:ascii="Times New Roman" w:hAnsi="Times New Roman" w:eastAsia="宋体" w:cs="Times New Roman"/>
          <w:snapToGrid/>
          <w:kern w:val="0"/>
          <w:sz w:val="24"/>
          <w:szCs w:val="24"/>
          <w:highlight w:val="none"/>
          <w:lang w:val="en-US" w:eastAsia="zh-CN" w:bidi="ar"/>
        </w:rPr>
        <w:t>，全长26km，占地类型为耕地、草地。</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2）总体要求</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本工程采取避让、减缓、修复、补偿等措施，通过路径方案比选，确定最终线路走向，从源头上防止和减少生态破坏。</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3）生态保护意识教育</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根据《中华人民共和国野生动物保护法》、《中华人民共和国野生植物保护条例》 等法律法规，加强对施工人员的环境保护意识教育，要求文明施工，不得滥采滥挖滥伐， 不得捡拾鸟卵、捕捉野生动物及其幼体等。</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4）划定施工范围</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根据工程施工位点，划定施工范围，禁止随意扩展施工范围。</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5）施工组织方式优化</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合理安排工期，避免大风及暴雨天气施工，提高施工效率，缩短施工时间，减少生 态影响；可根据天气情况及时调整施工工序，工序布设紧凑合理，避免因工序安排不当 而造成的大面积地表裸露，将水土流失控制在最小程度。</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sectPr>
          <w:headerReference r:id="rId37" w:type="default"/>
          <w:footerReference r:id="rId38" w:type="default"/>
          <w:pgSz w:w="11907" w:h="16840"/>
          <w:pgMar w:top="1212" w:right="1357" w:bottom="1155" w:left="1425" w:header="970" w:footer="994" w:gutter="0"/>
          <w:pgBorders>
            <w:top w:val="none" w:sz="0" w:space="0"/>
            <w:left w:val="none" w:sz="0" w:space="0"/>
            <w:bottom w:val="none" w:sz="0" w:space="0"/>
            <w:right w:val="none" w:sz="0" w:space="0"/>
          </w:pgBorders>
          <w:pgNumType w:fmt="decimal"/>
          <w:cols w:space="720" w:num="1"/>
        </w:sectPr>
      </w:pP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a加强施工人员管理</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加强施工人员管理，禁止施工人员打猎、捡拾鸟卵。</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b定期清理污染物</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施工时，污染物排放不得超过国家和地方规定的污染物排放标准，定期安排人员收 集垃圾和废污水，禁止向水体排放废污水、扔垃圾等。</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c加强水土保持和植被恢复措施</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工程施工应当尽量减少破坏植被；临时占地施工结束后应恢复原地貌和植被。 2)植物保护措施.</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d设置彩条旗或金属围栏等，严格控制塔基开挖面积，严格控制临时占地面积，尽 量减少施工活动的扰动面积，减少对植被影响。</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e牵张场及材料堆放场地采取下垫措施。</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f禁止采挖、破坏野生保护植物，施工过程如遇野生保护植物应设置围栏.</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g在耕地、园地区域，待施工结束后积极进行土地整治及复耕，在乔木林地及灌丛 区域要采用本地乡土灌草物种进行植被恢复，在草地区域采取人工播撒草籽进行植被恢复。</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h合理选择施工便道，尽可能利用已有道路，减少施工便道的修筑。</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i临时堆土进行苫盖，降低水土流失。</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j根据项目建设特点、扰动范围，采取“边施工、边恢复”措施，确保生态破坏小， 生态恢复快。</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6)动物保护措施</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a加强施工人员的教育和管理，加强施工监管。</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b施工现场设置警示牌和宣传牌，提醒施工人员和过路人员保护野生动物。</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c线路工程跨越水体时施工场地应远离水体，并禁止将施工废污水直接排入水体。</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xml:space="preserve">d要合理控制施工范围，控制施工噪声，减轻对野生动物的不良影响。 </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e减少耕地、园地占用，尽可能占用边角的荒地与草地等。</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f跨越耕地、园地线路进行塔基定位时，应结合地形特点优化，尽量使塔位不落入耕地、园地，或减少落入耕地、园地中心的塔位，使塔位落于边角，减少对耕作、种植 的影响。</w:t>
      </w:r>
    </w:p>
    <w:p>
      <w:pPr>
        <w:rPr>
          <w:highlight w:val="none"/>
        </w:rPr>
        <w:sectPr>
          <w:footerReference r:id="rId39" w:type="default"/>
          <w:pgSz w:w="11907" w:h="16840"/>
          <w:pgMar w:top="1212" w:right="1357" w:bottom="1155" w:left="1425" w:header="970" w:footer="994" w:gutter="0"/>
          <w:pgBorders>
            <w:top w:val="none" w:sz="0" w:space="0"/>
            <w:left w:val="none" w:sz="0" w:space="0"/>
            <w:bottom w:val="none" w:sz="0" w:space="0"/>
            <w:right w:val="none" w:sz="0" w:space="0"/>
          </w:pgBorders>
          <w:pgNumType w:fmt="decimal"/>
          <w:cols w:space="720" w:num="1"/>
        </w:sectPr>
      </w:pP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g施工中，应保存塔基开挖处表层土，临时堆土应堆放至田埂或田头边坡，不得覆压征用范围外农田、果园，回填时按照土层顺序实施。</w:t>
      </w:r>
    </w:p>
    <w:p>
      <w:pPr>
        <w:widowControl/>
        <w:numPr>
          <w:ilvl w:val="0"/>
          <w:numId w:val="0"/>
        </w:numPr>
        <w:kinsoku/>
        <w:autoSpaceDE/>
        <w:autoSpaceDN/>
        <w:adjustRightInd/>
        <w:snapToGrid/>
        <w:spacing w:line="360" w:lineRule="auto"/>
        <w:ind w:firstLine="480" w:firstLineChars="200"/>
        <w:jc w:val="both"/>
        <w:textAlignment w:val="auto"/>
        <w:rPr>
          <w:rFonts w:ascii="宋体" w:hAnsi="宋体" w:eastAsia="宋体" w:cs="宋体"/>
          <w:sz w:val="23"/>
          <w:szCs w:val="23"/>
          <w:highlight w:val="none"/>
        </w:rPr>
      </w:pPr>
      <w:r>
        <w:rPr>
          <w:rFonts w:hint="eastAsia" w:ascii="Times New Roman" w:hAnsi="Times New Roman" w:eastAsia="宋体" w:cs="Times New Roman"/>
          <w:snapToGrid/>
          <w:kern w:val="0"/>
          <w:sz w:val="24"/>
          <w:szCs w:val="24"/>
          <w:highlight w:val="none"/>
          <w:lang w:val="en-US" w:eastAsia="zh-CN" w:bidi="ar"/>
        </w:rPr>
        <w:t>h施工结束后，立即清理施工场地，进行土地整治，复耕。</w:t>
      </w:r>
      <w:r>
        <w:rPr>
          <w:rFonts w:ascii="宋体" w:hAnsi="宋体" w:eastAsia="宋体" w:cs="宋体"/>
          <w:sz w:val="23"/>
          <w:szCs w:val="23"/>
          <w:highlight w:val="none"/>
        </w:rPr>
        <w:t xml:space="preserve">            </w:t>
      </w:r>
    </w:p>
    <w:p>
      <w:pPr>
        <w:widowControl/>
        <w:numPr>
          <w:ilvl w:val="0"/>
          <w:numId w:val="0"/>
        </w:numPr>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bookmarkStart w:id="208" w:name="_Toc23371"/>
      <w:r>
        <w:rPr>
          <w:rFonts w:hint="eastAsia" w:ascii="Times New Roman" w:hAnsi="Times New Roman" w:eastAsia="宋体" w:cs="Times New Roman"/>
          <w:snapToGrid/>
          <w:kern w:val="0"/>
          <w:sz w:val="24"/>
          <w:szCs w:val="24"/>
          <w:highlight w:val="none"/>
          <w:lang w:val="en-US" w:eastAsia="zh-CN" w:bidi="ar"/>
        </w:rPr>
        <w:t>（3）  运行期环境保护措施</w:t>
      </w:r>
      <w:bookmarkEnd w:id="208"/>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xml:space="preserve">①运行管理和宣传教育                                                     </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1)加强对当地群众进行有关输电线路和设备方面的宣传工作，做好公众沟通工作。</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2)设立各种警告、防护标识，避免意外事故发生。</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3)依法进行运行期的环境管理和环境监测工作。</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4)加强对线路巡检人员的环境教育工作，提高其环保意识；巡检过程中应关注环保 问题。</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09" w:name="_Toc11648"/>
      <w:r>
        <w:rPr>
          <w:rFonts w:hint="eastAsia" w:ascii="Times New Roman" w:hAnsi="Times New Roman" w:eastAsia="宋体" w:cs="Times New Roman"/>
          <w:snapToGrid/>
          <w:kern w:val="0"/>
          <w:sz w:val="24"/>
          <w:szCs w:val="24"/>
          <w:highlight w:val="none"/>
          <w:lang w:val="en-US" w:eastAsia="zh-CN" w:bidi="ar"/>
        </w:rPr>
        <w:t>②竣工环境保护验收</w:t>
      </w:r>
      <w:bookmarkEnd w:id="209"/>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工程建成投运后，应进行竣工环境保护验收。</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10" w:name="_Toc6487"/>
      <w:r>
        <w:rPr>
          <w:rFonts w:hint="eastAsia" w:ascii="Times New Roman" w:hAnsi="Times New Roman" w:eastAsia="宋体" w:cs="Times New Roman"/>
          <w:snapToGrid/>
          <w:kern w:val="0"/>
          <w:sz w:val="24"/>
          <w:szCs w:val="24"/>
          <w:highlight w:val="none"/>
          <w:lang w:val="en-US" w:eastAsia="zh-CN" w:bidi="ar"/>
        </w:rPr>
        <w:t>③生态影响防护措施</w:t>
      </w:r>
      <w:bookmarkEnd w:id="210"/>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1)强化对线路巡检人员的生态保护意识教育。</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2)禁止巡检人员向水体内扔垃圾。</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3)对当地群众进行有关高压输电线路和设备方面环境宣传工作，帮助群众建立环境 保护意识。</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211" w:name="_bookmark143"/>
      <w:bookmarkEnd w:id="211"/>
      <w:bookmarkStart w:id="212" w:name="_Toc21724"/>
      <w:bookmarkStart w:id="213" w:name="_Toc28176"/>
      <w:bookmarkStart w:id="214" w:name="_Toc27139"/>
      <w:bookmarkStart w:id="215" w:name="_Toc3755"/>
      <w:bookmarkStart w:id="216" w:name="_Toc17549"/>
      <w:r>
        <w:rPr>
          <w:rFonts w:hint="eastAsia" w:ascii="Times New Roman" w:hAnsi="Times New Roman" w:eastAsia="宋体" w:cs="Times New Roman"/>
          <w:snapToGrid/>
          <w:sz w:val="32"/>
          <w:lang w:val="en-US" w:eastAsia="zh-CN" w:bidi="ar-SA"/>
        </w:rPr>
        <w:t>7.2    环境保护设施、措施分析论证</w:t>
      </w:r>
      <w:bookmarkEnd w:id="212"/>
      <w:bookmarkEnd w:id="213"/>
      <w:bookmarkEnd w:id="214"/>
      <w:bookmarkEnd w:id="215"/>
      <w:bookmarkEnd w:id="216"/>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根据工程性质及环境影响特点，本工程在设计阶段采取了相应环境保护措施，如线 路避让村屯等环境敏感区，尽量远离居民点。</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这些措施是根据本工程特点、工程设计技术规范、环境保护要求拟定的，体现了“预 防为主、环境友好”的设计理念。同时这些措施大部分是在该地区已投运 500kV 输变电 工程设计、建设、运行的基础上，不断加以分析、改进得来的，具有技术可行性和经济 合理性。</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本环评根据工程环境影响特点、环境影响评价中发现的问题及项目区环境现状补充 了设计、施工及运行期的环境保护措施，以保证本工程的建设符合国家环境影响评价、 环境保护法律法规及技术政策的要求。</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217" w:name="_bookmark144"/>
      <w:bookmarkEnd w:id="217"/>
      <w:bookmarkStart w:id="218" w:name="_Toc29148"/>
      <w:bookmarkStart w:id="219" w:name="_Toc32586"/>
      <w:bookmarkStart w:id="220" w:name="_Toc5339"/>
      <w:bookmarkStart w:id="221" w:name="_Toc25705"/>
      <w:bookmarkStart w:id="222" w:name="_Toc130"/>
      <w:r>
        <w:rPr>
          <w:rFonts w:hint="eastAsia" w:ascii="Times New Roman" w:hAnsi="Times New Roman" w:eastAsia="宋体" w:cs="Times New Roman"/>
          <w:snapToGrid/>
          <w:sz w:val="32"/>
          <w:lang w:val="en-US" w:eastAsia="zh-CN" w:bidi="ar-SA"/>
        </w:rPr>
        <w:t>7.3    环境保护设施、措施投资估算</w:t>
      </w:r>
      <w:bookmarkEnd w:id="218"/>
      <w:bookmarkEnd w:id="219"/>
      <w:bookmarkEnd w:id="220"/>
      <w:bookmarkEnd w:id="221"/>
      <w:bookmarkEnd w:id="222"/>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本工程预计环保措施投资约297 万元， 本工程环保措施投资估算见表 7.3- 1。</w:t>
      </w:r>
    </w:p>
    <w:p>
      <w:pPr>
        <w:widowControl/>
        <w:numPr>
          <w:ilvl w:val="0"/>
          <w:numId w:val="0"/>
        </w:numPr>
        <w:kinsoku/>
        <w:autoSpaceDE/>
        <w:autoSpaceDN/>
        <w:adjustRightInd/>
        <w:snapToGrid/>
        <w:spacing w:line="360" w:lineRule="auto"/>
        <w:jc w:val="center"/>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表 7.3- 1    本工程环保措施投资估算表</w:t>
      </w:r>
    </w:p>
    <w:p>
      <w:pPr>
        <w:spacing w:line="129" w:lineRule="exact"/>
        <w:rPr>
          <w:highlight w:val="none"/>
        </w:rPr>
      </w:pPr>
    </w:p>
    <w:tbl>
      <w:tblPr>
        <w:tblStyle w:val="20"/>
        <w:tblW w:w="928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0"/>
        <w:gridCol w:w="931"/>
        <w:gridCol w:w="5307"/>
        <w:gridCol w:w="20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1911" w:type="dxa"/>
            <w:gridSpan w:val="2"/>
            <w:tcBorders>
              <w:left w:val="single" w:color="000000" w:sz="10" w:space="0"/>
            </w:tcBorders>
            <w:vAlign w:val="center"/>
          </w:tcPr>
          <w:p>
            <w:pPr>
              <w:spacing w:before="52" w:line="228" w:lineRule="auto"/>
              <w:ind w:left="765"/>
              <w:rPr>
                <w:rFonts w:ascii="宋体" w:hAnsi="宋体" w:eastAsia="宋体" w:cs="宋体"/>
                <w:sz w:val="17"/>
                <w:szCs w:val="17"/>
                <w:highlight w:val="none"/>
              </w:rPr>
            </w:pPr>
            <w:r>
              <w:rPr>
                <w:rFonts w:ascii="宋体" w:hAnsi="宋体" w:eastAsia="宋体" w:cs="宋体"/>
                <w:spacing w:val="7"/>
                <w:sz w:val="17"/>
                <w:szCs w:val="17"/>
                <w:highlight w:val="none"/>
              </w:rPr>
              <w:t>序</w:t>
            </w:r>
            <w:r>
              <w:rPr>
                <w:rFonts w:ascii="宋体" w:hAnsi="宋体" w:eastAsia="宋体" w:cs="宋体"/>
                <w:spacing w:val="6"/>
                <w:sz w:val="17"/>
                <w:szCs w:val="17"/>
                <w:highlight w:val="none"/>
              </w:rPr>
              <w:t>号</w:t>
            </w:r>
          </w:p>
        </w:tc>
        <w:tc>
          <w:tcPr>
            <w:tcW w:w="5307" w:type="dxa"/>
            <w:vAlign w:val="center"/>
          </w:tcPr>
          <w:p>
            <w:pPr>
              <w:spacing w:before="52" w:line="228" w:lineRule="auto"/>
              <w:ind w:left="2480"/>
              <w:rPr>
                <w:rFonts w:ascii="宋体" w:hAnsi="宋体" w:eastAsia="宋体" w:cs="宋体"/>
                <w:sz w:val="17"/>
                <w:szCs w:val="17"/>
                <w:highlight w:val="none"/>
              </w:rPr>
            </w:pPr>
            <w:r>
              <w:rPr>
                <w:rFonts w:ascii="宋体" w:hAnsi="宋体" w:eastAsia="宋体" w:cs="宋体"/>
                <w:spacing w:val="5"/>
                <w:sz w:val="17"/>
                <w:szCs w:val="17"/>
                <w:highlight w:val="none"/>
              </w:rPr>
              <w:t>项目</w:t>
            </w:r>
          </w:p>
        </w:tc>
        <w:tc>
          <w:tcPr>
            <w:tcW w:w="2071" w:type="dxa"/>
            <w:tcBorders>
              <w:right w:val="single" w:color="000000" w:sz="10" w:space="0"/>
            </w:tcBorders>
            <w:vAlign w:val="center"/>
          </w:tcPr>
          <w:p>
            <w:pPr>
              <w:spacing w:before="17" w:line="242" w:lineRule="exact"/>
              <w:ind w:left="633"/>
              <w:rPr>
                <w:rFonts w:ascii="Times New Roman" w:hAnsi="Times New Roman" w:eastAsia="Times New Roman" w:cs="Times New Roman"/>
                <w:sz w:val="17"/>
                <w:szCs w:val="17"/>
                <w:highlight w:val="none"/>
              </w:rPr>
            </w:pPr>
            <w:r>
              <w:rPr>
                <w:rFonts w:ascii="宋体" w:hAnsi="宋体" w:eastAsia="宋体" w:cs="宋体"/>
                <w:spacing w:val="7"/>
                <w:position w:val="2"/>
                <w:sz w:val="17"/>
                <w:szCs w:val="17"/>
                <w:highlight w:val="none"/>
              </w:rPr>
              <w:t>费</w:t>
            </w:r>
            <w:r>
              <w:rPr>
                <w:rFonts w:ascii="宋体" w:hAnsi="宋体" w:eastAsia="宋体" w:cs="宋体"/>
                <w:spacing w:val="4"/>
                <w:position w:val="2"/>
                <w:sz w:val="17"/>
                <w:szCs w:val="17"/>
                <w:highlight w:val="none"/>
              </w:rPr>
              <w:t>用</w:t>
            </w:r>
            <w:r>
              <w:rPr>
                <w:rFonts w:ascii="Times New Roman" w:hAnsi="Times New Roman" w:eastAsia="Times New Roman" w:cs="Times New Roman"/>
                <w:spacing w:val="4"/>
                <w:position w:val="2"/>
                <w:sz w:val="17"/>
                <w:szCs w:val="17"/>
                <w:highlight w:val="none"/>
              </w:rPr>
              <w:t>(</w:t>
            </w:r>
            <w:r>
              <w:rPr>
                <w:rFonts w:ascii="宋体" w:hAnsi="宋体" w:eastAsia="宋体" w:cs="宋体"/>
                <w:spacing w:val="4"/>
                <w:position w:val="2"/>
                <w:sz w:val="17"/>
                <w:szCs w:val="17"/>
                <w:highlight w:val="none"/>
              </w:rPr>
              <w:t>万元</w:t>
            </w:r>
            <w:r>
              <w:rPr>
                <w:rFonts w:ascii="Times New Roman" w:hAnsi="Times New Roman" w:eastAsia="Times New Roman" w:cs="Times New Roman"/>
                <w:spacing w:val="4"/>
                <w:position w:val="2"/>
                <w:sz w:val="17"/>
                <w:szCs w:val="17"/>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980" w:type="dxa"/>
            <w:vMerge w:val="restart"/>
            <w:tcBorders>
              <w:left w:val="single" w:color="000000" w:sz="10" w:space="0"/>
              <w:bottom w:val="nil"/>
            </w:tcBorders>
            <w:vAlign w:val="center"/>
          </w:tcPr>
          <w:p>
            <w:pPr>
              <w:spacing w:line="348" w:lineRule="auto"/>
              <w:rPr>
                <w:rFonts w:ascii="Arial"/>
                <w:sz w:val="21"/>
                <w:highlight w:val="none"/>
              </w:rPr>
            </w:pPr>
          </w:p>
          <w:p>
            <w:pPr>
              <w:spacing w:line="349" w:lineRule="auto"/>
              <w:rPr>
                <w:rFonts w:ascii="Arial"/>
                <w:sz w:val="21"/>
                <w:highlight w:val="none"/>
              </w:rPr>
            </w:pPr>
          </w:p>
          <w:p>
            <w:pPr>
              <w:spacing w:before="56" w:line="230" w:lineRule="auto"/>
              <w:ind w:left="29"/>
              <w:rPr>
                <w:rFonts w:ascii="宋体" w:hAnsi="宋体" w:eastAsia="宋体" w:cs="宋体"/>
                <w:sz w:val="17"/>
                <w:szCs w:val="17"/>
                <w:highlight w:val="none"/>
              </w:rPr>
            </w:pPr>
            <w:r>
              <w:rPr>
                <w:rFonts w:ascii="宋体" w:hAnsi="宋体" w:eastAsia="宋体" w:cs="宋体"/>
                <w:spacing w:val="10"/>
                <w:sz w:val="17"/>
                <w:szCs w:val="17"/>
                <w:highlight w:val="none"/>
              </w:rPr>
              <w:t>汇</w:t>
            </w:r>
            <w:r>
              <w:rPr>
                <w:rFonts w:ascii="宋体" w:hAnsi="宋体" w:eastAsia="宋体" w:cs="宋体"/>
                <w:spacing w:val="8"/>
                <w:sz w:val="17"/>
                <w:szCs w:val="17"/>
                <w:highlight w:val="none"/>
              </w:rPr>
              <w:t>集站工程</w:t>
            </w:r>
          </w:p>
        </w:tc>
        <w:tc>
          <w:tcPr>
            <w:tcW w:w="931" w:type="dxa"/>
            <w:vAlign w:val="center"/>
          </w:tcPr>
          <w:p>
            <w:pPr>
              <w:spacing w:before="58" w:line="197" w:lineRule="auto"/>
              <w:ind w:left="429"/>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1</w:t>
            </w:r>
          </w:p>
        </w:tc>
        <w:tc>
          <w:tcPr>
            <w:tcW w:w="5307" w:type="dxa"/>
            <w:vAlign w:val="center"/>
          </w:tcPr>
          <w:p>
            <w:pPr>
              <w:spacing w:before="28" w:line="228" w:lineRule="auto"/>
              <w:ind w:left="1667"/>
              <w:rPr>
                <w:rFonts w:hint="eastAsia" w:ascii="宋体" w:hAnsi="宋体" w:eastAsia="宋体" w:cs="宋体"/>
                <w:sz w:val="17"/>
                <w:szCs w:val="17"/>
                <w:highlight w:val="none"/>
                <w:lang w:eastAsia="zh-CN"/>
              </w:rPr>
            </w:pPr>
            <w:r>
              <w:rPr>
                <w:rFonts w:ascii="宋体" w:hAnsi="宋体" w:eastAsia="宋体" w:cs="宋体"/>
                <w:spacing w:val="13"/>
                <w:sz w:val="17"/>
                <w:szCs w:val="17"/>
                <w:highlight w:val="none"/>
              </w:rPr>
              <w:t>施</w:t>
            </w:r>
            <w:r>
              <w:rPr>
                <w:rFonts w:ascii="宋体" w:hAnsi="宋体" w:eastAsia="宋体" w:cs="宋体"/>
                <w:spacing w:val="9"/>
                <w:sz w:val="17"/>
                <w:szCs w:val="17"/>
                <w:highlight w:val="none"/>
              </w:rPr>
              <w:t>工期</w:t>
            </w:r>
            <w:r>
              <w:rPr>
                <w:rFonts w:hint="eastAsia" w:ascii="宋体" w:hAnsi="宋体" w:eastAsia="宋体" w:cs="宋体"/>
                <w:spacing w:val="9"/>
                <w:sz w:val="17"/>
                <w:szCs w:val="17"/>
                <w:highlight w:val="none"/>
                <w:lang w:eastAsia="zh-CN"/>
              </w:rPr>
              <w:t>生态保护措施</w:t>
            </w:r>
          </w:p>
        </w:tc>
        <w:tc>
          <w:tcPr>
            <w:tcW w:w="2071" w:type="dxa"/>
            <w:tcBorders>
              <w:right w:val="single" w:color="000000" w:sz="10" w:space="0"/>
            </w:tcBorders>
            <w:vAlign w:val="center"/>
          </w:tcPr>
          <w:p>
            <w:pPr>
              <w:spacing w:before="58" w:line="200" w:lineRule="auto"/>
              <w:ind w:left="945"/>
              <w:rPr>
                <w:rFonts w:hint="default" w:ascii="Times New Roman" w:hAnsi="Times New Roman" w:eastAsia="宋体" w:cs="Times New Roman"/>
                <w:sz w:val="17"/>
                <w:szCs w:val="17"/>
                <w:highlight w:val="none"/>
                <w:lang w:val="en-US" w:eastAsia="zh-CN"/>
              </w:rPr>
            </w:pPr>
            <w:r>
              <w:rPr>
                <w:rFonts w:hint="eastAsia" w:ascii="Times New Roman" w:hAnsi="Times New Roman" w:eastAsia="宋体" w:cs="Times New Roman"/>
                <w:sz w:val="17"/>
                <w:szCs w:val="17"/>
                <w:highlight w:val="none"/>
                <w:lang w:val="en-US" w:eastAsia="zh-CN"/>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exact"/>
        </w:trPr>
        <w:tc>
          <w:tcPr>
            <w:tcW w:w="980" w:type="dxa"/>
            <w:vMerge w:val="continue"/>
            <w:tcBorders>
              <w:top w:val="nil"/>
              <w:left w:val="single" w:color="000000" w:sz="10" w:space="0"/>
              <w:bottom w:val="nil"/>
            </w:tcBorders>
            <w:vAlign w:val="center"/>
          </w:tcPr>
          <w:p>
            <w:pPr>
              <w:rPr>
                <w:rFonts w:ascii="Arial"/>
                <w:sz w:val="21"/>
                <w:highlight w:val="none"/>
              </w:rPr>
            </w:pPr>
          </w:p>
        </w:tc>
        <w:tc>
          <w:tcPr>
            <w:tcW w:w="931" w:type="dxa"/>
            <w:vAlign w:val="center"/>
          </w:tcPr>
          <w:p>
            <w:pPr>
              <w:spacing w:before="58" w:line="197" w:lineRule="auto"/>
              <w:ind w:left="412"/>
              <w:rPr>
                <w:rFonts w:ascii="Times New Roman" w:hAnsi="Times New Roman" w:eastAsia="Times New Roman" w:cs="Times New Roman"/>
                <w:sz w:val="17"/>
                <w:szCs w:val="17"/>
                <w:highlight w:val="none"/>
              </w:rPr>
            </w:pPr>
            <w:r>
              <w:rPr>
                <w:rFonts w:ascii="Times New Roman" w:hAnsi="Times New Roman" w:eastAsia="Times New Roman" w:cs="Times New Roman"/>
                <w:spacing w:val="1"/>
                <w:sz w:val="17"/>
                <w:szCs w:val="17"/>
                <w:highlight w:val="none"/>
              </w:rPr>
              <w:t>2</w:t>
            </w:r>
          </w:p>
        </w:tc>
        <w:tc>
          <w:tcPr>
            <w:tcW w:w="5307" w:type="dxa"/>
            <w:vAlign w:val="center"/>
          </w:tcPr>
          <w:p>
            <w:pPr>
              <w:spacing w:before="28" w:line="228" w:lineRule="auto"/>
              <w:ind w:left="1667" w:leftChars="0"/>
              <w:rPr>
                <w:rFonts w:ascii="宋体" w:hAnsi="宋体" w:eastAsia="宋体" w:cs="宋体"/>
                <w:snapToGrid w:val="0"/>
                <w:color w:val="000000"/>
                <w:kern w:val="0"/>
                <w:sz w:val="17"/>
                <w:szCs w:val="17"/>
                <w:highlight w:val="none"/>
              </w:rPr>
            </w:pPr>
            <w:r>
              <w:rPr>
                <w:rFonts w:ascii="宋体" w:hAnsi="宋体" w:eastAsia="宋体" w:cs="宋体"/>
                <w:spacing w:val="13"/>
                <w:sz w:val="17"/>
                <w:szCs w:val="17"/>
                <w:highlight w:val="none"/>
              </w:rPr>
              <w:t>施</w:t>
            </w:r>
            <w:r>
              <w:rPr>
                <w:rFonts w:ascii="宋体" w:hAnsi="宋体" w:eastAsia="宋体" w:cs="宋体"/>
                <w:spacing w:val="9"/>
                <w:sz w:val="17"/>
                <w:szCs w:val="17"/>
                <w:highlight w:val="none"/>
              </w:rPr>
              <w:t>工期扬尘污染防治措施</w:t>
            </w:r>
          </w:p>
        </w:tc>
        <w:tc>
          <w:tcPr>
            <w:tcW w:w="2071" w:type="dxa"/>
            <w:tcBorders>
              <w:right w:val="single" w:color="000000" w:sz="10" w:space="0"/>
            </w:tcBorders>
            <w:vAlign w:val="center"/>
          </w:tcPr>
          <w:p>
            <w:pPr>
              <w:spacing w:before="58" w:line="200" w:lineRule="auto"/>
              <w:ind w:left="945" w:leftChars="0"/>
              <w:rPr>
                <w:rFonts w:hint="default" w:ascii="Times New Roman" w:hAnsi="Times New Roman" w:eastAsia="Times New Roman" w:cs="Times New Roman"/>
                <w:snapToGrid w:val="0"/>
                <w:color w:val="000000"/>
                <w:kern w:val="0"/>
                <w:sz w:val="17"/>
                <w:szCs w:val="17"/>
                <w:highlight w:val="none"/>
                <w:lang w:val="en-US" w:eastAsia="zh-CN"/>
              </w:rPr>
            </w:pPr>
            <w:r>
              <w:rPr>
                <w:rFonts w:hint="eastAsia" w:ascii="Times New Roman" w:hAnsi="Times New Roman" w:eastAsia="宋体" w:cs="Times New Roman"/>
                <w:spacing w:val="-4"/>
                <w:sz w:val="17"/>
                <w:szCs w:val="17"/>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exact"/>
        </w:trPr>
        <w:tc>
          <w:tcPr>
            <w:tcW w:w="980" w:type="dxa"/>
            <w:vMerge w:val="continue"/>
            <w:tcBorders>
              <w:top w:val="nil"/>
              <w:left w:val="single" w:color="000000" w:sz="10" w:space="0"/>
              <w:bottom w:val="nil"/>
            </w:tcBorders>
            <w:vAlign w:val="center"/>
          </w:tcPr>
          <w:p>
            <w:pPr>
              <w:rPr>
                <w:rFonts w:ascii="Arial"/>
                <w:sz w:val="21"/>
                <w:highlight w:val="none"/>
              </w:rPr>
            </w:pPr>
          </w:p>
        </w:tc>
        <w:tc>
          <w:tcPr>
            <w:tcW w:w="931" w:type="dxa"/>
            <w:vAlign w:val="center"/>
          </w:tcPr>
          <w:p>
            <w:pPr>
              <w:spacing w:before="59" w:line="197" w:lineRule="auto"/>
              <w:ind w:left="415"/>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3</w:t>
            </w:r>
          </w:p>
        </w:tc>
        <w:tc>
          <w:tcPr>
            <w:tcW w:w="5307" w:type="dxa"/>
            <w:vAlign w:val="center"/>
          </w:tcPr>
          <w:p>
            <w:pPr>
              <w:spacing w:before="27" w:line="229" w:lineRule="auto"/>
              <w:ind w:left="1576" w:leftChars="0" w:firstLine="198" w:firstLineChars="100"/>
              <w:rPr>
                <w:rFonts w:ascii="宋体" w:hAnsi="宋体" w:eastAsia="宋体" w:cs="宋体"/>
                <w:snapToGrid w:val="0"/>
                <w:color w:val="000000"/>
                <w:kern w:val="0"/>
                <w:sz w:val="17"/>
                <w:szCs w:val="17"/>
                <w:highlight w:val="none"/>
              </w:rPr>
            </w:pPr>
            <w:r>
              <w:rPr>
                <w:rFonts w:ascii="宋体" w:hAnsi="宋体" w:eastAsia="宋体" w:cs="宋体"/>
                <w:spacing w:val="14"/>
                <w:sz w:val="17"/>
                <w:szCs w:val="17"/>
                <w:highlight w:val="none"/>
              </w:rPr>
              <w:t>施</w:t>
            </w:r>
            <w:r>
              <w:rPr>
                <w:rFonts w:ascii="宋体" w:hAnsi="宋体" w:eastAsia="宋体" w:cs="宋体"/>
                <w:spacing w:val="9"/>
                <w:sz w:val="17"/>
                <w:szCs w:val="17"/>
                <w:highlight w:val="none"/>
              </w:rPr>
              <w:t>工期设置沉淀池</w:t>
            </w:r>
          </w:p>
        </w:tc>
        <w:tc>
          <w:tcPr>
            <w:tcW w:w="2071" w:type="dxa"/>
            <w:tcBorders>
              <w:right w:val="single" w:color="000000" w:sz="10" w:space="0"/>
            </w:tcBorders>
            <w:vAlign w:val="center"/>
          </w:tcPr>
          <w:p>
            <w:pPr>
              <w:spacing w:before="58" w:line="200" w:lineRule="auto"/>
              <w:ind w:left="945" w:leftChars="0"/>
              <w:rPr>
                <w:rFonts w:hint="default" w:ascii="Times New Roman" w:hAnsi="Times New Roman" w:eastAsia="宋体" w:cs="Times New Roman"/>
                <w:snapToGrid w:val="0"/>
                <w:color w:val="000000"/>
                <w:kern w:val="0"/>
                <w:sz w:val="17"/>
                <w:szCs w:val="17"/>
                <w:highlight w:val="none"/>
                <w:lang w:val="en-US" w:eastAsia="zh-CN"/>
              </w:rPr>
            </w:pPr>
            <w:r>
              <w:rPr>
                <w:rFonts w:hint="eastAsia" w:ascii="Times New Roman" w:hAnsi="Times New Roman" w:eastAsia="宋体" w:cs="Times New Roman"/>
                <w:spacing w:val="-2"/>
                <w:sz w:val="17"/>
                <w:szCs w:val="17"/>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980" w:type="dxa"/>
            <w:vMerge w:val="continue"/>
            <w:tcBorders>
              <w:top w:val="nil"/>
              <w:left w:val="single" w:color="000000" w:sz="10" w:space="0"/>
              <w:bottom w:val="nil"/>
            </w:tcBorders>
            <w:vAlign w:val="center"/>
          </w:tcPr>
          <w:p>
            <w:pPr>
              <w:rPr>
                <w:rFonts w:ascii="Arial"/>
                <w:sz w:val="21"/>
                <w:highlight w:val="none"/>
              </w:rPr>
            </w:pPr>
          </w:p>
        </w:tc>
        <w:tc>
          <w:tcPr>
            <w:tcW w:w="931" w:type="dxa"/>
            <w:vAlign w:val="center"/>
          </w:tcPr>
          <w:p>
            <w:pPr>
              <w:spacing w:before="59" w:line="197" w:lineRule="auto"/>
              <w:ind w:left="411"/>
              <w:rPr>
                <w:rFonts w:ascii="Times New Roman" w:hAnsi="Times New Roman" w:eastAsia="Times New Roman" w:cs="Times New Roman"/>
                <w:sz w:val="17"/>
                <w:szCs w:val="17"/>
                <w:highlight w:val="none"/>
              </w:rPr>
            </w:pPr>
            <w:r>
              <w:rPr>
                <w:rFonts w:ascii="Times New Roman" w:hAnsi="Times New Roman" w:eastAsia="Times New Roman" w:cs="Times New Roman"/>
                <w:spacing w:val="2"/>
                <w:sz w:val="17"/>
                <w:szCs w:val="17"/>
                <w:highlight w:val="none"/>
              </w:rPr>
              <w:t>4</w:t>
            </w:r>
          </w:p>
        </w:tc>
        <w:tc>
          <w:tcPr>
            <w:tcW w:w="5307" w:type="dxa"/>
            <w:vAlign w:val="center"/>
          </w:tcPr>
          <w:p>
            <w:pPr>
              <w:spacing w:before="28" w:line="227" w:lineRule="auto"/>
              <w:ind w:left="1847" w:leftChars="0"/>
              <w:rPr>
                <w:rFonts w:ascii="宋体" w:hAnsi="宋体" w:eastAsia="宋体" w:cs="宋体"/>
                <w:snapToGrid w:val="0"/>
                <w:color w:val="000000"/>
                <w:kern w:val="0"/>
                <w:sz w:val="17"/>
                <w:szCs w:val="17"/>
                <w:highlight w:val="none"/>
              </w:rPr>
            </w:pPr>
            <w:r>
              <w:rPr>
                <w:rFonts w:ascii="宋体" w:hAnsi="宋体" w:eastAsia="宋体" w:cs="宋体"/>
                <w:spacing w:val="11"/>
                <w:sz w:val="17"/>
                <w:szCs w:val="17"/>
                <w:highlight w:val="none"/>
              </w:rPr>
              <w:t>施</w:t>
            </w:r>
            <w:r>
              <w:rPr>
                <w:rFonts w:ascii="宋体" w:hAnsi="宋体" w:eastAsia="宋体" w:cs="宋体"/>
                <w:spacing w:val="9"/>
                <w:sz w:val="17"/>
                <w:szCs w:val="17"/>
                <w:highlight w:val="none"/>
              </w:rPr>
              <w:t>工期噪声监控措施</w:t>
            </w:r>
          </w:p>
        </w:tc>
        <w:tc>
          <w:tcPr>
            <w:tcW w:w="2071" w:type="dxa"/>
            <w:tcBorders>
              <w:right w:val="single" w:color="000000" w:sz="10" w:space="0"/>
            </w:tcBorders>
            <w:vAlign w:val="center"/>
          </w:tcPr>
          <w:p>
            <w:pPr>
              <w:spacing w:before="59" w:line="200" w:lineRule="auto"/>
              <w:ind w:left="945" w:leftChars="0"/>
              <w:rPr>
                <w:rFonts w:hint="eastAsia" w:ascii="Times New Roman" w:hAnsi="Times New Roman" w:eastAsia="Times New Roman" w:cs="Times New Roman"/>
                <w:snapToGrid w:val="0"/>
                <w:color w:val="000000"/>
                <w:kern w:val="0"/>
                <w:sz w:val="17"/>
                <w:szCs w:val="17"/>
                <w:highlight w:val="none"/>
                <w:lang w:eastAsia="zh-CN"/>
              </w:rPr>
            </w:pPr>
            <w:r>
              <w:rPr>
                <w:rFonts w:ascii="Times New Roman" w:hAnsi="Times New Roman" w:eastAsia="Times New Roman" w:cs="Times New Roman"/>
                <w:spacing w:val="-4"/>
                <w:sz w:val="17"/>
                <w:szCs w:val="17"/>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980" w:type="dxa"/>
            <w:vMerge w:val="continue"/>
            <w:tcBorders>
              <w:top w:val="nil"/>
              <w:left w:val="single" w:color="000000" w:sz="10" w:space="0"/>
              <w:bottom w:val="nil"/>
            </w:tcBorders>
            <w:vAlign w:val="center"/>
          </w:tcPr>
          <w:p>
            <w:pPr>
              <w:rPr>
                <w:rFonts w:ascii="Arial"/>
                <w:sz w:val="21"/>
                <w:highlight w:val="none"/>
              </w:rPr>
            </w:pPr>
          </w:p>
        </w:tc>
        <w:tc>
          <w:tcPr>
            <w:tcW w:w="931" w:type="dxa"/>
            <w:vAlign w:val="center"/>
          </w:tcPr>
          <w:p>
            <w:pPr>
              <w:spacing w:before="64" w:line="194" w:lineRule="auto"/>
              <w:ind w:left="417"/>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5</w:t>
            </w:r>
          </w:p>
        </w:tc>
        <w:tc>
          <w:tcPr>
            <w:tcW w:w="5307" w:type="dxa"/>
            <w:vAlign w:val="center"/>
          </w:tcPr>
          <w:p>
            <w:pPr>
              <w:spacing w:before="27" w:line="227" w:lineRule="auto"/>
              <w:ind w:firstLine="1818" w:firstLineChars="900"/>
              <w:rPr>
                <w:rFonts w:ascii="宋体" w:hAnsi="宋体" w:eastAsia="宋体" w:cs="宋体"/>
                <w:snapToGrid w:val="0"/>
                <w:color w:val="000000"/>
                <w:kern w:val="0"/>
                <w:sz w:val="17"/>
                <w:szCs w:val="17"/>
                <w:highlight w:val="none"/>
              </w:rPr>
            </w:pPr>
            <w:r>
              <w:rPr>
                <w:rFonts w:ascii="宋体" w:hAnsi="宋体" w:eastAsia="宋体" w:cs="宋体"/>
                <w:spacing w:val="16"/>
                <w:sz w:val="17"/>
                <w:szCs w:val="17"/>
                <w:highlight w:val="none"/>
              </w:rPr>
              <w:t>施</w:t>
            </w:r>
            <w:r>
              <w:rPr>
                <w:rFonts w:ascii="宋体" w:hAnsi="宋体" w:eastAsia="宋体" w:cs="宋体"/>
                <w:spacing w:val="9"/>
                <w:sz w:val="17"/>
                <w:szCs w:val="17"/>
                <w:highlight w:val="none"/>
              </w:rPr>
              <w:t>工</w:t>
            </w:r>
            <w:r>
              <w:rPr>
                <w:rFonts w:ascii="宋体" w:hAnsi="宋体" w:eastAsia="宋体" w:cs="宋体"/>
                <w:spacing w:val="8"/>
                <w:sz w:val="17"/>
                <w:szCs w:val="17"/>
                <w:highlight w:val="none"/>
              </w:rPr>
              <w:t>期固废处置措施</w:t>
            </w:r>
          </w:p>
        </w:tc>
        <w:tc>
          <w:tcPr>
            <w:tcW w:w="2071" w:type="dxa"/>
            <w:tcBorders>
              <w:right w:val="single" w:color="000000" w:sz="10" w:space="0"/>
            </w:tcBorders>
            <w:vAlign w:val="center"/>
          </w:tcPr>
          <w:p>
            <w:pPr>
              <w:spacing w:before="62" w:line="194" w:lineRule="auto"/>
              <w:ind w:left="932" w:leftChars="0"/>
              <w:rPr>
                <w:rFonts w:hint="default" w:ascii="Times New Roman" w:hAnsi="Times New Roman" w:eastAsia="宋体" w:cs="Times New Roman"/>
                <w:snapToGrid w:val="0"/>
                <w:color w:val="000000"/>
                <w:kern w:val="0"/>
                <w:sz w:val="17"/>
                <w:szCs w:val="17"/>
                <w:highlight w:val="none"/>
                <w:lang w:val="en-US" w:eastAsia="zh-CN"/>
              </w:rPr>
            </w:pPr>
            <w:r>
              <w:rPr>
                <w:rFonts w:hint="eastAsia" w:ascii="Times New Roman" w:hAnsi="Times New Roman" w:eastAsia="宋体" w:cs="Times New Roman"/>
                <w:spacing w:val="2"/>
                <w:sz w:val="17"/>
                <w:szCs w:val="17"/>
                <w:highlight w:val="none"/>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980" w:type="dxa"/>
            <w:vMerge w:val="continue"/>
            <w:tcBorders>
              <w:top w:val="nil"/>
              <w:left w:val="single" w:color="000000" w:sz="10" w:space="0"/>
              <w:bottom w:val="nil"/>
            </w:tcBorders>
            <w:vAlign w:val="center"/>
          </w:tcPr>
          <w:p>
            <w:pPr>
              <w:rPr>
                <w:rFonts w:ascii="Arial"/>
                <w:sz w:val="21"/>
                <w:highlight w:val="none"/>
              </w:rPr>
            </w:pPr>
          </w:p>
        </w:tc>
        <w:tc>
          <w:tcPr>
            <w:tcW w:w="931" w:type="dxa"/>
            <w:vAlign w:val="center"/>
          </w:tcPr>
          <w:p>
            <w:pPr>
              <w:spacing w:before="64" w:line="194" w:lineRule="auto"/>
              <w:ind w:left="417"/>
              <w:rPr>
                <w:rFonts w:ascii="Times New Roman" w:hAnsi="Times New Roman" w:eastAsia="Times New Roman" w:cs="Times New Roman"/>
                <w:sz w:val="17"/>
                <w:szCs w:val="17"/>
                <w:highlight w:val="none"/>
              </w:rPr>
            </w:pPr>
          </w:p>
        </w:tc>
        <w:tc>
          <w:tcPr>
            <w:tcW w:w="5307" w:type="dxa"/>
            <w:vAlign w:val="center"/>
          </w:tcPr>
          <w:p>
            <w:pPr>
              <w:spacing w:before="30" w:line="225" w:lineRule="auto"/>
              <w:ind w:left="2117" w:leftChars="0"/>
              <w:rPr>
                <w:rFonts w:ascii="宋体" w:hAnsi="宋体" w:eastAsia="宋体" w:cs="宋体"/>
                <w:snapToGrid w:val="0"/>
                <w:color w:val="000000"/>
                <w:kern w:val="0"/>
                <w:sz w:val="17"/>
                <w:szCs w:val="17"/>
                <w:highlight w:val="none"/>
              </w:rPr>
            </w:pPr>
            <w:r>
              <w:rPr>
                <w:rFonts w:ascii="宋体" w:hAnsi="宋体" w:eastAsia="宋体" w:cs="宋体"/>
                <w:spacing w:val="8"/>
                <w:sz w:val="17"/>
                <w:szCs w:val="17"/>
                <w:highlight w:val="none"/>
              </w:rPr>
              <w:t>危废暂存间</w:t>
            </w:r>
          </w:p>
        </w:tc>
        <w:tc>
          <w:tcPr>
            <w:tcW w:w="2071" w:type="dxa"/>
            <w:tcBorders>
              <w:right w:val="single" w:color="000000" w:sz="10" w:space="0"/>
            </w:tcBorders>
            <w:vAlign w:val="center"/>
          </w:tcPr>
          <w:p>
            <w:pPr>
              <w:spacing w:before="62" w:line="197" w:lineRule="auto"/>
              <w:ind w:left="932" w:leftChars="0"/>
              <w:rPr>
                <w:rFonts w:hint="default" w:ascii="Times New Roman" w:hAnsi="Times New Roman" w:eastAsia="宋体" w:cs="Times New Roman"/>
                <w:snapToGrid w:val="0"/>
                <w:color w:val="000000"/>
                <w:kern w:val="0"/>
                <w:sz w:val="17"/>
                <w:szCs w:val="17"/>
                <w:highlight w:val="none"/>
                <w:lang w:val="en-US" w:eastAsia="zh-CN"/>
              </w:rPr>
            </w:pPr>
            <w:r>
              <w:rPr>
                <w:rFonts w:hint="eastAsia" w:ascii="Times New Roman" w:hAnsi="Times New Roman" w:eastAsia="宋体" w:cs="Times New Roman"/>
                <w:sz w:val="17"/>
                <w:szCs w:val="17"/>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7" w:hRule="exact"/>
        </w:trPr>
        <w:tc>
          <w:tcPr>
            <w:tcW w:w="980" w:type="dxa"/>
            <w:vMerge w:val="continue"/>
            <w:tcBorders>
              <w:top w:val="nil"/>
              <w:left w:val="single" w:color="000000" w:sz="10" w:space="0"/>
              <w:bottom w:val="nil"/>
            </w:tcBorders>
            <w:vAlign w:val="center"/>
          </w:tcPr>
          <w:p>
            <w:pPr>
              <w:rPr>
                <w:rFonts w:ascii="Arial"/>
                <w:sz w:val="21"/>
                <w:highlight w:val="none"/>
              </w:rPr>
            </w:pPr>
          </w:p>
        </w:tc>
        <w:tc>
          <w:tcPr>
            <w:tcW w:w="931" w:type="dxa"/>
            <w:vAlign w:val="center"/>
          </w:tcPr>
          <w:p>
            <w:pPr>
              <w:spacing w:before="61" w:line="197" w:lineRule="auto"/>
              <w:ind w:left="416"/>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6</w:t>
            </w:r>
          </w:p>
        </w:tc>
        <w:tc>
          <w:tcPr>
            <w:tcW w:w="5307" w:type="dxa"/>
            <w:vAlign w:val="center"/>
          </w:tcPr>
          <w:p>
            <w:pPr>
              <w:spacing w:before="30" w:line="225" w:lineRule="auto"/>
              <w:ind w:left="2117" w:leftChars="0"/>
              <w:rPr>
                <w:rFonts w:hint="eastAsia" w:ascii="宋体" w:hAnsi="宋体" w:eastAsia="宋体" w:cs="宋体"/>
                <w:snapToGrid w:val="0"/>
                <w:color w:val="000000"/>
                <w:kern w:val="0"/>
                <w:sz w:val="17"/>
                <w:szCs w:val="17"/>
                <w:highlight w:val="none"/>
                <w:lang w:eastAsia="zh-CN"/>
              </w:rPr>
            </w:pPr>
            <w:r>
              <w:rPr>
                <w:rFonts w:ascii="宋体" w:hAnsi="宋体" w:eastAsia="宋体" w:cs="宋体"/>
                <w:spacing w:val="9"/>
                <w:sz w:val="17"/>
                <w:szCs w:val="17"/>
                <w:highlight w:val="none"/>
              </w:rPr>
              <w:t>事故油池</w:t>
            </w:r>
          </w:p>
        </w:tc>
        <w:tc>
          <w:tcPr>
            <w:tcW w:w="2071" w:type="dxa"/>
            <w:tcBorders>
              <w:right w:val="single" w:color="000000" w:sz="10" w:space="0"/>
            </w:tcBorders>
            <w:vAlign w:val="center"/>
          </w:tcPr>
          <w:p>
            <w:pPr>
              <w:spacing w:before="62" w:line="197" w:lineRule="auto"/>
              <w:ind w:left="932" w:leftChars="0"/>
              <w:rPr>
                <w:rFonts w:hint="eastAsia" w:ascii="Times New Roman" w:hAnsi="Times New Roman" w:eastAsia="宋体" w:cs="Times New Roman"/>
                <w:snapToGrid w:val="0"/>
                <w:color w:val="000000"/>
                <w:kern w:val="0"/>
                <w:sz w:val="17"/>
                <w:szCs w:val="17"/>
                <w:highlight w:val="none"/>
                <w:lang w:eastAsia="zh-CN"/>
              </w:rPr>
            </w:pPr>
            <w:r>
              <w:rPr>
                <w:rFonts w:hint="eastAsia" w:ascii="Times New Roman" w:hAnsi="Times New Roman" w:eastAsia="宋体" w:cs="Times New Roman"/>
                <w:spacing w:val="1"/>
                <w:sz w:val="17"/>
                <w:szCs w:val="17"/>
                <w:highlight w:val="none"/>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980" w:type="dxa"/>
            <w:vMerge w:val="continue"/>
            <w:tcBorders>
              <w:top w:val="nil"/>
              <w:left w:val="single" w:color="000000" w:sz="10" w:space="0"/>
              <w:bottom w:val="single" w:color="auto" w:sz="4" w:space="0"/>
            </w:tcBorders>
            <w:vAlign w:val="center"/>
          </w:tcPr>
          <w:p>
            <w:pPr>
              <w:rPr>
                <w:rFonts w:ascii="Arial"/>
                <w:sz w:val="21"/>
                <w:highlight w:val="none"/>
              </w:rPr>
            </w:pPr>
          </w:p>
        </w:tc>
        <w:tc>
          <w:tcPr>
            <w:tcW w:w="931" w:type="dxa"/>
            <w:tcBorders>
              <w:bottom w:val="single" w:color="auto" w:sz="4" w:space="0"/>
            </w:tcBorders>
            <w:vAlign w:val="center"/>
          </w:tcPr>
          <w:p>
            <w:pPr>
              <w:spacing w:before="65" w:line="194" w:lineRule="auto"/>
              <w:ind w:left="415"/>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7</w:t>
            </w:r>
          </w:p>
        </w:tc>
        <w:tc>
          <w:tcPr>
            <w:tcW w:w="5307" w:type="dxa"/>
            <w:vAlign w:val="center"/>
          </w:tcPr>
          <w:p>
            <w:pPr>
              <w:spacing w:before="30" w:line="225" w:lineRule="auto"/>
              <w:ind w:left="1758" w:leftChars="0" w:firstLine="384" w:firstLineChars="200"/>
              <w:rPr>
                <w:rFonts w:hint="eastAsia" w:ascii="宋体" w:hAnsi="宋体" w:eastAsia="宋体" w:cs="宋体"/>
                <w:snapToGrid w:val="0"/>
                <w:color w:val="000000"/>
                <w:kern w:val="0"/>
                <w:sz w:val="17"/>
                <w:szCs w:val="17"/>
                <w:highlight w:val="none"/>
                <w:lang w:eastAsia="zh-CN"/>
              </w:rPr>
            </w:pPr>
            <w:r>
              <w:rPr>
                <w:rFonts w:hint="eastAsia" w:ascii="宋体" w:hAnsi="宋体" w:eastAsia="宋体" w:cs="宋体"/>
                <w:spacing w:val="11"/>
                <w:sz w:val="17"/>
                <w:szCs w:val="17"/>
                <w:highlight w:val="none"/>
                <w:lang w:eastAsia="zh-CN"/>
              </w:rPr>
              <w:t>防渗化粪池</w:t>
            </w:r>
          </w:p>
        </w:tc>
        <w:tc>
          <w:tcPr>
            <w:tcW w:w="2071" w:type="dxa"/>
            <w:tcBorders>
              <w:right w:val="single" w:color="000000" w:sz="10" w:space="0"/>
            </w:tcBorders>
            <w:vAlign w:val="center"/>
          </w:tcPr>
          <w:p>
            <w:pPr>
              <w:spacing w:before="61" w:line="197" w:lineRule="auto"/>
              <w:ind w:left="899" w:leftChars="0"/>
              <w:rPr>
                <w:rFonts w:hint="eastAsia" w:ascii="Times New Roman" w:hAnsi="Times New Roman" w:eastAsia="宋体" w:cs="Times New Roman"/>
                <w:snapToGrid w:val="0"/>
                <w:color w:val="000000"/>
                <w:kern w:val="0"/>
                <w:sz w:val="17"/>
                <w:szCs w:val="17"/>
                <w:highlight w:val="none"/>
                <w:lang w:val="en-US" w:eastAsia="zh-CN"/>
              </w:rPr>
            </w:pPr>
            <w:r>
              <w:rPr>
                <w:rFonts w:hint="eastAsia" w:ascii="Times New Roman" w:hAnsi="Times New Roman" w:eastAsia="宋体" w:cs="Times New Roman"/>
                <w:spacing w:val="-1"/>
                <w:sz w:val="17"/>
                <w:szCs w:val="17"/>
                <w:highlight w:val="none"/>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980" w:type="dxa"/>
            <w:vMerge w:val="restart"/>
            <w:tcBorders>
              <w:top w:val="single" w:color="auto" w:sz="4" w:space="0"/>
              <w:left w:val="single" w:color="auto" w:sz="4" w:space="0"/>
              <w:bottom w:val="single" w:color="auto" w:sz="4" w:space="0"/>
              <w:right w:val="single" w:color="auto" w:sz="4" w:space="0"/>
            </w:tcBorders>
            <w:vAlign w:val="center"/>
          </w:tcPr>
          <w:p>
            <w:pPr>
              <w:spacing w:before="178" w:line="267" w:lineRule="auto"/>
              <w:ind w:left="210" w:right="42" w:hanging="177"/>
              <w:rPr>
                <w:rFonts w:ascii="宋体" w:hAnsi="宋体" w:eastAsia="宋体" w:cs="宋体"/>
                <w:sz w:val="17"/>
                <w:szCs w:val="17"/>
                <w:highlight w:val="none"/>
              </w:rPr>
            </w:pPr>
            <w:r>
              <w:rPr>
                <w:rFonts w:ascii="宋体" w:hAnsi="宋体" w:eastAsia="宋体" w:cs="宋体"/>
                <w:spacing w:val="8"/>
                <w:sz w:val="17"/>
                <w:szCs w:val="17"/>
                <w:highlight w:val="none"/>
              </w:rPr>
              <w:t>交流输电</w:t>
            </w:r>
            <w:r>
              <w:rPr>
                <w:rFonts w:ascii="宋体" w:hAnsi="宋体" w:eastAsia="宋体" w:cs="宋体"/>
                <w:spacing w:val="7"/>
                <w:sz w:val="17"/>
                <w:szCs w:val="17"/>
                <w:highlight w:val="none"/>
              </w:rPr>
              <w:t>线</w:t>
            </w:r>
            <w:r>
              <w:rPr>
                <w:rFonts w:ascii="宋体" w:hAnsi="宋体" w:eastAsia="宋体" w:cs="宋体"/>
                <w:sz w:val="17"/>
                <w:szCs w:val="17"/>
                <w:highlight w:val="none"/>
              </w:rPr>
              <w:t xml:space="preserve"> </w:t>
            </w:r>
            <w:r>
              <w:rPr>
                <w:rFonts w:ascii="宋体" w:hAnsi="宋体" w:eastAsia="宋体" w:cs="宋体"/>
                <w:spacing w:val="7"/>
                <w:sz w:val="17"/>
                <w:szCs w:val="17"/>
                <w:highlight w:val="none"/>
              </w:rPr>
              <w:t>路工程</w:t>
            </w:r>
          </w:p>
        </w:tc>
        <w:tc>
          <w:tcPr>
            <w:tcW w:w="931" w:type="dxa"/>
            <w:tcBorders>
              <w:top w:val="single" w:color="auto" w:sz="4" w:space="0"/>
              <w:left w:val="single" w:color="auto" w:sz="4" w:space="0"/>
              <w:bottom w:val="single" w:color="auto" w:sz="4" w:space="0"/>
              <w:right w:val="single" w:color="auto" w:sz="4" w:space="0"/>
            </w:tcBorders>
            <w:vAlign w:val="center"/>
          </w:tcPr>
          <w:p>
            <w:pPr>
              <w:spacing w:before="81" w:line="197" w:lineRule="auto"/>
              <w:ind w:left="429"/>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1</w:t>
            </w:r>
          </w:p>
        </w:tc>
        <w:tc>
          <w:tcPr>
            <w:tcW w:w="5307" w:type="dxa"/>
            <w:tcBorders>
              <w:left w:val="single" w:color="auto" w:sz="4" w:space="0"/>
            </w:tcBorders>
            <w:vAlign w:val="center"/>
          </w:tcPr>
          <w:p>
            <w:pPr>
              <w:spacing w:before="53" w:line="215" w:lineRule="auto"/>
              <w:ind w:left="1936"/>
              <w:rPr>
                <w:rFonts w:hint="eastAsia" w:ascii="宋体" w:hAnsi="宋体" w:eastAsia="宋体" w:cs="宋体"/>
                <w:sz w:val="17"/>
                <w:szCs w:val="17"/>
                <w:highlight w:val="none"/>
                <w:lang w:eastAsia="zh-CN"/>
              </w:rPr>
            </w:pPr>
            <w:r>
              <w:rPr>
                <w:rFonts w:ascii="宋体" w:hAnsi="宋体" w:eastAsia="宋体" w:cs="宋体"/>
                <w:spacing w:val="9"/>
                <w:sz w:val="17"/>
                <w:szCs w:val="17"/>
                <w:highlight w:val="none"/>
              </w:rPr>
              <w:t>生态保护与恢复措施</w:t>
            </w:r>
          </w:p>
        </w:tc>
        <w:tc>
          <w:tcPr>
            <w:tcW w:w="2071" w:type="dxa"/>
            <w:tcBorders>
              <w:right w:val="single" w:color="000000" w:sz="10" w:space="0"/>
            </w:tcBorders>
            <w:vAlign w:val="center"/>
          </w:tcPr>
          <w:p>
            <w:pPr>
              <w:spacing w:before="81" w:line="197" w:lineRule="auto"/>
              <w:ind w:left="882"/>
              <w:rPr>
                <w:rFonts w:hint="default" w:ascii="Times New Roman" w:hAnsi="Times New Roman" w:eastAsia="宋体" w:cs="Times New Roman"/>
                <w:sz w:val="17"/>
                <w:szCs w:val="17"/>
                <w:highlight w:val="none"/>
                <w:lang w:val="en-US" w:eastAsia="zh-CN"/>
              </w:rPr>
            </w:pPr>
            <w:r>
              <w:rPr>
                <w:rFonts w:hint="eastAsia" w:ascii="Times New Roman" w:hAnsi="Times New Roman" w:eastAsia="宋体" w:cs="Times New Roman"/>
                <w:spacing w:val="4"/>
                <w:sz w:val="17"/>
                <w:szCs w:val="17"/>
                <w:highlight w:val="none"/>
                <w:lang w:val="en-US" w:eastAsia="zh-CN"/>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980" w:type="dxa"/>
            <w:vMerge w:val="continue"/>
            <w:tcBorders>
              <w:top w:val="single" w:color="auto" w:sz="4" w:space="0"/>
              <w:left w:val="single" w:color="auto" w:sz="4" w:space="0"/>
              <w:bottom w:val="single" w:color="auto" w:sz="4" w:space="0"/>
              <w:right w:val="single" w:color="auto" w:sz="4" w:space="0"/>
            </w:tcBorders>
            <w:vAlign w:val="center"/>
          </w:tcPr>
          <w:p>
            <w:pPr>
              <w:rPr>
                <w:rFonts w:ascii="Arial"/>
                <w:sz w:val="21"/>
                <w:highlight w:val="none"/>
              </w:rPr>
            </w:pPr>
          </w:p>
        </w:tc>
        <w:tc>
          <w:tcPr>
            <w:tcW w:w="931" w:type="dxa"/>
            <w:tcBorders>
              <w:top w:val="single" w:color="auto" w:sz="4" w:space="0"/>
              <w:left w:val="single" w:color="auto" w:sz="4" w:space="0"/>
              <w:bottom w:val="single" w:color="auto" w:sz="4" w:space="0"/>
              <w:right w:val="single" w:color="auto" w:sz="4" w:space="0"/>
            </w:tcBorders>
            <w:vAlign w:val="center"/>
          </w:tcPr>
          <w:p>
            <w:pPr>
              <w:spacing w:before="70" w:line="197" w:lineRule="auto"/>
              <w:ind w:left="412"/>
              <w:rPr>
                <w:rFonts w:ascii="Times New Roman" w:hAnsi="Times New Roman" w:eastAsia="Times New Roman" w:cs="Times New Roman"/>
                <w:sz w:val="17"/>
                <w:szCs w:val="17"/>
                <w:highlight w:val="none"/>
              </w:rPr>
            </w:pPr>
            <w:r>
              <w:rPr>
                <w:rFonts w:ascii="Times New Roman" w:hAnsi="Times New Roman" w:eastAsia="Times New Roman" w:cs="Times New Roman"/>
                <w:spacing w:val="1"/>
                <w:sz w:val="17"/>
                <w:szCs w:val="17"/>
                <w:highlight w:val="none"/>
              </w:rPr>
              <w:t>2</w:t>
            </w:r>
          </w:p>
        </w:tc>
        <w:tc>
          <w:tcPr>
            <w:tcW w:w="5307" w:type="dxa"/>
            <w:tcBorders>
              <w:left w:val="single" w:color="auto" w:sz="4" w:space="0"/>
            </w:tcBorders>
            <w:vAlign w:val="center"/>
          </w:tcPr>
          <w:p>
            <w:pPr>
              <w:spacing w:before="39" w:line="228" w:lineRule="auto"/>
              <w:ind w:left="2027"/>
              <w:rPr>
                <w:rFonts w:ascii="宋体" w:hAnsi="宋体" w:eastAsia="宋体" w:cs="宋体"/>
                <w:sz w:val="17"/>
                <w:szCs w:val="17"/>
                <w:highlight w:val="none"/>
              </w:rPr>
            </w:pPr>
            <w:r>
              <w:rPr>
                <w:rFonts w:ascii="宋体" w:hAnsi="宋体" w:eastAsia="宋体" w:cs="宋体"/>
                <w:spacing w:val="10"/>
                <w:sz w:val="17"/>
                <w:szCs w:val="17"/>
              </w:rPr>
              <w:t>施</w:t>
            </w:r>
            <w:r>
              <w:rPr>
                <w:rFonts w:ascii="宋体" w:hAnsi="宋体" w:eastAsia="宋体" w:cs="宋体"/>
                <w:spacing w:val="9"/>
                <w:sz w:val="17"/>
                <w:szCs w:val="17"/>
              </w:rPr>
              <w:t>工</w:t>
            </w:r>
            <w:r>
              <w:rPr>
                <w:rFonts w:ascii="宋体" w:hAnsi="宋体" w:eastAsia="宋体" w:cs="宋体"/>
                <w:spacing w:val="9"/>
                <w:sz w:val="17"/>
                <w:szCs w:val="17"/>
                <w:highlight w:val="none"/>
              </w:rPr>
              <w:t>扬尘污染防治措施</w:t>
            </w:r>
          </w:p>
        </w:tc>
        <w:tc>
          <w:tcPr>
            <w:tcW w:w="2071" w:type="dxa"/>
            <w:tcBorders>
              <w:right w:val="single" w:color="000000" w:sz="10" w:space="0"/>
            </w:tcBorders>
            <w:vAlign w:val="center"/>
          </w:tcPr>
          <w:p>
            <w:pPr>
              <w:spacing w:before="70" w:line="197" w:lineRule="auto"/>
              <w:ind w:left="921"/>
              <w:rPr>
                <w:rFonts w:hint="default" w:ascii="Times New Roman" w:hAnsi="Times New Roman" w:eastAsia="宋体" w:cs="Times New Roman"/>
                <w:sz w:val="17"/>
                <w:szCs w:val="17"/>
                <w:highlight w:val="none"/>
                <w:lang w:val="en-US" w:eastAsia="zh-CN"/>
              </w:rPr>
            </w:pPr>
            <w:r>
              <w:rPr>
                <w:rFonts w:hint="eastAsia" w:ascii="Times New Roman" w:hAnsi="Times New Roman" w:eastAsia="宋体" w:cs="Times New Roman"/>
                <w:sz w:val="17"/>
                <w:szCs w:val="17"/>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7218" w:type="dxa"/>
            <w:gridSpan w:val="3"/>
            <w:tcBorders>
              <w:left w:val="single" w:color="000000" w:sz="10" w:space="0"/>
            </w:tcBorders>
            <w:vAlign w:val="center"/>
          </w:tcPr>
          <w:p>
            <w:pPr>
              <w:spacing w:before="31" w:line="224" w:lineRule="auto"/>
              <w:ind w:left="2979"/>
              <w:rPr>
                <w:rFonts w:ascii="宋体" w:hAnsi="宋体" w:eastAsia="宋体" w:cs="宋体"/>
                <w:sz w:val="17"/>
                <w:szCs w:val="17"/>
                <w:highlight w:val="none"/>
              </w:rPr>
            </w:pPr>
            <w:r>
              <w:rPr>
                <w:rFonts w:ascii="宋体" w:hAnsi="宋体" w:eastAsia="宋体" w:cs="宋体"/>
                <w:spacing w:val="9"/>
                <w:sz w:val="17"/>
                <w:szCs w:val="17"/>
                <w:highlight w:val="none"/>
              </w:rPr>
              <w:t>环境保护总投</w:t>
            </w:r>
            <w:r>
              <w:rPr>
                <w:rFonts w:ascii="宋体" w:hAnsi="宋体" w:eastAsia="宋体" w:cs="宋体"/>
                <w:spacing w:val="8"/>
                <w:sz w:val="17"/>
                <w:szCs w:val="17"/>
                <w:highlight w:val="none"/>
              </w:rPr>
              <w:t>资</w:t>
            </w:r>
          </w:p>
        </w:tc>
        <w:tc>
          <w:tcPr>
            <w:tcW w:w="2071" w:type="dxa"/>
            <w:tcBorders>
              <w:right w:val="single" w:color="000000" w:sz="10" w:space="0"/>
            </w:tcBorders>
            <w:vAlign w:val="center"/>
          </w:tcPr>
          <w:p>
            <w:pPr>
              <w:spacing w:before="70" w:line="197" w:lineRule="auto"/>
              <w:ind w:left="921" w:leftChars="0"/>
              <w:rPr>
                <w:rFonts w:hint="eastAsia" w:ascii="Times New Roman" w:hAnsi="Times New Roman" w:eastAsia="宋体" w:cs="Times New Roman"/>
                <w:snapToGrid w:val="0"/>
                <w:color w:val="000000"/>
                <w:kern w:val="0"/>
                <w:sz w:val="17"/>
                <w:szCs w:val="17"/>
                <w:highlight w:val="none"/>
                <w:lang w:val="en-US" w:eastAsia="zh-CN"/>
              </w:rPr>
            </w:pPr>
            <w:r>
              <w:rPr>
                <w:rFonts w:hint="eastAsia" w:ascii="Times New Roman" w:hAnsi="Times New Roman" w:eastAsia="宋体" w:cs="Times New Roman"/>
                <w:sz w:val="17"/>
                <w:szCs w:val="17"/>
                <w:highlight w:val="none"/>
                <w:lang w:val="en-US" w:eastAsia="zh-CN"/>
              </w:rPr>
              <w:fldChar w:fldCharType="begin"/>
            </w:r>
            <w:r>
              <w:rPr>
                <w:rFonts w:hint="eastAsia" w:ascii="Times New Roman" w:hAnsi="Times New Roman" w:eastAsia="宋体" w:cs="Times New Roman"/>
                <w:sz w:val="17"/>
                <w:szCs w:val="17"/>
                <w:highlight w:val="none"/>
                <w:lang w:val="en-US" w:eastAsia="zh-CN"/>
              </w:rPr>
              <w:instrText xml:space="preserve"> = sum(D2:D11) \* MERGEFORMAT </w:instrText>
            </w:r>
            <w:r>
              <w:rPr>
                <w:rFonts w:hint="eastAsia" w:ascii="Times New Roman" w:hAnsi="Times New Roman" w:eastAsia="宋体" w:cs="Times New Roman"/>
                <w:sz w:val="17"/>
                <w:szCs w:val="17"/>
                <w:highlight w:val="none"/>
                <w:lang w:val="en-US" w:eastAsia="zh-CN"/>
              </w:rPr>
              <w:fldChar w:fldCharType="separate"/>
            </w:r>
            <w:r>
              <w:rPr>
                <w:rFonts w:hint="eastAsia" w:ascii="Times New Roman" w:hAnsi="Times New Roman" w:eastAsia="宋体" w:cs="Times New Roman"/>
                <w:sz w:val="17"/>
                <w:szCs w:val="17"/>
                <w:highlight w:val="none"/>
                <w:lang w:val="en-US" w:eastAsia="zh-CN"/>
              </w:rPr>
              <w:t>150</w:t>
            </w:r>
            <w:r>
              <w:rPr>
                <w:rFonts w:hint="eastAsia" w:ascii="Times New Roman" w:hAnsi="Times New Roman" w:eastAsia="宋体" w:cs="Times New Roman"/>
                <w:sz w:val="17"/>
                <w:szCs w:val="17"/>
                <w:highlight w:val="none"/>
                <w:lang w:val="en-US" w:eastAsia="zh-CN"/>
              </w:rPr>
              <w:fldChar w:fldCharType="end"/>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7218" w:type="dxa"/>
            <w:gridSpan w:val="3"/>
            <w:tcBorders>
              <w:left w:val="single" w:color="000000" w:sz="10" w:space="0"/>
            </w:tcBorders>
            <w:vAlign w:val="center"/>
          </w:tcPr>
          <w:p>
            <w:pPr>
              <w:spacing w:before="31" w:line="224" w:lineRule="auto"/>
              <w:ind w:left="3161"/>
              <w:rPr>
                <w:rFonts w:ascii="宋体" w:hAnsi="宋体" w:eastAsia="宋体" w:cs="宋体"/>
                <w:sz w:val="17"/>
                <w:szCs w:val="17"/>
                <w:highlight w:val="none"/>
              </w:rPr>
            </w:pPr>
            <w:r>
              <w:rPr>
                <w:rFonts w:ascii="宋体" w:hAnsi="宋体" w:eastAsia="宋体" w:cs="宋体"/>
                <w:spacing w:val="8"/>
                <w:sz w:val="17"/>
                <w:szCs w:val="17"/>
                <w:highlight w:val="none"/>
              </w:rPr>
              <w:t>工程总投资</w:t>
            </w:r>
          </w:p>
        </w:tc>
        <w:tc>
          <w:tcPr>
            <w:tcW w:w="2071" w:type="dxa"/>
            <w:tcBorders>
              <w:right w:val="single" w:color="000000" w:sz="10" w:space="0"/>
            </w:tcBorders>
            <w:vAlign w:val="center"/>
          </w:tcPr>
          <w:p>
            <w:pPr>
              <w:spacing w:before="62" w:line="197" w:lineRule="auto"/>
              <w:ind w:left="814"/>
              <w:rPr>
                <w:rFonts w:ascii="Times New Roman" w:hAnsi="Times New Roman" w:eastAsia="Times New Roman" w:cs="Times New Roman"/>
                <w:sz w:val="17"/>
                <w:szCs w:val="17"/>
                <w:highlight w:val="none"/>
              </w:rPr>
            </w:pPr>
            <w:r>
              <w:rPr>
                <w:rFonts w:hint="eastAsia" w:ascii="Times New Roman" w:hAnsi="Times New Roman" w:eastAsia="Times New Roman" w:cs="Times New Roman"/>
                <w:sz w:val="17"/>
                <w:szCs w:val="17"/>
                <w:highlight w:val="none"/>
              </w:rPr>
              <w:t>27297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trPr>
        <w:tc>
          <w:tcPr>
            <w:tcW w:w="7218" w:type="dxa"/>
            <w:gridSpan w:val="3"/>
            <w:tcBorders>
              <w:left w:val="single" w:color="000000" w:sz="10" w:space="0"/>
            </w:tcBorders>
            <w:vAlign w:val="center"/>
          </w:tcPr>
          <w:p>
            <w:pPr>
              <w:spacing w:line="240" w:lineRule="exact"/>
              <w:ind w:left="2393"/>
              <w:rPr>
                <w:rFonts w:ascii="Times New Roman" w:hAnsi="Times New Roman" w:eastAsia="Times New Roman" w:cs="Times New Roman"/>
                <w:sz w:val="17"/>
                <w:szCs w:val="17"/>
                <w:highlight w:val="none"/>
              </w:rPr>
            </w:pPr>
            <w:r>
              <w:rPr>
                <w:rFonts w:ascii="宋体" w:hAnsi="宋体" w:eastAsia="宋体" w:cs="宋体"/>
                <w:spacing w:val="14"/>
                <w:position w:val="2"/>
                <w:sz w:val="17"/>
                <w:szCs w:val="17"/>
                <w:highlight w:val="none"/>
              </w:rPr>
              <w:t>环</w:t>
            </w:r>
            <w:r>
              <w:rPr>
                <w:rFonts w:ascii="宋体" w:hAnsi="宋体" w:eastAsia="宋体" w:cs="宋体"/>
                <w:spacing w:val="8"/>
                <w:position w:val="2"/>
                <w:sz w:val="17"/>
                <w:szCs w:val="17"/>
                <w:highlight w:val="none"/>
              </w:rPr>
              <w:t>保措施投资占总投资比例</w:t>
            </w:r>
            <w:r>
              <w:rPr>
                <w:rFonts w:ascii="Times New Roman" w:hAnsi="Times New Roman" w:eastAsia="Times New Roman" w:cs="Times New Roman"/>
                <w:spacing w:val="8"/>
                <w:position w:val="2"/>
                <w:sz w:val="17"/>
                <w:szCs w:val="17"/>
                <w:highlight w:val="none"/>
              </w:rPr>
              <w:t>(%)</w:t>
            </w:r>
          </w:p>
        </w:tc>
        <w:tc>
          <w:tcPr>
            <w:tcW w:w="2071" w:type="dxa"/>
            <w:tcBorders>
              <w:right w:val="single" w:color="000000" w:sz="10" w:space="0"/>
            </w:tcBorders>
            <w:vAlign w:val="center"/>
          </w:tcPr>
          <w:p>
            <w:pPr>
              <w:spacing w:before="62" w:line="197" w:lineRule="auto"/>
              <w:ind w:left="885"/>
              <w:rPr>
                <w:rFonts w:hint="default" w:ascii="Times New Roman" w:hAnsi="Times New Roman" w:eastAsia="宋体" w:cs="Times New Roman"/>
                <w:sz w:val="17"/>
                <w:szCs w:val="17"/>
                <w:highlight w:val="none"/>
                <w:lang w:val="en-US" w:eastAsia="zh-CN"/>
              </w:rPr>
            </w:pPr>
            <w:r>
              <w:rPr>
                <w:rFonts w:hint="eastAsia" w:ascii="Times New Roman" w:hAnsi="Times New Roman" w:eastAsia="宋体" w:cs="Times New Roman"/>
                <w:spacing w:val="3"/>
                <w:sz w:val="17"/>
                <w:szCs w:val="17"/>
                <w:highlight w:val="none"/>
                <w:lang w:val="en-US" w:eastAsia="zh-CN"/>
              </w:rPr>
              <w:t>0.55</w:t>
            </w:r>
          </w:p>
        </w:tc>
      </w:tr>
    </w:tbl>
    <w:p>
      <w:pPr>
        <w:rPr>
          <w:rFonts w:ascii="Arial"/>
          <w:sz w:val="21"/>
          <w:highlight w:val="none"/>
        </w:rPr>
      </w:pPr>
    </w:p>
    <w:p>
      <w:pPr>
        <w:rPr>
          <w:highlight w:val="none"/>
        </w:rPr>
        <w:sectPr>
          <w:headerReference r:id="rId40" w:type="default"/>
          <w:footerReference r:id="rId41" w:type="default"/>
          <w:pgSz w:w="11907" w:h="16840"/>
          <w:pgMar w:top="1212" w:right="1216" w:bottom="1155" w:left="1375" w:header="970" w:footer="994" w:gutter="0"/>
          <w:pgBorders>
            <w:top w:val="none" w:sz="0" w:space="0"/>
            <w:left w:val="none" w:sz="0" w:space="0"/>
            <w:bottom w:val="none" w:sz="0" w:space="0"/>
            <w:right w:val="none" w:sz="0" w:space="0"/>
          </w:pgBorders>
          <w:pgNumType w:fmt="decimal"/>
          <w:cols w:space="720" w:num="1"/>
        </w:sectPr>
      </w:pP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223" w:name="_bookmark145"/>
      <w:bookmarkEnd w:id="223"/>
      <w:bookmarkStart w:id="224" w:name="_Toc1572"/>
      <w:bookmarkStart w:id="225" w:name="_Toc9157"/>
      <w:r>
        <w:rPr>
          <w:rFonts w:hint="eastAsia" w:ascii="Times New Roman" w:hAnsi="Times New Roman" w:eastAsia="宋体" w:cs="Times New Roman"/>
          <w:snapToGrid/>
          <w:sz w:val="32"/>
          <w:lang w:val="en-US" w:eastAsia="zh-CN" w:bidi="ar-SA"/>
        </w:rPr>
        <w:t>8    环境管理与监测计划</w:t>
      </w:r>
      <w:bookmarkEnd w:id="224"/>
      <w:bookmarkEnd w:id="225"/>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226" w:name="_bookmark146"/>
      <w:bookmarkEnd w:id="226"/>
      <w:bookmarkStart w:id="227" w:name="_Toc14760"/>
      <w:bookmarkStart w:id="228" w:name="_Toc23499"/>
      <w:r>
        <w:rPr>
          <w:rFonts w:hint="eastAsia" w:ascii="Times New Roman" w:hAnsi="Times New Roman" w:eastAsia="宋体" w:cs="Times New Roman"/>
          <w:snapToGrid/>
          <w:sz w:val="32"/>
          <w:lang w:val="en-US" w:eastAsia="zh-CN" w:bidi="ar-SA"/>
        </w:rPr>
        <w:t>8.1    环境管理</w:t>
      </w:r>
      <w:bookmarkEnd w:id="227"/>
      <w:bookmarkEnd w:id="228"/>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29" w:name="_bookmark147"/>
      <w:bookmarkEnd w:id="229"/>
      <w:bookmarkStart w:id="230" w:name="_Toc30584"/>
      <w:r>
        <w:rPr>
          <w:rFonts w:hint="eastAsia" w:ascii="Times New Roman" w:hAnsi="Times New Roman" w:eastAsia="宋体" w:cs="Times New Roman"/>
          <w:snapToGrid/>
          <w:kern w:val="0"/>
          <w:sz w:val="24"/>
          <w:szCs w:val="24"/>
          <w:highlight w:val="none"/>
          <w:lang w:val="en-US" w:eastAsia="zh-CN" w:bidi="ar"/>
        </w:rPr>
        <w:t>8.1.1    环境管理机构</w:t>
      </w:r>
      <w:bookmarkEnd w:id="230"/>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建设单位、施工单位、运行主管单位应在各自管理机构内配备专职或兼职人员，负 责环境保护管理工作。</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31" w:name="_bookmark148"/>
      <w:bookmarkEnd w:id="231"/>
      <w:bookmarkStart w:id="232" w:name="_Toc30879"/>
      <w:r>
        <w:rPr>
          <w:rFonts w:hint="eastAsia" w:ascii="Times New Roman" w:hAnsi="Times New Roman" w:eastAsia="宋体" w:cs="Times New Roman"/>
          <w:snapToGrid/>
          <w:kern w:val="0"/>
          <w:sz w:val="24"/>
          <w:szCs w:val="24"/>
          <w:highlight w:val="none"/>
          <w:lang w:val="en-US" w:eastAsia="zh-CN" w:bidi="ar"/>
        </w:rPr>
        <w:t>8.1.2    设计、施工招标阶段的环境管理</w:t>
      </w:r>
      <w:bookmarkEnd w:id="232"/>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( 1)主体工程设计单位应在下阶段设计中，将环评报告中提出的措施纳入工程设计中。</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(2)设计单位应遵循有关环保法规，严格按有关规程和法规进行设计。</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(3)应将施工环保措施纳入施工招标文件中，明确验收标准和细则。</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33" w:name="_bookmark149"/>
      <w:bookmarkEnd w:id="233"/>
      <w:bookmarkStart w:id="234" w:name="_Toc14929"/>
      <w:r>
        <w:rPr>
          <w:rFonts w:hint="eastAsia" w:ascii="Times New Roman" w:hAnsi="Times New Roman" w:eastAsia="宋体" w:cs="Times New Roman"/>
          <w:snapToGrid/>
          <w:kern w:val="0"/>
          <w:sz w:val="24"/>
          <w:szCs w:val="24"/>
          <w:highlight w:val="none"/>
          <w:lang w:val="en-US" w:eastAsia="zh-CN" w:bidi="ar"/>
        </w:rPr>
        <w:t>8.1.3    施工期环境管理</w:t>
      </w:r>
      <w:bookmarkEnd w:id="234"/>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( 1)在工程合同中明确环境保护要求，各方应严格执行设计和环境影响评价中提出的 各项污染防治措施，遵守环境保护方面的法律法规。</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(2)施工期的环境管理由施工单位具体负责，建设单位和监理单位负责监督。施工单 位在施工前应组织施工人员学习《中华人民共和国环境保护法》等环保法律、法规，做</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到施工人员知法、懂法、守法。</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(3)环境管理机构及工程监理人员应对施工活动进行全过程环境监督，通过严格检查 确保施工中的每一道工序满足环保要求，使施工期环境保护措施得到全面落实。</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(4)施工参与各方要积极收集、整理、推广和实施工程建设中各项环境保护的先进经 验和技术。</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(5)施工单位要做好施工中各种环境问题的收集、记录、建档和处理工作，并根据问 题严重程度及时或定期向各有关部门汇报。</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35" w:name="_bookmark150"/>
      <w:bookmarkEnd w:id="235"/>
      <w:bookmarkStart w:id="236" w:name="_Toc1785"/>
      <w:r>
        <w:rPr>
          <w:rFonts w:hint="eastAsia" w:ascii="Times New Roman" w:hAnsi="Times New Roman" w:eastAsia="宋体" w:cs="Times New Roman"/>
          <w:snapToGrid/>
          <w:kern w:val="0"/>
          <w:sz w:val="24"/>
          <w:szCs w:val="24"/>
          <w:highlight w:val="none"/>
          <w:lang w:val="en-US" w:eastAsia="zh-CN" w:bidi="ar"/>
        </w:rPr>
        <w:t>8.1.4    竣工环境保护验收</w:t>
      </w:r>
      <w:bookmarkEnd w:id="236"/>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本工程的建设应执行污染治理设施与主体工程同时设计、同时施工、同时投产使用 的“三同时”制度。本工程正式投产运行前，建设单位应做好本工程的竣工环境保护自</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主验收工作，主要内容应包括：</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( 1)施工期环境保护设施、措施实施情况分析。</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(2)工程运行中的工频电场、工频磁场、噪声对环境的影响情况。</w:t>
      </w:r>
    </w:p>
    <w:p>
      <w:pPr>
        <w:widowControl/>
        <w:numPr>
          <w:ilvl w:val="0"/>
          <w:numId w:val="0"/>
        </w:numPr>
        <w:kinsoku/>
        <w:autoSpaceDE/>
        <w:autoSpaceDN/>
        <w:adjustRightInd/>
        <w:snapToGrid/>
        <w:spacing w:line="360" w:lineRule="auto"/>
        <w:ind w:firstLine="480" w:firstLineChars="200"/>
        <w:jc w:val="both"/>
        <w:textAlignment w:val="auto"/>
        <w:rPr>
          <w:rFonts w:ascii="宋体" w:hAnsi="宋体" w:eastAsia="宋体" w:cs="宋体"/>
          <w:sz w:val="23"/>
          <w:szCs w:val="23"/>
          <w:highlight w:val="none"/>
        </w:rPr>
      </w:pPr>
      <w:r>
        <w:rPr>
          <w:rFonts w:hint="eastAsia" w:ascii="Times New Roman" w:hAnsi="Times New Roman" w:eastAsia="宋体" w:cs="Times New Roman"/>
          <w:snapToGrid/>
          <w:kern w:val="0"/>
          <w:sz w:val="24"/>
          <w:szCs w:val="24"/>
          <w:highlight w:val="none"/>
          <w:lang w:val="en-US" w:eastAsia="zh-CN" w:bidi="ar"/>
        </w:rPr>
        <w:t>(3)工程运行期间环境管理所涉及的内容。</w:t>
      </w:r>
    </w:p>
    <w:p>
      <w:pPr>
        <w:rPr>
          <w:highlight w:val="none"/>
        </w:rPr>
        <w:sectPr>
          <w:headerReference r:id="rId42" w:type="default"/>
          <w:footerReference r:id="rId43" w:type="default"/>
          <w:pgSz w:w="11907" w:h="16840"/>
          <w:pgMar w:top="1212" w:right="1218" w:bottom="1155" w:left="1425" w:header="970" w:footer="994" w:gutter="0"/>
          <w:pgBorders>
            <w:top w:val="none" w:sz="0" w:space="0"/>
            <w:left w:val="none" w:sz="0" w:space="0"/>
            <w:bottom w:val="none" w:sz="0" w:space="0"/>
            <w:right w:val="none" w:sz="0" w:space="0"/>
          </w:pgBorders>
          <w:pgNumType w:fmt="decimal"/>
          <w:cols w:space="720" w:num="1"/>
        </w:sectPr>
      </w:pPr>
    </w:p>
    <w:p>
      <w:pPr>
        <w:spacing w:before="240" w:line="227" w:lineRule="auto"/>
        <w:ind w:left="508"/>
        <w:rPr>
          <w:rFonts w:ascii="宋体" w:hAnsi="宋体" w:eastAsia="宋体" w:cs="宋体"/>
          <w:sz w:val="23"/>
          <w:szCs w:val="23"/>
          <w:highlight w:val="none"/>
        </w:rPr>
      </w:pPr>
      <w:r>
        <w:rPr>
          <w:rFonts w:ascii="宋体" w:hAnsi="宋体" w:eastAsia="宋体" w:cs="宋体"/>
          <w:spacing w:val="-1"/>
          <w:sz w:val="23"/>
          <w:szCs w:val="23"/>
          <w:highlight w:val="none"/>
        </w:rPr>
        <w:t>工程竣工环境保护验收的内容</w:t>
      </w:r>
      <w:r>
        <w:rPr>
          <w:rFonts w:ascii="宋体" w:hAnsi="宋体" w:eastAsia="宋体" w:cs="宋体"/>
          <w:sz w:val="23"/>
          <w:szCs w:val="23"/>
          <w:highlight w:val="none"/>
        </w:rPr>
        <w:t xml:space="preserve">见表 </w:t>
      </w:r>
      <w:r>
        <w:rPr>
          <w:rFonts w:ascii="Times New Roman" w:hAnsi="Times New Roman" w:eastAsia="Times New Roman" w:cs="Times New Roman"/>
          <w:sz w:val="23"/>
          <w:szCs w:val="23"/>
          <w:highlight w:val="none"/>
        </w:rPr>
        <w:t>8. 1- 1</w:t>
      </w:r>
      <w:r>
        <w:rPr>
          <w:rFonts w:ascii="宋体" w:hAnsi="宋体" w:eastAsia="宋体" w:cs="宋体"/>
          <w:sz w:val="23"/>
          <w:szCs w:val="23"/>
          <w:highlight w:val="none"/>
        </w:rPr>
        <w:t>。</w:t>
      </w:r>
    </w:p>
    <w:p>
      <w:pPr>
        <w:spacing w:before="178" w:line="229" w:lineRule="auto"/>
        <w:ind w:left="2722"/>
        <w:rPr>
          <w:rFonts w:ascii="黑体" w:hAnsi="黑体" w:eastAsia="黑体" w:cs="黑体"/>
          <w:sz w:val="20"/>
          <w:szCs w:val="20"/>
          <w:highlight w:val="none"/>
        </w:rPr>
      </w:pPr>
      <w:r>
        <w:rPr>
          <w:rFonts w:ascii="黑体" w:hAnsi="黑体" w:eastAsia="黑体" w:cs="黑体"/>
          <w:spacing w:val="1"/>
          <w:sz w:val="20"/>
          <w:szCs w:val="20"/>
          <w:highlight w:val="none"/>
        </w:rPr>
        <w:t xml:space="preserve">表 </w:t>
      </w:r>
      <w:r>
        <w:rPr>
          <w:rFonts w:ascii="Times New Roman" w:hAnsi="Times New Roman" w:eastAsia="Times New Roman" w:cs="Times New Roman"/>
          <w:spacing w:val="1"/>
          <w:sz w:val="20"/>
          <w:szCs w:val="20"/>
          <w:highlight w:val="none"/>
        </w:rPr>
        <w:t xml:space="preserve">8. 1- </w:t>
      </w:r>
      <w:r>
        <w:rPr>
          <w:rFonts w:ascii="Times New Roman" w:hAnsi="Times New Roman" w:eastAsia="Times New Roman" w:cs="Times New Roman"/>
          <w:sz w:val="20"/>
          <w:szCs w:val="20"/>
          <w:highlight w:val="none"/>
        </w:rPr>
        <w:t xml:space="preserve">1    </w:t>
      </w:r>
      <w:r>
        <w:rPr>
          <w:rFonts w:ascii="黑体" w:hAnsi="黑体" w:eastAsia="黑体" w:cs="黑体"/>
          <w:sz w:val="20"/>
          <w:szCs w:val="20"/>
          <w:highlight w:val="none"/>
        </w:rPr>
        <w:t>工程竣工环境保护验收一览表</w:t>
      </w:r>
    </w:p>
    <w:p>
      <w:pPr>
        <w:spacing w:line="130" w:lineRule="exact"/>
        <w:rPr>
          <w:highlight w:val="none"/>
        </w:rPr>
      </w:pPr>
    </w:p>
    <w:tbl>
      <w:tblPr>
        <w:tblStyle w:val="20"/>
        <w:tblW w:w="90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
        <w:gridCol w:w="1491"/>
        <w:gridCol w:w="71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465" w:type="dxa"/>
            <w:tcBorders>
              <w:left w:val="single" w:color="000000" w:sz="10" w:space="0"/>
            </w:tcBorders>
            <w:vAlign w:val="top"/>
          </w:tcPr>
          <w:p>
            <w:pPr>
              <w:spacing w:before="51" w:line="230" w:lineRule="auto"/>
              <w:ind w:left="47"/>
              <w:rPr>
                <w:rFonts w:ascii="宋体" w:hAnsi="宋体" w:eastAsia="宋体" w:cs="宋体"/>
                <w:sz w:val="17"/>
                <w:szCs w:val="17"/>
                <w:highlight w:val="none"/>
              </w:rPr>
            </w:pPr>
            <w:r>
              <w:rPr>
                <w:rFonts w:ascii="宋体" w:hAnsi="宋体" w:eastAsia="宋体" w:cs="宋体"/>
                <w:spacing w:val="7"/>
                <w:sz w:val="17"/>
                <w:szCs w:val="17"/>
                <w:highlight w:val="none"/>
              </w:rPr>
              <w:t>序</w:t>
            </w:r>
            <w:r>
              <w:rPr>
                <w:rFonts w:ascii="宋体" w:hAnsi="宋体" w:eastAsia="宋体" w:cs="宋体"/>
                <w:spacing w:val="6"/>
                <w:sz w:val="17"/>
                <w:szCs w:val="17"/>
                <w:highlight w:val="none"/>
              </w:rPr>
              <w:t>号</w:t>
            </w:r>
          </w:p>
        </w:tc>
        <w:tc>
          <w:tcPr>
            <w:tcW w:w="1491" w:type="dxa"/>
            <w:vAlign w:val="top"/>
          </w:tcPr>
          <w:p>
            <w:pPr>
              <w:spacing w:before="51" w:line="230" w:lineRule="auto"/>
              <w:ind w:left="379"/>
              <w:rPr>
                <w:rFonts w:ascii="宋体" w:hAnsi="宋体" w:eastAsia="宋体" w:cs="宋体"/>
                <w:sz w:val="17"/>
                <w:szCs w:val="17"/>
                <w:highlight w:val="none"/>
              </w:rPr>
            </w:pPr>
            <w:r>
              <w:rPr>
                <w:rFonts w:ascii="宋体" w:hAnsi="宋体" w:eastAsia="宋体" w:cs="宋体"/>
                <w:spacing w:val="9"/>
                <w:sz w:val="17"/>
                <w:szCs w:val="17"/>
                <w:highlight w:val="none"/>
              </w:rPr>
              <w:t>验</w:t>
            </w:r>
            <w:r>
              <w:rPr>
                <w:rFonts w:ascii="宋体" w:hAnsi="宋体" w:eastAsia="宋体" w:cs="宋体"/>
                <w:spacing w:val="8"/>
                <w:sz w:val="17"/>
                <w:szCs w:val="17"/>
                <w:highlight w:val="none"/>
              </w:rPr>
              <w:t>收对象</w:t>
            </w:r>
          </w:p>
        </w:tc>
        <w:tc>
          <w:tcPr>
            <w:tcW w:w="7119" w:type="dxa"/>
            <w:tcBorders>
              <w:right w:val="single" w:color="000000" w:sz="10" w:space="0"/>
            </w:tcBorders>
            <w:vAlign w:val="top"/>
          </w:tcPr>
          <w:p>
            <w:pPr>
              <w:spacing w:before="51" w:line="230" w:lineRule="auto"/>
              <w:ind w:left="3194"/>
              <w:rPr>
                <w:rFonts w:ascii="宋体" w:hAnsi="宋体" w:eastAsia="宋体" w:cs="宋体"/>
                <w:sz w:val="17"/>
                <w:szCs w:val="17"/>
                <w:highlight w:val="none"/>
              </w:rPr>
            </w:pPr>
            <w:r>
              <w:rPr>
                <w:rFonts w:ascii="宋体" w:hAnsi="宋体" w:eastAsia="宋体" w:cs="宋体"/>
                <w:spacing w:val="9"/>
                <w:sz w:val="17"/>
                <w:szCs w:val="17"/>
                <w:highlight w:val="none"/>
              </w:rPr>
              <w:t>验</w:t>
            </w:r>
            <w:r>
              <w:rPr>
                <w:rFonts w:ascii="宋体" w:hAnsi="宋体" w:eastAsia="宋体" w:cs="宋体"/>
                <w:spacing w:val="8"/>
                <w:sz w:val="17"/>
                <w:szCs w:val="17"/>
                <w:highlight w:val="none"/>
              </w:rPr>
              <w:t>收内容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465" w:type="dxa"/>
            <w:tcBorders>
              <w:left w:val="single" w:color="000000" w:sz="10" w:space="0"/>
            </w:tcBorders>
            <w:vAlign w:val="top"/>
          </w:tcPr>
          <w:p>
            <w:pPr>
              <w:spacing w:before="56" w:line="197" w:lineRule="auto"/>
              <w:ind w:left="196"/>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1</w:t>
            </w:r>
          </w:p>
        </w:tc>
        <w:tc>
          <w:tcPr>
            <w:tcW w:w="1491" w:type="dxa"/>
            <w:vAlign w:val="top"/>
          </w:tcPr>
          <w:p>
            <w:pPr>
              <w:spacing w:before="28" w:line="228" w:lineRule="auto"/>
              <w:ind w:left="109"/>
              <w:rPr>
                <w:rFonts w:ascii="宋体" w:hAnsi="宋体" w:eastAsia="宋体" w:cs="宋体"/>
                <w:sz w:val="17"/>
                <w:szCs w:val="17"/>
                <w:highlight w:val="none"/>
              </w:rPr>
            </w:pPr>
            <w:r>
              <w:rPr>
                <w:rFonts w:ascii="宋体" w:hAnsi="宋体" w:eastAsia="宋体" w:cs="宋体"/>
                <w:spacing w:val="9"/>
                <w:sz w:val="17"/>
                <w:szCs w:val="17"/>
                <w:highlight w:val="none"/>
              </w:rPr>
              <w:t>相关资料、手</w:t>
            </w:r>
            <w:r>
              <w:rPr>
                <w:rFonts w:ascii="宋体" w:hAnsi="宋体" w:eastAsia="宋体" w:cs="宋体"/>
                <w:spacing w:val="8"/>
                <w:sz w:val="17"/>
                <w:szCs w:val="17"/>
                <w:highlight w:val="none"/>
              </w:rPr>
              <w:t>续</w:t>
            </w:r>
          </w:p>
        </w:tc>
        <w:tc>
          <w:tcPr>
            <w:tcW w:w="7119" w:type="dxa"/>
            <w:tcBorders>
              <w:right w:val="single" w:color="000000" w:sz="10" w:space="0"/>
            </w:tcBorders>
            <w:vAlign w:val="top"/>
          </w:tcPr>
          <w:p>
            <w:pPr>
              <w:spacing w:before="28" w:line="228" w:lineRule="auto"/>
              <w:ind w:left="3"/>
              <w:rPr>
                <w:rFonts w:ascii="宋体" w:hAnsi="宋体" w:eastAsia="宋体" w:cs="宋体"/>
                <w:sz w:val="17"/>
                <w:szCs w:val="17"/>
                <w:highlight w:val="none"/>
              </w:rPr>
            </w:pPr>
            <w:r>
              <w:rPr>
                <w:rFonts w:ascii="宋体" w:hAnsi="宋体" w:eastAsia="宋体" w:cs="宋体"/>
                <w:spacing w:val="13"/>
                <w:sz w:val="17"/>
                <w:szCs w:val="17"/>
                <w:highlight w:val="none"/>
              </w:rPr>
              <w:t>相</w:t>
            </w:r>
            <w:r>
              <w:rPr>
                <w:rFonts w:ascii="宋体" w:hAnsi="宋体" w:eastAsia="宋体" w:cs="宋体"/>
                <w:spacing w:val="9"/>
                <w:sz w:val="17"/>
                <w:szCs w:val="17"/>
                <w:highlight w:val="none"/>
              </w:rPr>
              <w:t>关批复文件是否齐备，环境保护档案是否齐全。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65" w:type="dxa"/>
            <w:tcBorders>
              <w:left w:val="single" w:color="000000" w:sz="10" w:space="0"/>
            </w:tcBorders>
            <w:vAlign w:val="top"/>
          </w:tcPr>
          <w:p>
            <w:pPr>
              <w:spacing w:before="173" w:line="197" w:lineRule="auto"/>
              <w:ind w:left="179"/>
              <w:rPr>
                <w:rFonts w:ascii="Times New Roman" w:hAnsi="Times New Roman" w:eastAsia="Times New Roman" w:cs="Times New Roman"/>
                <w:sz w:val="17"/>
                <w:szCs w:val="17"/>
                <w:highlight w:val="none"/>
              </w:rPr>
            </w:pPr>
            <w:r>
              <w:rPr>
                <w:rFonts w:ascii="Times New Roman" w:hAnsi="Times New Roman" w:eastAsia="Times New Roman" w:cs="Times New Roman"/>
                <w:spacing w:val="1"/>
                <w:sz w:val="17"/>
                <w:szCs w:val="17"/>
                <w:highlight w:val="none"/>
              </w:rPr>
              <w:t>2</w:t>
            </w:r>
          </w:p>
        </w:tc>
        <w:tc>
          <w:tcPr>
            <w:tcW w:w="1491" w:type="dxa"/>
            <w:vAlign w:val="top"/>
          </w:tcPr>
          <w:p>
            <w:pPr>
              <w:spacing w:before="28" w:line="241" w:lineRule="auto"/>
              <w:ind w:left="395" w:right="212" w:hanging="191"/>
              <w:rPr>
                <w:rFonts w:ascii="宋体" w:hAnsi="宋体" w:eastAsia="宋体" w:cs="宋体"/>
                <w:sz w:val="17"/>
                <w:szCs w:val="17"/>
                <w:highlight w:val="none"/>
              </w:rPr>
            </w:pPr>
            <w:r>
              <w:rPr>
                <w:rFonts w:ascii="宋体" w:hAnsi="宋体" w:eastAsia="宋体" w:cs="宋体"/>
                <w:spacing w:val="9"/>
                <w:sz w:val="17"/>
                <w:szCs w:val="17"/>
                <w:highlight w:val="none"/>
              </w:rPr>
              <w:t>与</w:t>
            </w:r>
            <w:r>
              <w:rPr>
                <w:rFonts w:ascii="宋体" w:hAnsi="宋体" w:eastAsia="宋体" w:cs="宋体"/>
                <w:spacing w:val="8"/>
                <w:sz w:val="17"/>
                <w:szCs w:val="17"/>
                <w:highlight w:val="none"/>
              </w:rPr>
              <w:t>法规、规划</w:t>
            </w:r>
            <w:r>
              <w:rPr>
                <w:rFonts w:ascii="宋体" w:hAnsi="宋体" w:eastAsia="宋体" w:cs="宋体"/>
                <w:sz w:val="17"/>
                <w:szCs w:val="17"/>
                <w:highlight w:val="none"/>
              </w:rPr>
              <w:t xml:space="preserve"> </w:t>
            </w:r>
            <w:r>
              <w:rPr>
                <w:rFonts w:ascii="宋体" w:hAnsi="宋体" w:eastAsia="宋体" w:cs="宋体"/>
                <w:spacing w:val="6"/>
                <w:sz w:val="17"/>
                <w:szCs w:val="17"/>
                <w:highlight w:val="none"/>
              </w:rPr>
              <w:t>的</w:t>
            </w:r>
            <w:r>
              <w:rPr>
                <w:rFonts w:ascii="宋体" w:hAnsi="宋体" w:eastAsia="宋体" w:cs="宋体"/>
                <w:spacing w:val="4"/>
                <w:sz w:val="17"/>
                <w:szCs w:val="17"/>
                <w:highlight w:val="none"/>
              </w:rPr>
              <w:t>相符性</w:t>
            </w:r>
          </w:p>
        </w:tc>
        <w:tc>
          <w:tcPr>
            <w:tcW w:w="7119" w:type="dxa"/>
            <w:tcBorders>
              <w:right w:val="single" w:color="000000" w:sz="10" w:space="0"/>
            </w:tcBorders>
            <w:vAlign w:val="top"/>
          </w:tcPr>
          <w:p>
            <w:pPr>
              <w:spacing w:before="28" w:line="241" w:lineRule="auto"/>
              <w:ind w:left="5" w:right="4" w:hanging="2"/>
              <w:rPr>
                <w:rFonts w:hint="eastAsia" w:ascii="宋体" w:hAnsi="宋体" w:eastAsia="宋体" w:cs="宋体"/>
                <w:sz w:val="17"/>
                <w:szCs w:val="17"/>
                <w:highlight w:val="none"/>
                <w:lang w:eastAsia="zh-CN"/>
              </w:rPr>
            </w:pPr>
            <w:r>
              <w:rPr>
                <w:rFonts w:ascii="宋体" w:hAnsi="宋体" w:eastAsia="宋体" w:cs="宋体"/>
                <w:spacing w:val="12"/>
                <w:sz w:val="17"/>
                <w:szCs w:val="17"/>
                <w:highlight w:val="none"/>
              </w:rPr>
              <w:t>本工程交流输电线路是否避让沿线环境敏感区</w:t>
            </w:r>
            <w:r>
              <w:rPr>
                <w:rFonts w:hint="eastAsia" w:ascii="宋体" w:hAnsi="宋体" w:eastAsia="宋体" w:cs="宋体"/>
                <w:spacing w:val="12"/>
                <w:sz w:val="17"/>
                <w:szCs w:val="17"/>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465" w:type="dxa"/>
            <w:tcBorders>
              <w:left w:val="single" w:color="000000" w:sz="10" w:space="0"/>
            </w:tcBorders>
            <w:vAlign w:val="top"/>
          </w:tcPr>
          <w:p>
            <w:pPr>
              <w:spacing w:line="241" w:lineRule="auto"/>
              <w:rPr>
                <w:rFonts w:ascii="Arial"/>
                <w:sz w:val="21"/>
                <w:highlight w:val="none"/>
              </w:rPr>
            </w:pPr>
          </w:p>
          <w:p>
            <w:pPr>
              <w:spacing w:before="49" w:line="197" w:lineRule="auto"/>
              <w:ind w:left="182"/>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3</w:t>
            </w:r>
          </w:p>
        </w:tc>
        <w:tc>
          <w:tcPr>
            <w:tcW w:w="1491" w:type="dxa"/>
            <w:vAlign w:val="top"/>
          </w:tcPr>
          <w:p>
            <w:pPr>
              <w:spacing w:before="28" w:line="230" w:lineRule="auto"/>
              <w:ind w:left="22"/>
              <w:rPr>
                <w:rFonts w:ascii="宋体" w:hAnsi="宋体" w:eastAsia="宋体" w:cs="宋体"/>
                <w:sz w:val="17"/>
                <w:szCs w:val="17"/>
                <w:highlight w:val="none"/>
              </w:rPr>
            </w:pPr>
            <w:r>
              <w:rPr>
                <w:rFonts w:ascii="宋体" w:hAnsi="宋体" w:eastAsia="宋体" w:cs="宋体"/>
                <w:spacing w:val="9"/>
                <w:sz w:val="17"/>
                <w:szCs w:val="17"/>
                <w:highlight w:val="none"/>
              </w:rPr>
              <w:t>各类环境保护设</w:t>
            </w:r>
            <w:r>
              <w:rPr>
                <w:rFonts w:ascii="宋体" w:hAnsi="宋体" w:eastAsia="宋体" w:cs="宋体"/>
                <w:spacing w:val="7"/>
                <w:sz w:val="17"/>
                <w:szCs w:val="17"/>
                <w:highlight w:val="none"/>
              </w:rPr>
              <w:t>施</w:t>
            </w:r>
          </w:p>
          <w:p>
            <w:pPr>
              <w:spacing w:before="20" w:line="229" w:lineRule="auto"/>
              <w:ind w:left="23"/>
              <w:rPr>
                <w:rFonts w:ascii="宋体" w:hAnsi="宋体" w:eastAsia="宋体" w:cs="宋体"/>
                <w:sz w:val="17"/>
                <w:szCs w:val="17"/>
                <w:highlight w:val="none"/>
              </w:rPr>
            </w:pPr>
            <w:r>
              <w:rPr>
                <w:rFonts w:ascii="宋体" w:hAnsi="宋体" w:eastAsia="宋体" w:cs="宋体"/>
                <w:spacing w:val="14"/>
                <w:sz w:val="17"/>
                <w:szCs w:val="17"/>
                <w:highlight w:val="none"/>
              </w:rPr>
              <w:t>是</w:t>
            </w:r>
            <w:r>
              <w:rPr>
                <w:rFonts w:ascii="宋体" w:hAnsi="宋体" w:eastAsia="宋体" w:cs="宋体"/>
                <w:spacing w:val="8"/>
                <w:sz w:val="17"/>
                <w:szCs w:val="17"/>
                <w:highlight w:val="none"/>
              </w:rPr>
              <w:t>否按报告书中要</w:t>
            </w:r>
          </w:p>
          <w:p>
            <w:pPr>
              <w:spacing w:before="21" w:line="227" w:lineRule="auto"/>
              <w:ind w:left="470"/>
              <w:rPr>
                <w:rFonts w:ascii="宋体" w:hAnsi="宋体" w:eastAsia="宋体" w:cs="宋体"/>
                <w:sz w:val="17"/>
                <w:szCs w:val="17"/>
                <w:highlight w:val="none"/>
              </w:rPr>
            </w:pPr>
            <w:r>
              <w:rPr>
                <w:rFonts w:ascii="宋体" w:hAnsi="宋体" w:eastAsia="宋体" w:cs="宋体"/>
                <w:spacing w:val="7"/>
                <w:sz w:val="17"/>
                <w:szCs w:val="17"/>
                <w:highlight w:val="none"/>
              </w:rPr>
              <w:t>求落实</w:t>
            </w:r>
          </w:p>
        </w:tc>
        <w:tc>
          <w:tcPr>
            <w:tcW w:w="7119" w:type="dxa"/>
            <w:tcBorders>
              <w:right w:val="single" w:color="000000" w:sz="10" w:space="0"/>
            </w:tcBorders>
            <w:vAlign w:val="top"/>
          </w:tcPr>
          <w:p>
            <w:pPr>
              <w:spacing w:before="142" w:line="266" w:lineRule="auto"/>
              <w:ind w:left="7" w:right="4" w:hanging="2"/>
              <w:rPr>
                <w:rFonts w:ascii="宋体" w:hAnsi="宋体" w:eastAsia="宋体" w:cs="宋体"/>
                <w:sz w:val="17"/>
                <w:szCs w:val="17"/>
                <w:highlight w:val="none"/>
              </w:rPr>
            </w:pPr>
            <w:r>
              <w:rPr>
                <w:rFonts w:ascii="宋体" w:hAnsi="宋体" w:eastAsia="宋体" w:cs="宋体"/>
                <w:spacing w:val="12"/>
                <w:sz w:val="17"/>
                <w:szCs w:val="17"/>
                <w:highlight w:val="none"/>
              </w:rPr>
              <w:t>工程设计及本环评提出的设计、施工、运行阶段的电磁环境、水环境、声环境保护措施</w:t>
            </w:r>
            <w:r>
              <w:rPr>
                <w:rFonts w:ascii="宋体" w:hAnsi="宋体" w:eastAsia="宋体" w:cs="宋体"/>
                <w:spacing w:val="8"/>
                <w:sz w:val="17"/>
                <w:szCs w:val="17"/>
                <w:highlight w:val="none"/>
              </w:rPr>
              <w:t>落</w:t>
            </w:r>
            <w:r>
              <w:rPr>
                <w:rFonts w:ascii="宋体" w:hAnsi="宋体" w:eastAsia="宋体" w:cs="宋体"/>
                <w:sz w:val="17"/>
                <w:szCs w:val="17"/>
                <w:highlight w:val="none"/>
              </w:rPr>
              <w:t xml:space="preserve"> </w:t>
            </w:r>
            <w:r>
              <w:rPr>
                <w:rFonts w:ascii="宋体" w:hAnsi="宋体" w:eastAsia="宋体" w:cs="宋体"/>
                <w:spacing w:val="12"/>
                <w:sz w:val="17"/>
                <w:szCs w:val="17"/>
                <w:highlight w:val="none"/>
              </w:rPr>
              <w:t>实</w:t>
            </w:r>
            <w:r>
              <w:rPr>
                <w:rFonts w:ascii="宋体" w:hAnsi="宋体" w:eastAsia="宋体" w:cs="宋体"/>
                <w:spacing w:val="7"/>
                <w:sz w:val="17"/>
                <w:szCs w:val="17"/>
                <w:highlight w:val="none"/>
              </w:rPr>
              <w:t>情况及实施效果。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465" w:type="dxa"/>
            <w:tcBorders>
              <w:left w:val="single" w:color="000000" w:sz="10" w:space="0"/>
            </w:tcBorders>
            <w:vAlign w:val="top"/>
          </w:tcPr>
          <w:p>
            <w:pPr>
              <w:rPr>
                <w:rFonts w:ascii="Arial"/>
                <w:sz w:val="21"/>
                <w:highlight w:val="none"/>
              </w:rPr>
            </w:pPr>
          </w:p>
          <w:p>
            <w:pPr>
              <w:spacing w:before="49" w:line="197" w:lineRule="auto"/>
              <w:ind w:left="178"/>
              <w:rPr>
                <w:rFonts w:ascii="Times New Roman" w:hAnsi="Times New Roman" w:eastAsia="Times New Roman" w:cs="Times New Roman"/>
                <w:sz w:val="17"/>
                <w:szCs w:val="17"/>
                <w:highlight w:val="none"/>
              </w:rPr>
            </w:pPr>
            <w:r>
              <w:rPr>
                <w:rFonts w:ascii="Times New Roman" w:hAnsi="Times New Roman" w:eastAsia="Times New Roman" w:cs="Times New Roman"/>
                <w:spacing w:val="2"/>
                <w:sz w:val="17"/>
                <w:szCs w:val="17"/>
                <w:highlight w:val="none"/>
              </w:rPr>
              <w:t>4</w:t>
            </w:r>
          </w:p>
        </w:tc>
        <w:tc>
          <w:tcPr>
            <w:tcW w:w="1491" w:type="dxa"/>
            <w:vAlign w:val="top"/>
          </w:tcPr>
          <w:p>
            <w:pPr>
              <w:spacing w:before="145" w:line="267" w:lineRule="auto"/>
              <w:ind w:left="383" w:right="212" w:hanging="183"/>
              <w:rPr>
                <w:rFonts w:ascii="宋体" w:hAnsi="宋体" w:eastAsia="宋体" w:cs="宋体"/>
                <w:sz w:val="17"/>
                <w:szCs w:val="17"/>
                <w:highlight w:val="none"/>
              </w:rPr>
            </w:pPr>
            <w:r>
              <w:rPr>
                <w:rFonts w:ascii="宋体" w:hAnsi="宋体" w:eastAsia="宋体" w:cs="宋体"/>
                <w:spacing w:val="9"/>
                <w:sz w:val="17"/>
                <w:szCs w:val="17"/>
                <w:highlight w:val="none"/>
              </w:rPr>
              <w:t>环境保护设</w:t>
            </w:r>
            <w:r>
              <w:rPr>
                <w:rFonts w:ascii="宋体" w:hAnsi="宋体" w:eastAsia="宋体" w:cs="宋体"/>
                <w:spacing w:val="7"/>
                <w:sz w:val="17"/>
                <w:szCs w:val="17"/>
                <w:highlight w:val="none"/>
              </w:rPr>
              <w:t>施</w:t>
            </w:r>
            <w:r>
              <w:rPr>
                <w:rFonts w:ascii="宋体" w:hAnsi="宋体" w:eastAsia="宋体" w:cs="宋体"/>
                <w:sz w:val="17"/>
                <w:szCs w:val="17"/>
                <w:highlight w:val="none"/>
              </w:rPr>
              <w:t xml:space="preserve"> </w:t>
            </w:r>
            <w:r>
              <w:rPr>
                <w:rFonts w:ascii="宋体" w:hAnsi="宋体" w:eastAsia="宋体" w:cs="宋体"/>
                <w:spacing w:val="8"/>
                <w:sz w:val="17"/>
                <w:szCs w:val="17"/>
                <w:highlight w:val="none"/>
              </w:rPr>
              <w:t>安</w:t>
            </w:r>
            <w:r>
              <w:rPr>
                <w:rFonts w:ascii="宋体" w:hAnsi="宋体" w:eastAsia="宋体" w:cs="宋体"/>
                <w:spacing w:val="7"/>
                <w:sz w:val="17"/>
                <w:szCs w:val="17"/>
                <w:highlight w:val="none"/>
              </w:rPr>
              <w:t>装质量</w:t>
            </w:r>
          </w:p>
        </w:tc>
        <w:tc>
          <w:tcPr>
            <w:tcW w:w="7119" w:type="dxa"/>
            <w:tcBorders>
              <w:right w:val="single" w:color="000000" w:sz="10" w:space="0"/>
            </w:tcBorders>
            <w:vAlign w:val="top"/>
          </w:tcPr>
          <w:p>
            <w:pPr>
              <w:spacing w:before="30" w:line="244" w:lineRule="auto"/>
              <w:ind w:left="3" w:right="4"/>
              <w:rPr>
                <w:rFonts w:ascii="宋体" w:hAnsi="宋体" w:eastAsia="宋体" w:cs="宋体"/>
                <w:sz w:val="17"/>
                <w:szCs w:val="17"/>
                <w:highlight w:val="none"/>
              </w:rPr>
            </w:pPr>
            <w:r>
              <w:rPr>
                <w:rFonts w:ascii="宋体" w:hAnsi="宋体" w:eastAsia="宋体" w:cs="宋体"/>
                <w:spacing w:val="12"/>
                <w:sz w:val="17"/>
                <w:szCs w:val="17"/>
                <w:highlight w:val="none"/>
              </w:rPr>
              <w:t>环境保护设施安装质量是否符合国家和有关部门规定，包括电磁环境保护设施、声环境</w:t>
            </w:r>
            <w:r>
              <w:rPr>
                <w:rFonts w:ascii="宋体" w:hAnsi="宋体" w:eastAsia="宋体" w:cs="宋体"/>
                <w:spacing w:val="10"/>
                <w:sz w:val="17"/>
                <w:szCs w:val="17"/>
                <w:highlight w:val="none"/>
              </w:rPr>
              <w:t>保</w:t>
            </w:r>
            <w:r>
              <w:rPr>
                <w:rFonts w:ascii="宋体" w:hAnsi="宋体" w:eastAsia="宋体" w:cs="宋体"/>
                <w:sz w:val="17"/>
                <w:szCs w:val="17"/>
                <w:highlight w:val="none"/>
              </w:rPr>
              <w:t xml:space="preserve"> </w:t>
            </w:r>
            <w:r>
              <w:rPr>
                <w:rFonts w:ascii="宋体" w:hAnsi="宋体" w:eastAsia="宋体" w:cs="宋体"/>
                <w:spacing w:val="12"/>
                <w:sz w:val="17"/>
                <w:szCs w:val="17"/>
                <w:highlight w:val="none"/>
              </w:rPr>
              <w:t>护设施。与环评阶段相比，线路是否尽量远离居民点，若没有，线路附近居民点处电磁</w:t>
            </w:r>
            <w:r>
              <w:rPr>
                <w:rFonts w:ascii="宋体" w:hAnsi="宋体" w:eastAsia="宋体" w:cs="宋体"/>
                <w:spacing w:val="9"/>
                <w:sz w:val="17"/>
                <w:szCs w:val="17"/>
                <w:highlight w:val="none"/>
              </w:rPr>
              <w:t>环</w:t>
            </w:r>
            <w:r>
              <w:rPr>
                <w:rFonts w:ascii="宋体" w:hAnsi="宋体" w:eastAsia="宋体" w:cs="宋体"/>
                <w:sz w:val="17"/>
                <w:szCs w:val="17"/>
                <w:highlight w:val="none"/>
              </w:rPr>
              <w:t xml:space="preserve"> </w:t>
            </w:r>
            <w:r>
              <w:rPr>
                <w:rFonts w:ascii="宋体" w:hAnsi="宋体" w:eastAsia="宋体" w:cs="宋体"/>
                <w:spacing w:val="10"/>
                <w:sz w:val="17"/>
                <w:szCs w:val="17"/>
                <w:highlight w:val="none"/>
              </w:rPr>
              <w:t>境</w:t>
            </w:r>
            <w:r>
              <w:rPr>
                <w:rFonts w:ascii="宋体" w:hAnsi="宋体" w:eastAsia="宋体" w:cs="宋体"/>
                <w:spacing w:val="8"/>
                <w:sz w:val="17"/>
                <w:szCs w:val="17"/>
                <w:highlight w:val="none"/>
              </w:rPr>
              <w:t>是否满足标准要求。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65" w:type="dxa"/>
            <w:tcBorders>
              <w:left w:val="single" w:color="000000" w:sz="10" w:space="0"/>
            </w:tcBorders>
            <w:vAlign w:val="top"/>
          </w:tcPr>
          <w:p>
            <w:pPr>
              <w:spacing w:before="178" w:line="194" w:lineRule="auto"/>
              <w:ind w:left="184"/>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5</w:t>
            </w:r>
          </w:p>
        </w:tc>
        <w:tc>
          <w:tcPr>
            <w:tcW w:w="1491" w:type="dxa"/>
            <w:vAlign w:val="top"/>
          </w:tcPr>
          <w:p>
            <w:pPr>
              <w:spacing w:before="29"/>
              <w:ind w:left="380" w:right="32" w:hanging="360"/>
              <w:rPr>
                <w:rFonts w:ascii="宋体" w:hAnsi="宋体" w:eastAsia="宋体" w:cs="宋体"/>
                <w:sz w:val="17"/>
                <w:szCs w:val="17"/>
                <w:highlight w:val="none"/>
              </w:rPr>
            </w:pPr>
            <w:r>
              <w:rPr>
                <w:rFonts w:ascii="宋体" w:hAnsi="宋体" w:eastAsia="宋体" w:cs="宋体"/>
                <w:spacing w:val="9"/>
                <w:sz w:val="17"/>
                <w:szCs w:val="17"/>
                <w:highlight w:val="none"/>
              </w:rPr>
              <w:t>环境保护设施正常</w:t>
            </w:r>
            <w:r>
              <w:rPr>
                <w:rFonts w:ascii="宋体" w:hAnsi="宋体" w:eastAsia="宋体" w:cs="宋体"/>
                <w:sz w:val="17"/>
                <w:szCs w:val="17"/>
                <w:highlight w:val="none"/>
              </w:rPr>
              <w:t xml:space="preserve"> </w:t>
            </w:r>
            <w:r>
              <w:rPr>
                <w:rFonts w:ascii="宋体" w:hAnsi="宋体" w:eastAsia="宋体" w:cs="宋体"/>
                <w:spacing w:val="8"/>
                <w:sz w:val="17"/>
                <w:szCs w:val="17"/>
                <w:highlight w:val="none"/>
              </w:rPr>
              <w:t>运转条件</w:t>
            </w:r>
          </w:p>
        </w:tc>
        <w:tc>
          <w:tcPr>
            <w:tcW w:w="7119" w:type="dxa"/>
            <w:tcBorders>
              <w:right w:val="single" w:color="000000" w:sz="10" w:space="0"/>
            </w:tcBorders>
            <w:vAlign w:val="top"/>
          </w:tcPr>
          <w:p>
            <w:pPr>
              <w:spacing w:before="145" w:line="230" w:lineRule="auto"/>
              <w:ind w:left="5"/>
              <w:rPr>
                <w:rFonts w:ascii="宋体" w:hAnsi="宋体" w:eastAsia="宋体" w:cs="宋体"/>
                <w:sz w:val="17"/>
                <w:szCs w:val="17"/>
                <w:highlight w:val="none"/>
              </w:rPr>
            </w:pPr>
            <w:r>
              <w:rPr>
                <w:rFonts w:ascii="宋体" w:hAnsi="宋体" w:eastAsia="宋体" w:cs="宋体"/>
                <w:spacing w:val="11"/>
                <w:sz w:val="17"/>
                <w:szCs w:val="17"/>
                <w:highlight w:val="none"/>
              </w:rPr>
              <w:t>各</w:t>
            </w:r>
            <w:r>
              <w:rPr>
                <w:rFonts w:ascii="宋体" w:hAnsi="宋体" w:eastAsia="宋体" w:cs="宋体"/>
                <w:spacing w:val="9"/>
                <w:sz w:val="17"/>
                <w:szCs w:val="17"/>
                <w:highlight w:val="none"/>
              </w:rPr>
              <w:t>项环保设施是否有合格的操作人员、操作制度。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465" w:type="dxa"/>
            <w:tcBorders>
              <w:left w:val="single" w:color="000000" w:sz="10" w:space="0"/>
            </w:tcBorders>
            <w:vAlign w:val="top"/>
          </w:tcPr>
          <w:p>
            <w:pPr>
              <w:spacing w:line="358" w:lineRule="auto"/>
              <w:rPr>
                <w:rFonts w:ascii="Arial"/>
                <w:sz w:val="21"/>
                <w:highlight w:val="none"/>
              </w:rPr>
            </w:pPr>
          </w:p>
          <w:p>
            <w:pPr>
              <w:spacing w:before="49" w:line="197" w:lineRule="auto"/>
              <w:ind w:left="183"/>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6</w:t>
            </w:r>
          </w:p>
        </w:tc>
        <w:tc>
          <w:tcPr>
            <w:tcW w:w="1491" w:type="dxa"/>
            <w:vAlign w:val="top"/>
          </w:tcPr>
          <w:p>
            <w:pPr>
              <w:spacing w:before="261" w:line="270" w:lineRule="auto"/>
              <w:ind w:left="558" w:right="32" w:hanging="537"/>
              <w:rPr>
                <w:rFonts w:ascii="宋体" w:hAnsi="宋体" w:eastAsia="宋体" w:cs="宋体"/>
                <w:sz w:val="17"/>
                <w:szCs w:val="17"/>
                <w:highlight w:val="none"/>
              </w:rPr>
            </w:pPr>
            <w:r>
              <w:rPr>
                <w:rFonts w:ascii="宋体" w:hAnsi="宋体" w:eastAsia="宋体" w:cs="宋体"/>
                <w:spacing w:val="9"/>
                <w:sz w:val="17"/>
                <w:szCs w:val="17"/>
                <w:highlight w:val="none"/>
              </w:rPr>
              <w:t>污染物排放及总</w:t>
            </w:r>
            <w:r>
              <w:rPr>
                <w:rFonts w:ascii="宋体" w:hAnsi="宋体" w:eastAsia="宋体" w:cs="宋体"/>
                <w:spacing w:val="8"/>
                <w:sz w:val="17"/>
                <w:szCs w:val="17"/>
                <w:highlight w:val="none"/>
              </w:rPr>
              <w:t>量</w:t>
            </w:r>
            <w:r>
              <w:rPr>
                <w:rFonts w:ascii="宋体" w:hAnsi="宋体" w:eastAsia="宋体" w:cs="宋体"/>
                <w:sz w:val="17"/>
                <w:szCs w:val="17"/>
                <w:highlight w:val="none"/>
              </w:rPr>
              <w:t xml:space="preserve"> </w:t>
            </w:r>
            <w:r>
              <w:rPr>
                <w:rFonts w:ascii="宋体" w:hAnsi="宋体" w:eastAsia="宋体" w:cs="宋体"/>
                <w:spacing w:val="7"/>
                <w:sz w:val="17"/>
                <w:szCs w:val="17"/>
                <w:highlight w:val="none"/>
              </w:rPr>
              <w:t>控</w:t>
            </w:r>
            <w:r>
              <w:rPr>
                <w:rFonts w:ascii="宋体" w:hAnsi="宋体" w:eastAsia="宋体" w:cs="宋体"/>
                <w:spacing w:val="6"/>
                <w:sz w:val="17"/>
                <w:szCs w:val="17"/>
                <w:highlight w:val="none"/>
              </w:rPr>
              <w:t>制</w:t>
            </w:r>
          </w:p>
        </w:tc>
        <w:tc>
          <w:tcPr>
            <w:tcW w:w="7119" w:type="dxa"/>
            <w:tcBorders>
              <w:right w:val="single" w:color="000000" w:sz="10" w:space="0"/>
            </w:tcBorders>
            <w:vAlign w:val="top"/>
          </w:tcPr>
          <w:p>
            <w:pPr>
              <w:spacing w:before="1" w:line="250" w:lineRule="auto"/>
              <w:ind w:left="3" w:right="4"/>
              <w:rPr>
                <w:rFonts w:ascii="宋体" w:hAnsi="宋体" w:eastAsia="宋体" w:cs="宋体"/>
                <w:sz w:val="17"/>
                <w:szCs w:val="17"/>
                <w:highlight w:val="none"/>
              </w:rPr>
            </w:pPr>
            <w:r>
              <w:rPr>
                <w:rFonts w:ascii="宋体" w:hAnsi="宋体" w:eastAsia="宋体" w:cs="宋体"/>
                <w:spacing w:val="14"/>
                <w:sz w:val="17"/>
                <w:szCs w:val="17"/>
                <w:highlight w:val="none"/>
              </w:rPr>
              <w:t>居</w:t>
            </w:r>
            <w:r>
              <w:rPr>
                <w:rFonts w:ascii="宋体" w:hAnsi="宋体" w:eastAsia="宋体" w:cs="宋体"/>
                <w:spacing w:val="7"/>
                <w:sz w:val="17"/>
                <w:szCs w:val="17"/>
                <w:highlight w:val="none"/>
              </w:rPr>
              <w:t xml:space="preserve">民点处的工频电场强度能否满足 </w:t>
            </w:r>
            <w:r>
              <w:rPr>
                <w:rFonts w:ascii="Times New Roman" w:hAnsi="Times New Roman" w:eastAsia="Times New Roman" w:cs="Times New Roman"/>
                <w:spacing w:val="7"/>
                <w:sz w:val="17"/>
                <w:szCs w:val="17"/>
                <w:highlight w:val="none"/>
              </w:rPr>
              <w:t>4</w:t>
            </w:r>
            <w:r>
              <w:rPr>
                <w:rFonts w:ascii="Times New Roman" w:hAnsi="Times New Roman" w:eastAsia="Times New Roman" w:cs="Times New Roman"/>
                <w:sz w:val="17"/>
                <w:szCs w:val="17"/>
                <w:highlight w:val="none"/>
              </w:rPr>
              <w:t>kV</w:t>
            </w:r>
            <w:r>
              <w:rPr>
                <w:rFonts w:ascii="Times New Roman" w:hAnsi="Times New Roman" w:eastAsia="Times New Roman" w:cs="Times New Roman"/>
                <w:spacing w:val="7"/>
                <w:sz w:val="17"/>
                <w:szCs w:val="17"/>
                <w:highlight w:val="none"/>
              </w:rPr>
              <w:t>/</w:t>
            </w:r>
            <w:r>
              <w:rPr>
                <w:rFonts w:ascii="Times New Roman" w:hAnsi="Times New Roman" w:eastAsia="Times New Roman" w:cs="Times New Roman"/>
                <w:sz w:val="17"/>
                <w:szCs w:val="17"/>
                <w:highlight w:val="none"/>
              </w:rPr>
              <w:t>m</w:t>
            </w:r>
            <w:r>
              <w:rPr>
                <w:rFonts w:ascii="Times New Roman" w:hAnsi="Times New Roman" w:eastAsia="Times New Roman" w:cs="Times New Roman"/>
                <w:spacing w:val="7"/>
                <w:sz w:val="17"/>
                <w:szCs w:val="17"/>
                <w:highlight w:val="none"/>
              </w:rPr>
              <w:t xml:space="preserve"> </w:t>
            </w:r>
            <w:r>
              <w:rPr>
                <w:rFonts w:ascii="宋体" w:hAnsi="宋体" w:eastAsia="宋体" w:cs="宋体"/>
                <w:spacing w:val="7"/>
                <w:sz w:val="17"/>
                <w:szCs w:val="17"/>
                <w:highlight w:val="none"/>
              </w:rPr>
              <w:t xml:space="preserve">的标准限值，工频磁感应强度能否满足 </w:t>
            </w:r>
            <w:r>
              <w:rPr>
                <w:rFonts w:ascii="Times New Roman" w:hAnsi="Times New Roman" w:eastAsia="Times New Roman" w:cs="Times New Roman"/>
                <w:spacing w:val="7"/>
                <w:sz w:val="17"/>
                <w:szCs w:val="17"/>
                <w:highlight w:val="none"/>
              </w:rPr>
              <w:t>100μ</w:t>
            </w:r>
            <w:r>
              <w:rPr>
                <w:rFonts w:ascii="Times New Roman" w:hAnsi="Times New Roman" w:eastAsia="Times New Roman" w:cs="Times New Roman"/>
                <w:sz w:val="17"/>
                <w:szCs w:val="17"/>
                <w:highlight w:val="none"/>
              </w:rPr>
              <w:t>T</w:t>
            </w:r>
            <w:r>
              <w:rPr>
                <w:rFonts w:ascii="Times New Roman" w:hAnsi="Times New Roman" w:eastAsia="Times New Roman" w:cs="Times New Roman"/>
                <w:spacing w:val="7"/>
                <w:sz w:val="17"/>
                <w:szCs w:val="17"/>
                <w:highlight w:val="none"/>
              </w:rPr>
              <w:t xml:space="preserve"> </w:t>
            </w:r>
            <w:r>
              <w:rPr>
                <w:rFonts w:ascii="宋体" w:hAnsi="宋体" w:eastAsia="宋体" w:cs="宋体"/>
                <w:spacing w:val="7"/>
                <w:sz w:val="17"/>
                <w:szCs w:val="17"/>
                <w:highlight w:val="none"/>
              </w:rPr>
              <w:t>的</w:t>
            </w:r>
            <w:r>
              <w:rPr>
                <w:rFonts w:ascii="宋体" w:hAnsi="宋体" w:eastAsia="宋体" w:cs="宋体"/>
                <w:sz w:val="17"/>
                <w:szCs w:val="17"/>
                <w:highlight w:val="none"/>
              </w:rPr>
              <w:t xml:space="preserve"> </w:t>
            </w:r>
            <w:r>
              <w:rPr>
                <w:rFonts w:ascii="宋体" w:hAnsi="宋体" w:eastAsia="宋体" w:cs="宋体"/>
                <w:spacing w:val="9"/>
                <w:sz w:val="17"/>
                <w:szCs w:val="17"/>
                <w:highlight w:val="none"/>
              </w:rPr>
              <w:t>标准限值。如不能，提出相应整改措施。</w:t>
            </w:r>
          </w:p>
          <w:p>
            <w:pPr>
              <w:spacing w:line="258" w:lineRule="auto"/>
              <w:ind w:left="5" w:hanging="2"/>
              <w:rPr>
                <w:rFonts w:ascii="宋体" w:hAnsi="宋体" w:eastAsia="宋体" w:cs="宋体"/>
                <w:sz w:val="17"/>
                <w:szCs w:val="17"/>
                <w:highlight w:val="none"/>
              </w:rPr>
            </w:pPr>
            <w:r>
              <w:rPr>
                <w:rFonts w:ascii="宋体" w:hAnsi="宋体" w:eastAsia="宋体" w:cs="宋体"/>
                <w:spacing w:val="8"/>
                <w:sz w:val="17"/>
                <w:szCs w:val="17"/>
                <w:highlight w:val="none"/>
              </w:rPr>
              <w:t>汇</w:t>
            </w:r>
            <w:r>
              <w:rPr>
                <w:rFonts w:ascii="宋体" w:hAnsi="宋体" w:eastAsia="宋体" w:cs="宋体"/>
                <w:spacing w:val="4"/>
                <w:sz w:val="17"/>
                <w:szCs w:val="17"/>
                <w:highlight w:val="none"/>
              </w:rPr>
              <w:t>集站厂界噪声排放能否满足《工业企业厂界环境噪声排放标准》</w:t>
            </w:r>
            <w:r>
              <w:rPr>
                <w:rFonts w:ascii="Times New Roman" w:hAnsi="Times New Roman" w:eastAsia="Times New Roman" w:cs="Times New Roman"/>
                <w:spacing w:val="4"/>
                <w:sz w:val="17"/>
                <w:szCs w:val="17"/>
                <w:highlight w:val="none"/>
              </w:rPr>
              <w:t>(</w:t>
            </w:r>
            <w:r>
              <w:rPr>
                <w:rFonts w:ascii="Times New Roman" w:hAnsi="Times New Roman" w:eastAsia="Times New Roman" w:cs="Times New Roman"/>
                <w:sz w:val="17"/>
                <w:szCs w:val="17"/>
                <w:highlight w:val="none"/>
              </w:rPr>
              <w:t>GB</w:t>
            </w:r>
            <w:r>
              <w:rPr>
                <w:rFonts w:ascii="Times New Roman" w:hAnsi="Times New Roman" w:eastAsia="Times New Roman" w:cs="Times New Roman"/>
                <w:spacing w:val="4"/>
                <w:sz w:val="17"/>
                <w:szCs w:val="17"/>
                <w:highlight w:val="none"/>
              </w:rPr>
              <w:t xml:space="preserve">12348-2008)2 </w:t>
            </w:r>
            <w:r>
              <w:rPr>
                <w:rFonts w:ascii="宋体" w:hAnsi="宋体" w:eastAsia="宋体" w:cs="宋体"/>
                <w:spacing w:val="4"/>
                <w:sz w:val="17"/>
                <w:szCs w:val="17"/>
                <w:highlight w:val="none"/>
              </w:rPr>
              <w:t>类标准，</w:t>
            </w:r>
            <w:r>
              <w:rPr>
                <w:rFonts w:ascii="宋体" w:hAnsi="宋体" w:eastAsia="宋体" w:cs="宋体"/>
                <w:sz w:val="17"/>
                <w:szCs w:val="17"/>
                <w:highlight w:val="none"/>
              </w:rPr>
              <w:t xml:space="preserve"> </w:t>
            </w:r>
            <w:r>
              <w:rPr>
                <w:rFonts w:ascii="宋体" w:hAnsi="宋体" w:eastAsia="宋体" w:cs="宋体"/>
                <w:spacing w:val="16"/>
                <w:sz w:val="17"/>
                <w:szCs w:val="17"/>
                <w:highlight w:val="none"/>
              </w:rPr>
              <w:t>线路</w:t>
            </w:r>
            <w:r>
              <w:rPr>
                <w:rFonts w:ascii="宋体" w:hAnsi="宋体" w:eastAsia="宋体" w:cs="宋体"/>
                <w:spacing w:val="9"/>
                <w:sz w:val="17"/>
                <w:szCs w:val="17"/>
                <w:highlight w:val="none"/>
              </w:rPr>
              <w:t>附</w:t>
            </w:r>
            <w:r>
              <w:rPr>
                <w:rFonts w:ascii="宋体" w:hAnsi="宋体" w:eastAsia="宋体" w:cs="宋体"/>
                <w:spacing w:val="8"/>
                <w:sz w:val="17"/>
                <w:szCs w:val="17"/>
                <w:highlight w:val="none"/>
              </w:rPr>
              <w:t>近噪声水平能否满足相应声环境功能区类别标准。如不能，提出相应整改措施。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65" w:type="dxa"/>
            <w:tcBorders>
              <w:left w:val="single" w:color="000000" w:sz="10" w:space="0"/>
            </w:tcBorders>
            <w:vAlign w:val="top"/>
          </w:tcPr>
          <w:p>
            <w:pPr>
              <w:spacing w:before="180" w:line="194" w:lineRule="auto"/>
              <w:ind w:left="182"/>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7</w:t>
            </w:r>
          </w:p>
        </w:tc>
        <w:tc>
          <w:tcPr>
            <w:tcW w:w="1491" w:type="dxa"/>
            <w:vAlign w:val="top"/>
          </w:tcPr>
          <w:p>
            <w:pPr>
              <w:spacing w:before="147" w:line="231" w:lineRule="auto"/>
              <w:ind w:left="201"/>
              <w:rPr>
                <w:rFonts w:ascii="宋体" w:hAnsi="宋体" w:eastAsia="宋体" w:cs="宋体"/>
                <w:sz w:val="17"/>
                <w:szCs w:val="17"/>
                <w:highlight w:val="none"/>
              </w:rPr>
            </w:pPr>
            <w:r>
              <w:rPr>
                <w:rFonts w:ascii="宋体" w:hAnsi="宋体" w:eastAsia="宋体" w:cs="宋体"/>
                <w:spacing w:val="11"/>
                <w:sz w:val="17"/>
                <w:szCs w:val="17"/>
                <w:highlight w:val="none"/>
              </w:rPr>
              <w:t>生</w:t>
            </w:r>
            <w:r>
              <w:rPr>
                <w:rFonts w:ascii="宋体" w:hAnsi="宋体" w:eastAsia="宋体" w:cs="宋体"/>
                <w:spacing w:val="8"/>
                <w:sz w:val="17"/>
                <w:szCs w:val="17"/>
                <w:highlight w:val="none"/>
              </w:rPr>
              <w:t>态保护措施</w:t>
            </w:r>
          </w:p>
        </w:tc>
        <w:tc>
          <w:tcPr>
            <w:tcW w:w="7119" w:type="dxa"/>
            <w:tcBorders>
              <w:right w:val="single" w:color="000000" w:sz="10" w:space="0"/>
            </w:tcBorders>
            <w:vAlign w:val="top"/>
          </w:tcPr>
          <w:p>
            <w:pPr>
              <w:spacing w:before="31" w:line="239" w:lineRule="auto"/>
              <w:ind w:left="7" w:right="4" w:hanging="2"/>
              <w:rPr>
                <w:rFonts w:ascii="宋体" w:hAnsi="宋体" w:eastAsia="宋体" w:cs="宋体"/>
                <w:sz w:val="17"/>
                <w:szCs w:val="17"/>
                <w:highlight w:val="none"/>
              </w:rPr>
            </w:pPr>
            <w:r>
              <w:rPr>
                <w:rFonts w:ascii="宋体" w:hAnsi="宋体" w:eastAsia="宋体" w:cs="宋体"/>
                <w:spacing w:val="12"/>
                <w:sz w:val="17"/>
                <w:szCs w:val="17"/>
                <w:highlight w:val="none"/>
              </w:rPr>
              <w:t>是否落实本环评中提出的各项生态保护措施，各项生态保护措施的实施效果。临时占地</w:t>
            </w:r>
            <w:r>
              <w:rPr>
                <w:rFonts w:ascii="宋体" w:hAnsi="宋体" w:eastAsia="宋体" w:cs="宋体"/>
                <w:spacing w:val="8"/>
                <w:sz w:val="17"/>
                <w:szCs w:val="17"/>
                <w:highlight w:val="none"/>
              </w:rPr>
              <w:t>是</w:t>
            </w:r>
            <w:r>
              <w:rPr>
                <w:rFonts w:ascii="宋体" w:hAnsi="宋体" w:eastAsia="宋体" w:cs="宋体"/>
                <w:sz w:val="17"/>
                <w:szCs w:val="17"/>
                <w:highlight w:val="none"/>
              </w:rPr>
              <w:t xml:space="preserve"> </w:t>
            </w:r>
            <w:r>
              <w:rPr>
                <w:rFonts w:ascii="宋体" w:hAnsi="宋体" w:eastAsia="宋体" w:cs="宋体"/>
                <w:spacing w:val="13"/>
                <w:sz w:val="17"/>
                <w:szCs w:val="17"/>
                <w:highlight w:val="none"/>
              </w:rPr>
              <w:t>否</w:t>
            </w:r>
            <w:r>
              <w:rPr>
                <w:rFonts w:ascii="宋体" w:hAnsi="宋体" w:eastAsia="宋体" w:cs="宋体"/>
                <w:spacing w:val="8"/>
                <w:sz w:val="17"/>
                <w:szCs w:val="17"/>
                <w:highlight w:val="none"/>
              </w:rPr>
              <w:t>进行了植被恢复及恢复效果。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465" w:type="dxa"/>
            <w:tcBorders>
              <w:left w:val="single" w:color="000000" w:sz="10" w:space="0"/>
            </w:tcBorders>
            <w:vAlign w:val="top"/>
          </w:tcPr>
          <w:p>
            <w:pPr>
              <w:spacing w:before="176" w:line="197" w:lineRule="auto"/>
              <w:ind w:left="186"/>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8</w:t>
            </w:r>
          </w:p>
        </w:tc>
        <w:tc>
          <w:tcPr>
            <w:tcW w:w="1491" w:type="dxa"/>
            <w:vAlign w:val="top"/>
          </w:tcPr>
          <w:p>
            <w:pPr>
              <w:spacing w:before="147" w:line="231" w:lineRule="auto"/>
              <w:ind w:left="380"/>
              <w:rPr>
                <w:rFonts w:ascii="宋体" w:hAnsi="宋体" w:eastAsia="宋体" w:cs="宋体"/>
                <w:sz w:val="17"/>
                <w:szCs w:val="17"/>
                <w:highlight w:val="none"/>
              </w:rPr>
            </w:pPr>
            <w:r>
              <w:rPr>
                <w:rFonts w:ascii="宋体" w:hAnsi="宋体" w:eastAsia="宋体" w:cs="宋体"/>
                <w:spacing w:val="8"/>
                <w:sz w:val="17"/>
                <w:szCs w:val="17"/>
                <w:highlight w:val="none"/>
              </w:rPr>
              <w:t>环境监测</w:t>
            </w:r>
          </w:p>
        </w:tc>
        <w:tc>
          <w:tcPr>
            <w:tcW w:w="7119" w:type="dxa"/>
            <w:tcBorders>
              <w:right w:val="single" w:color="000000" w:sz="10" w:space="0"/>
            </w:tcBorders>
            <w:vAlign w:val="top"/>
          </w:tcPr>
          <w:p>
            <w:pPr>
              <w:spacing w:before="30" w:line="239" w:lineRule="auto"/>
              <w:ind w:left="2" w:right="4" w:firstLine="2"/>
              <w:rPr>
                <w:rFonts w:ascii="宋体" w:hAnsi="宋体" w:eastAsia="宋体" w:cs="宋体"/>
                <w:sz w:val="17"/>
                <w:szCs w:val="17"/>
                <w:highlight w:val="none"/>
              </w:rPr>
            </w:pPr>
            <w:r>
              <w:rPr>
                <w:rFonts w:ascii="宋体" w:hAnsi="宋体" w:eastAsia="宋体" w:cs="宋体"/>
                <w:spacing w:val="12"/>
                <w:sz w:val="17"/>
                <w:szCs w:val="17"/>
                <w:highlight w:val="none"/>
              </w:rPr>
              <w:t>落实环境影响报告书中环境管理内容，实施环境影响报告书监测计划。竣工验收中，应</w:t>
            </w:r>
            <w:r>
              <w:rPr>
                <w:rFonts w:ascii="宋体" w:hAnsi="宋体" w:eastAsia="宋体" w:cs="宋体"/>
                <w:spacing w:val="9"/>
                <w:sz w:val="17"/>
                <w:szCs w:val="17"/>
                <w:highlight w:val="none"/>
              </w:rPr>
              <w:t>该</w:t>
            </w:r>
            <w:r>
              <w:rPr>
                <w:rFonts w:ascii="宋体" w:hAnsi="宋体" w:eastAsia="宋体" w:cs="宋体"/>
                <w:sz w:val="17"/>
                <w:szCs w:val="17"/>
                <w:highlight w:val="none"/>
              </w:rPr>
              <w:t xml:space="preserve"> </w:t>
            </w:r>
            <w:r>
              <w:rPr>
                <w:rFonts w:ascii="宋体" w:hAnsi="宋体" w:eastAsia="宋体" w:cs="宋体"/>
                <w:spacing w:val="18"/>
                <w:sz w:val="17"/>
                <w:szCs w:val="17"/>
                <w:highlight w:val="none"/>
              </w:rPr>
              <w:t>对</w:t>
            </w:r>
            <w:r>
              <w:rPr>
                <w:rFonts w:ascii="宋体" w:hAnsi="宋体" w:eastAsia="宋体" w:cs="宋体"/>
                <w:spacing w:val="16"/>
                <w:sz w:val="17"/>
                <w:szCs w:val="17"/>
                <w:highlight w:val="none"/>
              </w:rPr>
              <w:t>所</w:t>
            </w:r>
            <w:r>
              <w:rPr>
                <w:rFonts w:ascii="宋体" w:hAnsi="宋体" w:eastAsia="宋体" w:cs="宋体"/>
                <w:spacing w:val="9"/>
                <w:sz w:val="17"/>
                <w:szCs w:val="17"/>
                <w:highlight w:val="none"/>
              </w:rPr>
              <w:t>有的环境影响因子如工频电场强度、工频磁感应强度和噪声进行监测。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465" w:type="dxa"/>
            <w:tcBorders>
              <w:left w:val="single" w:color="000000" w:sz="10" w:space="0"/>
            </w:tcBorders>
            <w:vAlign w:val="top"/>
          </w:tcPr>
          <w:p>
            <w:pPr>
              <w:spacing w:before="177" w:line="197" w:lineRule="auto"/>
              <w:ind w:left="182"/>
              <w:rPr>
                <w:rFonts w:ascii="Times New Roman" w:hAnsi="Times New Roman" w:eastAsia="Times New Roman" w:cs="Times New Roman"/>
                <w:sz w:val="17"/>
                <w:szCs w:val="17"/>
                <w:highlight w:val="none"/>
              </w:rPr>
            </w:pPr>
            <w:r>
              <w:rPr>
                <w:rFonts w:ascii="Times New Roman" w:hAnsi="Times New Roman" w:eastAsia="Times New Roman" w:cs="Times New Roman"/>
                <w:sz w:val="17"/>
                <w:szCs w:val="17"/>
                <w:highlight w:val="none"/>
              </w:rPr>
              <w:t>9</w:t>
            </w:r>
          </w:p>
        </w:tc>
        <w:tc>
          <w:tcPr>
            <w:tcW w:w="1491" w:type="dxa"/>
            <w:vAlign w:val="top"/>
          </w:tcPr>
          <w:p>
            <w:pPr>
              <w:spacing w:before="30" w:line="252" w:lineRule="auto"/>
              <w:ind w:left="380" w:right="32" w:hanging="360"/>
              <w:rPr>
                <w:rFonts w:ascii="宋体" w:hAnsi="宋体" w:eastAsia="宋体" w:cs="宋体"/>
                <w:sz w:val="17"/>
                <w:szCs w:val="17"/>
                <w:highlight w:val="none"/>
              </w:rPr>
            </w:pPr>
            <w:r>
              <w:rPr>
                <w:rFonts w:ascii="宋体" w:hAnsi="宋体" w:eastAsia="宋体" w:cs="宋体"/>
                <w:spacing w:val="9"/>
                <w:sz w:val="17"/>
                <w:szCs w:val="17"/>
                <w:highlight w:val="none"/>
              </w:rPr>
              <w:t>环境保护目标环境</w:t>
            </w:r>
            <w:r>
              <w:rPr>
                <w:rFonts w:ascii="宋体" w:hAnsi="宋体" w:eastAsia="宋体" w:cs="宋体"/>
                <w:sz w:val="17"/>
                <w:szCs w:val="17"/>
                <w:highlight w:val="none"/>
              </w:rPr>
              <w:t xml:space="preserve"> </w:t>
            </w:r>
            <w:r>
              <w:rPr>
                <w:rFonts w:ascii="宋体" w:hAnsi="宋体" w:eastAsia="宋体" w:cs="宋体"/>
                <w:spacing w:val="8"/>
                <w:sz w:val="17"/>
                <w:szCs w:val="17"/>
                <w:highlight w:val="none"/>
              </w:rPr>
              <w:t>影响验证</w:t>
            </w:r>
          </w:p>
        </w:tc>
        <w:tc>
          <w:tcPr>
            <w:tcW w:w="7119" w:type="dxa"/>
            <w:tcBorders>
              <w:right w:val="single" w:color="000000" w:sz="10" w:space="0"/>
            </w:tcBorders>
            <w:vAlign w:val="top"/>
          </w:tcPr>
          <w:p>
            <w:pPr>
              <w:spacing w:before="30" w:line="252" w:lineRule="auto"/>
              <w:ind w:left="6" w:right="4" w:hanging="3"/>
              <w:rPr>
                <w:rFonts w:ascii="宋体" w:hAnsi="宋体" w:eastAsia="宋体" w:cs="宋体"/>
                <w:sz w:val="17"/>
                <w:szCs w:val="17"/>
                <w:highlight w:val="none"/>
              </w:rPr>
            </w:pPr>
            <w:r>
              <w:rPr>
                <w:rFonts w:ascii="宋体" w:hAnsi="宋体" w:eastAsia="宋体" w:cs="宋体"/>
                <w:spacing w:val="12"/>
                <w:sz w:val="17"/>
                <w:szCs w:val="17"/>
                <w:highlight w:val="none"/>
              </w:rPr>
              <w:t>监测汇集站及线路附近工频电场强度、工频磁感应强度和噪声等环境影响指标是否与预</w:t>
            </w:r>
            <w:r>
              <w:rPr>
                <w:rFonts w:ascii="宋体" w:hAnsi="宋体" w:eastAsia="宋体" w:cs="宋体"/>
                <w:spacing w:val="9"/>
                <w:sz w:val="17"/>
                <w:szCs w:val="17"/>
                <w:highlight w:val="none"/>
              </w:rPr>
              <w:t>测</w:t>
            </w:r>
            <w:r>
              <w:rPr>
                <w:rFonts w:ascii="宋体" w:hAnsi="宋体" w:eastAsia="宋体" w:cs="宋体"/>
                <w:sz w:val="17"/>
                <w:szCs w:val="17"/>
                <w:highlight w:val="none"/>
              </w:rPr>
              <w:t xml:space="preserve"> </w:t>
            </w:r>
            <w:r>
              <w:rPr>
                <w:rFonts w:ascii="宋体" w:hAnsi="宋体" w:eastAsia="宋体" w:cs="宋体"/>
                <w:spacing w:val="8"/>
                <w:sz w:val="17"/>
                <w:szCs w:val="17"/>
                <w:highlight w:val="none"/>
              </w:rPr>
              <w:t>结</w:t>
            </w:r>
            <w:r>
              <w:rPr>
                <w:rFonts w:ascii="宋体" w:hAnsi="宋体" w:eastAsia="宋体" w:cs="宋体"/>
                <w:spacing w:val="5"/>
                <w:sz w:val="17"/>
                <w:szCs w:val="17"/>
                <w:highlight w:val="none"/>
              </w:rPr>
              <w:t>果相符。</w:t>
            </w:r>
          </w:p>
        </w:tc>
      </w:tr>
    </w:tbl>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37" w:name="_bookmark151"/>
      <w:bookmarkEnd w:id="237"/>
      <w:bookmarkStart w:id="238" w:name="_Toc2106"/>
      <w:r>
        <w:rPr>
          <w:rFonts w:hint="eastAsia" w:ascii="Times New Roman" w:hAnsi="Times New Roman" w:eastAsia="宋体" w:cs="Times New Roman"/>
          <w:snapToGrid/>
          <w:kern w:val="0"/>
          <w:sz w:val="24"/>
          <w:szCs w:val="24"/>
          <w:highlight w:val="none"/>
          <w:lang w:val="en-US" w:eastAsia="zh-CN" w:bidi="ar"/>
        </w:rPr>
        <w:t>8.1.5    运行期环境管理</w:t>
      </w:r>
      <w:bookmarkEnd w:id="238"/>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环保管理人员应在各自的岗位责任制中明确所负的环保责任。监督国家法规、条例 的贯彻执行情况，制订和贯彻环保管理制度，监控本工程主要污染源，对各部门、操作</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岗位进行环境保护监督和考核。运行期环境管理的职能为。</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( 1)制定和实施各项环境管理计划。</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(2)建立工频电场、工频磁场、噪声环境监测数据档案。</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(3)掌握工程所在地周围的环境特征和环境敏感目标情况。建立环境管理和环境监测 技术文件，做好记录、建档工作。技术文件包括：污染源的监测记录技术文件；污染控 制、环境保护设施的设计和运行管理文件；导致严重环境影响事件的分析报告和监测数</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据资料等。并定期向当地生态环境主管部门申报。</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(4)检查治理设施运行情况，及时处理出现的问题，保证治理设施的正常运行。</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(5)不定期的巡查线路各段，特别是各环境敏感目标。</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(6)协调配合上级环保主管部门所进行的环境调查、生态调查等活动；</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(7)建立检修废油、废蓄电池等产生量、暂存量、处置量统计表，并建立档案。</w:t>
      </w:r>
    </w:p>
    <w:p>
      <w:pPr>
        <w:rPr>
          <w:highlight w:val="none"/>
        </w:rPr>
        <w:sectPr>
          <w:headerReference r:id="rId44" w:type="default"/>
          <w:footerReference r:id="rId45" w:type="default"/>
          <w:pgSz w:w="11907" w:h="16840"/>
          <w:pgMar w:top="1212" w:right="1403" w:bottom="1155" w:left="1402" w:header="970" w:footer="994" w:gutter="0"/>
          <w:pgBorders>
            <w:top w:val="none" w:sz="0" w:space="0"/>
            <w:left w:val="none" w:sz="0" w:space="0"/>
            <w:bottom w:val="none" w:sz="0" w:space="0"/>
            <w:right w:val="none" w:sz="0" w:space="0"/>
          </w:pgBorders>
          <w:pgNumType w:fmt="decimal"/>
          <w:cols w:space="720" w:num="1"/>
        </w:sectPr>
      </w:pP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bookmarkStart w:id="239" w:name="_bookmark152"/>
      <w:bookmarkEnd w:id="239"/>
      <w:bookmarkStart w:id="240" w:name="_Toc14712"/>
      <w:bookmarkStart w:id="241" w:name="_Toc6328"/>
      <w:r>
        <w:rPr>
          <w:rFonts w:hint="eastAsia" w:ascii="Times New Roman" w:hAnsi="Times New Roman" w:eastAsia="宋体" w:cs="Times New Roman"/>
          <w:snapToGrid/>
          <w:sz w:val="32"/>
          <w:lang w:val="en-US" w:eastAsia="zh-CN" w:bidi="ar-SA"/>
        </w:rPr>
        <w:t>8.2    环境监测</w:t>
      </w:r>
      <w:bookmarkEnd w:id="240"/>
      <w:bookmarkEnd w:id="241"/>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42" w:name="_Toc1712"/>
      <w:r>
        <w:rPr>
          <w:rFonts w:hint="eastAsia" w:ascii="Times New Roman" w:hAnsi="Times New Roman" w:eastAsia="宋体" w:cs="Times New Roman"/>
          <w:snapToGrid/>
          <w:kern w:val="0"/>
          <w:sz w:val="24"/>
          <w:szCs w:val="24"/>
          <w:highlight w:val="none"/>
          <w:lang w:val="en-US" w:eastAsia="zh-CN" w:bidi="ar"/>
        </w:rPr>
        <w:t>8.2.1    施工期环境监测</w:t>
      </w:r>
      <w:bookmarkEnd w:id="242"/>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xml:space="preserve">本工程施工期主要对敏感目标产生生态环境影响，在施工活动干扰下会对植物群落、植被类型分布变化、生境质量等产生一定的影响，施工期应重点监测敏感目标受影响状况。 </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43" w:name="_Toc15457"/>
      <w:r>
        <w:rPr>
          <w:rFonts w:hint="eastAsia" w:ascii="Times New Roman" w:hAnsi="Times New Roman" w:eastAsia="宋体" w:cs="Times New Roman"/>
          <w:snapToGrid/>
          <w:kern w:val="0"/>
          <w:sz w:val="24"/>
          <w:szCs w:val="24"/>
          <w:highlight w:val="none"/>
          <w:lang w:val="en-US" w:eastAsia="zh-CN" w:bidi="ar"/>
        </w:rPr>
        <w:t>8.2.2    运行期环境监测</w:t>
      </w:r>
      <w:bookmarkEnd w:id="243"/>
    </w:p>
    <w:p>
      <w:pPr>
        <w:widowControl/>
        <w:numPr>
          <w:ilvl w:val="0"/>
          <w:numId w:val="0"/>
        </w:numPr>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运行期电磁环境、声环境监测及调查可委托具有相应资质的单位完成，各项监测内容及要求如下。</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( 1)工频电场、工频磁场</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1)监测点位布置：汇集站监测点布置在站界外 5m 处，若站外发现新增环境敏感目标，也应监测；交流输电线路段监测点为环境敏感目标。</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2)监测项目：工频电场强度、工频磁感应强度。</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3)监测方法：执行 HJ681-2013《交流输变电工程电磁环境监测方法。 4)监测频次及时间：本工程投运后一年内结合竣工验收监测一次。    (2)噪声</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xml:space="preserve">1)监测点位布置：站址处站界噪声监测点设置于厂界外 1m ，地面 1.2m 处 </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2)监测项目：昼间、夜间等效 A 声级。</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3)监测方法：执行 GB12348《工业企业厂界环境噪声排放标准》 4)监测频次及时间：本工程投运后一年内结合竣工验收监测一次。</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运行期生态环境重点监测对生态保护目标的实际影响、生态保护对策措施的有效性 以及生态修复效果等。环境监测单位应在仪器计量认证、人员持证上岗、报告校审等方面满足质量保证要求，具体如下。</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( 1)监测分析方法需采用国家有关部门颁布的标准方法。</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(2)所用的仪器与所测对象在频率、量程、响应时间等方面均应符合。</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(3)监测仪器在其有效期内，在正常的工作状态。</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(4)监测人员持证上岗，满足监测技术规范中的对人员的要求。</w:t>
      </w:r>
    </w:p>
    <w:p>
      <w:pPr>
        <w:widowControl/>
        <w:numPr>
          <w:ilvl w:val="0"/>
          <w:numId w:val="0"/>
        </w:numPr>
        <w:kinsoku/>
        <w:autoSpaceDE/>
        <w:autoSpaceDN/>
        <w:adjustRightInd/>
        <w:snapToGrid/>
        <w:spacing w:line="360" w:lineRule="auto"/>
        <w:ind w:firstLine="480" w:firstLineChars="200"/>
        <w:jc w:val="both"/>
        <w:textAlignment w:val="auto"/>
        <w:rPr>
          <w:rFonts w:ascii="宋体" w:hAnsi="宋体" w:eastAsia="宋体" w:cs="宋体"/>
          <w:sz w:val="23"/>
          <w:szCs w:val="23"/>
          <w:highlight w:val="none"/>
        </w:rPr>
      </w:pPr>
      <w:r>
        <w:rPr>
          <w:rFonts w:hint="eastAsia" w:ascii="Times New Roman" w:hAnsi="Times New Roman" w:eastAsia="宋体" w:cs="Times New Roman"/>
          <w:snapToGrid/>
          <w:kern w:val="0"/>
          <w:sz w:val="24"/>
          <w:szCs w:val="24"/>
          <w:highlight w:val="none"/>
          <w:lang w:val="en-US" w:eastAsia="zh-CN" w:bidi="ar"/>
        </w:rPr>
        <w:t>(5)监测结果的统计处理满足要求。严格执行校审制度。</w:t>
      </w:r>
    </w:p>
    <w:p>
      <w:pPr>
        <w:rPr>
          <w:highlight w:val="none"/>
        </w:rPr>
        <w:sectPr>
          <w:headerReference r:id="rId46" w:type="default"/>
          <w:footerReference r:id="rId47" w:type="default"/>
          <w:pgSz w:w="11907" w:h="16840"/>
          <w:pgMar w:top="1212" w:right="1375" w:bottom="1155" w:left="1375" w:header="970" w:footer="994" w:gutter="0"/>
          <w:pgBorders>
            <w:top w:val="none" w:sz="0" w:space="0"/>
            <w:left w:val="none" w:sz="0" w:space="0"/>
            <w:bottom w:val="none" w:sz="0" w:space="0"/>
            <w:right w:val="none" w:sz="0" w:space="0"/>
          </w:pgBorders>
          <w:pgNumType w:fmt="decimal"/>
          <w:cols w:space="720" w:num="1"/>
        </w:sectPr>
      </w:pP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244" w:name="_bookmark153"/>
      <w:bookmarkEnd w:id="244"/>
      <w:bookmarkStart w:id="245" w:name="_Toc17074"/>
      <w:bookmarkStart w:id="246" w:name="_Toc5025"/>
      <w:r>
        <w:rPr>
          <w:rFonts w:hint="eastAsia" w:ascii="Times New Roman" w:hAnsi="Times New Roman" w:eastAsia="宋体" w:cs="Times New Roman"/>
          <w:snapToGrid/>
          <w:sz w:val="32"/>
          <w:lang w:val="en-US" w:eastAsia="zh-CN" w:bidi="ar-SA"/>
        </w:rPr>
        <w:t>9    评价结论</w:t>
      </w:r>
      <w:bookmarkEnd w:id="245"/>
      <w:bookmarkEnd w:id="246"/>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sz w:val="32"/>
          <w:lang w:val="en-US" w:eastAsia="zh-CN" w:bidi="ar-SA"/>
        </w:rPr>
      </w:pPr>
      <w:bookmarkStart w:id="247" w:name="_bookmark154"/>
      <w:bookmarkEnd w:id="247"/>
      <w:bookmarkStart w:id="248" w:name="_Toc31554"/>
      <w:bookmarkStart w:id="249" w:name="_Toc11211"/>
      <w:r>
        <w:rPr>
          <w:rFonts w:hint="eastAsia" w:ascii="Times New Roman" w:hAnsi="Times New Roman" w:eastAsia="宋体" w:cs="Times New Roman"/>
          <w:snapToGrid/>
          <w:sz w:val="32"/>
          <w:lang w:val="en-US" w:eastAsia="zh-CN" w:bidi="ar-SA"/>
        </w:rPr>
        <w:t>9.1    工程概况</w:t>
      </w:r>
      <w:bookmarkEnd w:id="248"/>
      <w:bookmarkEnd w:id="249"/>
    </w:p>
    <w:p>
      <w:pPr>
        <w:widowControl/>
        <w:numPr>
          <w:ilvl w:val="0"/>
          <w:numId w:val="0"/>
        </w:numPr>
        <w:kinsoku/>
        <w:autoSpaceDE/>
        <w:autoSpaceDN/>
        <w:adjustRightInd/>
        <w:snapToGrid/>
        <w:spacing w:line="360" w:lineRule="auto"/>
        <w:jc w:val="both"/>
        <w:textAlignment w:val="auto"/>
        <w:rPr>
          <w:rFonts w:hint="default" w:ascii="Times New Roman" w:hAnsi="Times New Roman" w:eastAsia="宋体" w:cs="Times New Roman"/>
          <w:snapToGrid/>
          <w:kern w:val="0"/>
          <w:sz w:val="24"/>
          <w:szCs w:val="24"/>
          <w:highlight w:val="none"/>
          <w:lang w:val="en-US" w:eastAsia="zh-CN" w:bidi="ar"/>
        </w:rPr>
      </w:pPr>
      <w:bookmarkStart w:id="250" w:name="_bookmark155"/>
      <w:bookmarkEnd w:id="250"/>
      <w:bookmarkStart w:id="251" w:name="_Toc27132"/>
      <w:r>
        <w:rPr>
          <w:rFonts w:hint="eastAsia" w:ascii="Times New Roman" w:hAnsi="Times New Roman" w:eastAsia="宋体" w:cs="Times New Roman"/>
          <w:snapToGrid/>
          <w:kern w:val="0"/>
          <w:sz w:val="24"/>
          <w:szCs w:val="24"/>
          <w:highlight w:val="none"/>
          <w:lang w:val="en-US" w:eastAsia="zh-CN" w:bidi="ar"/>
        </w:rPr>
        <w:t>9.1.1 500kV 汇集站</w:t>
      </w:r>
      <w:bookmarkEnd w:id="251"/>
      <w:r>
        <w:rPr>
          <w:rFonts w:hint="eastAsia" w:ascii="Times New Roman" w:hAnsi="Times New Roman" w:eastAsia="宋体" w:cs="Times New Roman"/>
          <w:snapToGrid/>
          <w:kern w:val="0"/>
          <w:sz w:val="24"/>
          <w:szCs w:val="24"/>
          <w:highlight w:val="none"/>
          <w:lang w:val="en-US" w:eastAsia="zh-CN" w:bidi="ar"/>
        </w:rPr>
        <w:t>及国富变扩建间隔</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（1）站址</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黑龙江省大庆市大同区高台子镇</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(2)建设内容及规模</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新建1座500kV汇集站，汇集站采用户内布置，主变容量为1×500MVA；国富500kV变电站扩建500kv间隔，新增2组断路器和1跨500kV构架。</w:t>
      </w:r>
    </w:p>
    <w:p>
      <w:pPr>
        <w:widowControl/>
        <w:numPr>
          <w:ilvl w:val="0"/>
          <w:numId w:val="0"/>
        </w:numPr>
        <w:kinsoku/>
        <w:autoSpaceDE/>
        <w:autoSpaceDN/>
        <w:adjustRightInd/>
        <w:snapToGrid/>
        <w:spacing w:line="360" w:lineRule="auto"/>
        <w:jc w:val="both"/>
        <w:textAlignment w:val="auto"/>
        <w:rPr>
          <w:rFonts w:hint="eastAsia" w:ascii="Times New Roman" w:hAnsi="Times New Roman" w:eastAsia="宋体" w:cs="Times New Roman"/>
          <w:snapToGrid/>
          <w:kern w:val="0"/>
          <w:sz w:val="24"/>
          <w:szCs w:val="24"/>
          <w:highlight w:val="none"/>
          <w:lang w:val="en-US" w:eastAsia="zh-CN" w:bidi="ar"/>
        </w:rPr>
      </w:pPr>
      <w:bookmarkStart w:id="252" w:name="_bookmark156"/>
      <w:bookmarkEnd w:id="252"/>
      <w:bookmarkStart w:id="253" w:name="_Toc9152"/>
      <w:r>
        <w:rPr>
          <w:rFonts w:hint="eastAsia" w:ascii="Times New Roman" w:hAnsi="Times New Roman" w:eastAsia="宋体" w:cs="Times New Roman"/>
          <w:snapToGrid/>
          <w:kern w:val="0"/>
          <w:sz w:val="24"/>
          <w:szCs w:val="24"/>
          <w:highlight w:val="none"/>
          <w:lang w:val="en-US" w:eastAsia="zh-CN" w:bidi="ar"/>
        </w:rPr>
        <w:t>9.1.2交流输电线路</w:t>
      </w:r>
      <w:bookmarkEnd w:id="253"/>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(1)建设内容</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新建1条5km-500kv的单回输电线，连接本次新建500kV汇集站及国富500kV变电站；新建1条26km-220kv的单回输电线，连接本次新建500kV汇集站及永越220kv升压站（暂未建设）；</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线路走径：1）新建5km输电线均位于大同市境内，线路从大庆南部500kV汇集站500千伏J1（终端塔）出发，向东南偏南方向跨越林带后至J2，于树带南侧油田机井密集区西侧设立J3，利用J3和J4线路向东偏南方向穿越油田机井密集区，该密集区除大量油井外尚有油田汇集枢纽站、10kV油田电力线各1次，随后J4左转向东北偏东方向接至终端塔J5，最终向北接入国富变本次扩建间隔</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2）新建26km输电线均位于大同市境内，</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线路从升压站220千伏构架起经终端塔J1左转，跨越220 千伏升压站-国富变线路，110千伏同宋甲、乙线至J2，左转沿同宋甲、乙线西侧经东太平村东侧至J3，右转至崇文烟花爆竹有限公司厂房北侧J4，左转跨越110千伏同宋甲、乙线，220千伏升压站-国富变线路至J5，左转经J6、J7连续右转绕过鱼池，跨越同宋甲、乙线至J8，左转躲过油田密集区至民发村东侧J9，右转向西南经J10右转至太安村东侧J11</w:t>
      </w:r>
      <w:r>
        <w:rPr>
          <w:rFonts w:hint="eastAsia" w:ascii="Times New Roman" w:hAnsi="Times New Roman" w:eastAsia="宋体" w:cs="Times New Roman"/>
          <w:snapToGrid/>
          <w:kern w:val="0"/>
          <w:sz w:val="24"/>
          <w:szCs w:val="24"/>
          <w:highlight w:val="none"/>
          <w:lang w:val="en-US" w:eastAsia="zh-CN" w:bidi="ar"/>
        </w:rPr>
        <w:t>，</w:t>
      </w:r>
      <w:r>
        <w:rPr>
          <w:rFonts w:hint="default" w:ascii="Times New Roman" w:hAnsi="Times New Roman" w:eastAsia="宋体" w:cs="Times New Roman"/>
          <w:snapToGrid/>
          <w:kern w:val="0"/>
          <w:sz w:val="24"/>
          <w:szCs w:val="24"/>
          <w:highlight w:val="none"/>
          <w:lang w:val="en-US" w:eastAsia="zh-CN" w:bidi="ar"/>
        </w:rPr>
        <w:t>左转跨越220千伏升压站-国富变线路至 J12，左转向东北方向经电缆敷设钻越500千伏国华线、220kV富榆线至J13，右转向西南方向至大同镇东侧J14，左转向南至国富村东侧J15，右转至国富侧南侧J16，继续右转向西经J17、J18、终端J19进入汇集站220千伏侧构架。线路全长26公里，地形为平地。</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254" w:name="_bookmark157"/>
      <w:bookmarkEnd w:id="254"/>
      <w:bookmarkStart w:id="255" w:name="_Toc14093"/>
      <w:bookmarkStart w:id="256" w:name="_Toc11984"/>
      <w:r>
        <w:rPr>
          <w:rFonts w:hint="default" w:ascii="Times New Roman" w:hAnsi="Times New Roman" w:eastAsia="宋体" w:cs="Times New Roman"/>
          <w:snapToGrid/>
          <w:sz w:val="32"/>
          <w:lang w:val="en-US" w:eastAsia="zh-CN" w:bidi="ar-SA"/>
        </w:rPr>
        <w:t>9.2    环境现状与主要生态问题</w:t>
      </w:r>
      <w:bookmarkEnd w:id="255"/>
      <w:bookmarkEnd w:id="256"/>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bookmarkStart w:id="257" w:name="_bookmark158"/>
      <w:bookmarkEnd w:id="257"/>
      <w:bookmarkStart w:id="258" w:name="_Toc1032"/>
      <w:r>
        <w:rPr>
          <w:rFonts w:hint="default" w:ascii="Times New Roman" w:hAnsi="Times New Roman" w:eastAsia="宋体" w:cs="Times New Roman"/>
          <w:snapToGrid/>
          <w:kern w:val="0"/>
          <w:sz w:val="24"/>
          <w:szCs w:val="24"/>
          <w:highlight w:val="none"/>
          <w:lang w:val="en-US" w:eastAsia="zh-CN" w:bidi="ar"/>
        </w:rPr>
        <w:t>9.2.1     自然环境概况</w:t>
      </w:r>
      <w:bookmarkEnd w:id="258"/>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大庆</w:t>
      </w:r>
      <w:r>
        <w:rPr>
          <w:rFonts w:hint="default" w:ascii="Times New Roman" w:hAnsi="Times New Roman" w:eastAsia="宋体" w:cs="Times New Roman"/>
          <w:snapToGrid/>
          <w:kern w:val="0"/>
          <w:sz w:val="24"/>
          <w:szCs w:val="24"/>
          <w:highlight w:val="none"/>
          <w:lang w:val="en-US" w:eastAsia="zh-CN" w:bidi="ar"/>
        </w:rPr>
        <w:t>市属暖温带和温带半干旱大陆性季风气候。冬季受西伯利亚反气旋控制，寒冷 而干燥，以偏北风为主。夏秋季则受湿润的热带海洋性气团影响，降水增多，且多以暴 雨形式出现。多年平均降水量在 440.8mm  左右，年均气压 910hpa ，年均气温 8.5℃， 极端最高气温 38.9℃，极端最低气温-28. 1℃，年平均日照 2876  小时。具有春季干燥 多 风，夏季炎热短促，秋季多暴雨，冬季干冷漫长，雨热同期，风旱同季的气候特点。</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bookmarkStart w:id="259" w:name="_bookmark159"/>
      <w:bookmarkEnd w:id="259"/>
      <w:bookmarkStart w:id="260" w:name="_Toc28260"/>
      <w:r>
        <w:rPr>
          <w:rFonts w:hint="default" w:ascii="Times New Roman" w:hAnsi="Times New Roman" w:eastAsia="宋体" w:cs="Times New Roman"/>
          <w:snapToGrid/>
          <w:kern w:val="0"/>
          <w:sz w:val="24"/>
          <w:szCs w:val="24"/>
          <w:highlight w:val="none"/>
          <w:lang w:val="en-US" w:eastAsia="zh-CN" w:bidi="ar"/>
        </w:rPr>
        <w:t>9.2.2    生态环境现状</w:t>
      </w:r>
      <w:bookmarkEnd w:id="260"/>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9.2.2.1    土地利用</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本工程500kV汇集站新征用地， 占用土地类型为</w:t>
      </w:r>
      <w:r>
        <w:rPr>
          <w:rFonts w:hint="eastAsia" w:ascii="Times New Roman" w:hAnsi="Times New Roman" w:eastAsia="宋体" w:cs="Times New Roman"/>
          <w:snapToGrid/>
          <w:kern w:val="0"/>
          <w:sz w:val="24"/>
          <w:szCs w:val="24"/>
          <w:highlight w:val="none"/>
          <w:lang w:val="en-US" w:eastAsia="zh-CN" w:bidi="ar"/>
        </w:rPr>
        <w:t>一般耕地</w:t>
      </w:r>
      <w:r>
        <w:rPr>
          <w:rFonts w:hint="default" w:ascii="Times New Roman" w:hAnsi="Times New Roman" w:eastAsia="宋体" w:cs="Times New Roman"/>
          <w:snapToGrid/>
          <w:kern w:val="0"/>
          <w:sz w:val="24"/>
          <w:szCs w:val="24"/>
          <w:highlight w:val="none"/>
          <w:lang w:val="en-US" w:eastAsia="zh-CN" w:bidi="ar"/>
        </w:rPr>
        <w:t>。评价范围内土地利用类型以灌丛和草地为主，其次为未利用地和有林地。</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9.2.2.2    植被</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本工程所经区域植被区以种植小麦、玉米为主，沿线植被以乔木林为主，栽培植被次之。</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9.2.2.3    动物</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本工程所在区域动 物以人工养殖家禽、家畜为主，野生动物很少。饲养动物包括牛、羊、猪、鸡等，野生 动物有野兔、鼠等，鸟类为常见的雀类。</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bookmarkStart w:id="261" w:name="_bookmark160"/>
      <w:bookmarkEnd w:id="261"/>
      <w:bookmarkStart w:id="262" w:name="_Toc18840"/>
      <w:r>
        <w:rPr>
          <w:rFonts w:hint="default" w:ascii="Times New Roman" w:hAnsi="Times New Roman" w:eastAsia="宋体" w:cs="Times New Roman"/>
          <w:snapToGrid/>
          <w:kern w:val="0"/>
          <w:sz w:val="24"/>
          <w:szCs w:val="24"/>
          <w:highlight w:val="none"/>
          <w:lang w:val="en-US" w:eastAsia="zh-CN" w:bidi="ar"/>
        </w:rPr>
        <w:t>9.2.3    电磁环境现状</w:t>
      </w:r>
      <w:bookmarkEnd w:id="262"/>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500kV汇集站</w:t>
      </w:r>
      <w:r>
        <w:rPr>
          <w:rFonts w:hint="eastAsia" w:ascii="Times New Roman" w:hAnsi="Times New Roman" w:eastAsia="宋体" w:cs="Times New Roman"/>
          <w:snapToGrid/>
          <w:kern w:val="0"/>
          <w:sz w:val="24"/>
          <w:szCs w:val="24"/>
          <w:highlight w:val="none"/>
          <w:lang w:val="en-US" w:eastAsia="zh-CN" w:bidi="ar"/>
        </w:rPr>
        <w:t>厂界</w:t>
      </w:r>
      <w:r>
        <w:rPr>
          <w:rFonts w:hint="default" w:ascii="Times New Roman" w:hAnsi="Times New Roman" w:eastAsia="宋体" w:cs="Times New Roman"/>
          <w:snapToGrid/>
          <w:kern w:val="0"/>
          <w:sz w:val="24"/>
          <w:szCs w:val="24"/>
          <w:highlight w:val="none"/>
          <w:lang w:val="en-US" w:eastAsia="zh-CN" w:bidi="ar"/>
        </w:rPr>
        <w:t>工频电场强度为</w:t>
      </w:r>
      <w:r>
        <w:rPr>
          <w:rFonts w:hint="eastAsia" w:ascii="Times New Roman" w:hAnsi="Times New Roman" w:eastAsia="宋体" w:cs="Times New Roman"/>
          <w:snapToGrid/>
          <w:kern w:val="0"/>
          <w:sz w:val="24"/>
          <w:szCs w:val="24"/>
          <w:highlight w:val="none"/>
          <w:lang w:val="en-US" w:eastAsia="zh-CN" w:bidi="ar"/>
        </w:rPr>
        <w:t>8.031-9.776</w:t>
      </w:r>
      <w:r>
        <w:rPr>
          <w:rFonts w:hint="default" w:ascii="Times New Roman" w:hAnsi="Times New Roman" w:eastAsia="宋体" w:cs="Times New Roman"/>
          <w:snapToGrid/>
          <w:kern w:val="0"/>
          <w:sz w:val="24"/>
          <w:szCs w:val="24"/>
          <w:highlight w:val="none"/>
          <w:lang w:val="en-US" w:eastAsia="zh-CN" w:bidi="ar"/>
        </w:rPr>
        <w:t>V/m ，工频磁感应强度为</w:t>
      </w:r>
      <w:r>
        <w:rPr>
          <w:rFonts w:hint="eastAsia" w:ascii="Times New Roman" w:hAnsi="Times New Roman" w:eastAsia="宋体" w:cs="Times New Roman"/>
          <w:snapToGrid/>
          <w:kern w:val="0"/>
          <w:sz w:val="24"/>
          <w:szCs w:val="24"/>
          <w:highlight w:val="none"/>
          <w:lang w:val="en-US" w:eastAsia="zh-CN" w:bidi="ar"/>
        </w:rPr>
        <w:t>0.1938-0.2026</w:t>
      </w:r>
      <w:r>
        <w:rPr>
          <w:rFonts w:hint="default" w:ascii="Times New Roman" w:hAnsi="Times New Roman" w:eastAsia="宋体" w:cs="Times New Roman"/>
          <w:snapToGrid/>
          <w:kern w:val="0"/>
          <w:sz w:val="24"/>
          <w:szCs w:val="24"/>
          <w:highlight w:val="none"/>
          <w:lang w:val="en-US" w:eastAsia="zh-CN" w:bidi="ar"/>
        </w:rPr>
        <w:t>µT。</w:t>
      </w:r>
      <w:r>
        <w:rPr>
          <w:rFonts w:hint="eastAsia" w:ascii="Times New Roman" w:hAnsi="Times New Roman" w:eastAsia="宋体" w:cs="Times New Roman"/>
          <w:snapToGrid/>
          <w:kern w:val="0"/>
          <w:sz w:val="24"/>
          <w:szCs w:val="24"/>
          <w:highlight w:val="none"/>
          <w:lang w:val="en-US" w:eastAsia="zh-CN" w:bidi="ar"/>
        </w:rPr>
        <w:t>500kv国富变厂界8.081-9.194</w:t>
      </w:r>
      <w:r>
        <w:rPr>
          <w:rFonts w:hint="default" w:ascii="Times New Roman" w:hAnsi="Times New Roman" w:eastAsia="宋体" w:cs="Times New Roman"/>
          <w:snapToGrid/>
          <w:kern w:val="0"/>
          <w:sz w:val="24"/>
          <w:szCs w:val="24"/>
          <w:highlight w:val="none"/>
          <w:lang w:val="en-US" w:eastAsia="zh-CN" w:bidi="ar"/>
        </w:rPr>
        <w:t>V/m</w:t>
      </w:r>
      <w:r>
        <w:rPr>
          <w:rFonts w:hint="eastAsia" w:ascii="Times New Roman" w:hAnsi="Times New Roman" w:eastAsia="宋体" w:cs="Times New Roman"/>
          <w:snapToGrid/>
          <w:kern w:val="0"/>
          <w:sz w:val="24"/>
          <w:szCs w:val="24"/>
          <w:highlight w:val="none"/>
          <w:lang w:val="en-US" w:eastAsia="zh-CN" w:bidi="ar"/>
        </w:rPr>
        <w:t>，</w:t>
      </w:r>
      <w:r>
        <w:rPr>
          <w:rFonts w:hint="default" w:ascii="Times New Roman" w:hAnsi="Times New Roman" w:eastAsia="宋体" w:cs="Times New Roman"/>
          <w:snapToGrid/>
          <w:kern w:val="0"/>
          <w:sz w:val="24"/>
          <w:szCs w:val="24"/>
          <w:highlight w:val="none"/>
          <w:lang w:val="en-US" w:eastAsia="zh-CN" w:bidi="ar"/>
        </w:rPr>
        <w:t>工频磁感应强度为</w:t>
      </w:r>
      <w:r>
        <w:rPr>
          <w:rFonts w:hint="eastAsia" w:ascii="Times New Roman" w:hAnsi="Times New Roman" w:eastAsia="宋体" w:cs="Times New Roman"/>
          <w:snapToGrid/>
          <w:kern w:val="0"/>
          <w:sz w:val="24"/>
          <w:szCs w:val="24"/>
          <w:highlight w:val="none"/>
          <w:lang w:val="en-US" w:eastAsia="zh-CN" w:bidi="ar"/>
        </w:rPr>
        <w:t>0.1831-0.2004</w:t>
      </w:r>
      <w:r>
        <w:rPr>
          <w:rFonts w:hint="default" w:ascii="Times New Roman" w:hAnsi="Times New Roman" w:eastAsia="宋体" w:cs="Times New Roman"/>
          <w:snapToGrid/>
          <w:kern w:val="0"/>
          <w:sz w:val="24"/>
          <w:szCs w:val="24"/>
          <w:highlight w:val="none"/>
          <w:lang w:val="en-US" w:eastAsia="zh-CN" w:bidi="ar"/>
        </w:rPr>
        <w:t>µT。</w:t>
      </w:r>
      <w:r>
        <w:rPr>
          <w:rFonts w:hint="eastAsia" w:ascii="Times New Roman" w:hAnsi="Times New Roman" w:eastAsia="宋体" w:cs="Times New Roman"/>
          <w:snapToGrid/>
          <w:kern w:val="0"/>
          <w:sz w:val="24"/>
          <w:szCs w:val="24"/>
          <w:highlight w:val="none"/>
          <w:lang w:val="en-US" w:eastAsia="zh-CN" w:bidi="ar"/>
        </w:rPr>
        <w:t>永跃220kv升压站厂界8.215-8.302</w:t>
      </w:r>
      <w:r>
        <w:rPr>
          <w:rFonts w:hint="default" w:ascii="Times New Roman" w:hAnsi="Times New Roman" w:eastAsia="宋体" w:cs="Times New Roman"/>
          <w:snapToGrid/>
          <w:kern w:val="0"/>
          <w:sz w:val="24"/>
          <w:szCs w:val="24"/>
          <w:highlight w:val="none"/>
          <w:lang w:val="en-US" w:eastAsia="zh-CN" w:bidi="ar"/>
        </w:rPr>
        <w:t>V/m</w:t>
      </w:r>
      <w:r>
        <w:rPr>
          <w:rFonts w:hint="eastAsia" w:ascii="Times New Roman" w:hAnsi="Times New Roman" w:eastAsia="宋体" w:cs="Times New Roman"/>
          <w:snapToGrid/>
          <w:kern w:val="0"/>
          <w:sz w:val="24"/>
          <w:szCs w:val="24"/>
          <w:highlight w:val="none"/>
          <w:lang w:val="en-US" w:eastAsia="zh-CN" w:bidi="ar"/>
        </w:rPr>
        <w:t>，</w:t>
      </w:r>
      <w:r>
        <w:rPr>
          <w:rFonts w:hint="default" w:ascii="Times New Roman" w:hAnsi="Times New Roman" w:eastAsia="宋体" w:cs="Times New Roman"/>
          <w:snapToGrid/>
          <w:kern w:val="0"/>
          <w:sz w:val="24"/>
          <w:szCs w:val="24"/>
          <w:highlight w:val="none"/>
          <w:lang w:val="en-US" w:eastAsia="zh-CN" w:bidi="ar"/>
        </w:rPr>
        <w:t>工频磁感应强度为</w:t>
      </w:r>
      <w:r>
        <w:rPr>
          <w:rFonts w:hint="eastAsia" w:ascii="Times New Roman" w:hAnsi="Times New Roman" w:eastAsia="宋体" w:cs="Times New Roman"/>
          <w:snapToGrid/>
          <w:kern w:val="0"/>
          <w:sz w:val="24"/>
          <w:szCs w:val="24"/>
          <w:highlight w:val="none"/>
          <w:lang w:val="en-US" w:eastAsia="zh-CN" w:bidi="ar"/>
        </w:rPr>
        <w:t>0.1883-0.2048</w:t>
      </w:r>
      <w:r>
        <w:rPr>
          <w:rFonts w:hint="default" w:ascii="Times New Roman" w:hAnsi="Times New Roman" w:eastAsia="宋体" w:cs="Times New Roman"/>
          <w:snapToGrid/>
          <w:kern w:val="0"/>
          <w:sz w:val="24"/>
          <w:szCs w:val="24"/>
          <w:highlight w:val="none"/>
          <w:lang w:val="en-US" w:eastAsia="zh-CN" w:bidi="ar"/>
        </w:rPr>
        <w:t>µT。满足4kV/m 的工频电场强度公众曝露控制限值要求和 100μT 的工频磁感应强度公众曝露控制限值要求 。</w:t>
      </w:r>
      <w:r>
        <w:rPr>
          <w:rFonts w:hint="eastAsia" w:ascii="Times New Roman" w:hAnsi="Times New Roman" w:eastAsia="宋体" w:cs="Times New Roman"/>
          <w:snapToGrid/>
          <w:kern w:val="0"/>
          <w:sz w:val="24"/>
          <w:szCs w:val="24"/>
          <w:highlight w:val="none"/>
          <w:lang w:val="en-US" w:eastAsia="zh-CN" w:bidi="ar"/>
        </w:rPr>
        <w:t>国富变电站</w:t>
      </w:r>
      <w:r>
        <w:rPr>
          <w:rFonts w:hint="default" w:ascii="Times New Roman" w:hAnsi="Times New Roman" w:eastAsia="宋体" w:cs="Times New Roman"/>
          <w:snapToGrid/>
          <w:kern w:val="0"/>
          <w:sz w:val="24"/>
          <w:szCs w:val="24"/>
          <w:highlight w:val="none"/>
          <w:lang w:val="en-US" w:eastAsia="zh-CN" w:bidi="ar"/>
        </w:rPr>
        <w:t>预留出线工频电场强度为</w:t>
      </w:r>
      <w:r>
        <w:rPr>
          <w:rFonts w:hint="eastAsia" w:ascii="Times New Roman" w:hAnsi="Times New Roman" w:eastAsia="宋体" w:cs="Times New Roman"/>
          <w:snapToGrid/>
          <w:kern w:val="0"/>
          <w:sz w:val="24"/>
          <w:szCs w:val="24"/>
          <w:highlight w:val="none"/>
          <w:lang w:val="en-US" w:eastAsia="zh-CN" w:bidi="ar"/>
        </w:rPr>
        <w:t>8.006-8.969</w:t>
      </w:r>
      <w:r>
        <w:rPr>
          <w:rFonts w:hint="default" w:ascii="Times New Roman" w:hAnsi="Times New Roman" w:eastAsia="宋体" w:cs="Times New Roman"/>
          <w:snapToGrid/>
          <w:kern w:val="0"/>
          <w:sz w:val="24"/>
          <w:szCs w:val="24"/>
          <w:highlight w:val="none"/>
          <w:lang w:val="en-US" w:eastAsia="zh-CN" w:bidi="ar"/>
        </w:rPr>
        <w:t>V/m</w:t>
      </w:r>
      <w:r>
        <w:rPr>
          <w:rFonts w:hint="eastAsia" w:ascii="Times New Roman" w:hAnsi="Times New Roman" w:eastAsia="宋体" w:cs="Times New Roman"/>
          <w:snapToGrid/>
          <w:kern w:val="0"/>
          <w:sz w:val="24"/>
          <w:szCs w:val="24"/>
          <w:highlight w:val="none"/>
          <w:lang w:val="en-US" w:eastAsia="zh-CN" w:bidi="ar"/>
        </w:rPr>
        <w:t>，</w:t>
      </w:r>
      <w:r>
        <w:rPr>
          <w:rFonts w:hint="default" w:ascii="Times New Roman" w:hAnsi="Times New Roman" w:eastAsia="宋体" w:cs="Times New Roman"/>
          <w:snapToGrid/>
          <w:kern w:val="0"/>
          <w:sz w:val="24"/>
          <w:szCs w:val="24"/>
          <w:highlight w:val="none"/>
          <w:lang w:val="en-US" w:eastAsia="zh-CN" w:bidi="ar"/>
        </w:rPr>
        <w:t>工频磁感应强度为</w:t>
      </w:r>
      <w:r>
        <w:rPr>
          <w:rFonts w:hint="eastAsia" w:ascii="Times New Roman" w:hAnsi="Times New Roman" w:eastAsia="宋体" w:cs="Times New Roman"/>
          <w:snapToGrid/>
          <w:kern w:val="0"/>
          <w:sz w:val="24"/>
          <w:szCs w:val="24"/>
          <w:highlight w:val="none"/>
          <w:lang w:val="en-US" w:eastAsia="zh-CN" w:bidi="ar"/>
        </w:rPr>
        <w:t>0.1843-0.2039</w:t>
      </w:r>
      <w:r>
        <w:rPr>
          <w:rFonts w:hint="default" w:ascii="Times New Roman" w:hAnsi="Times New Roman" w:eastAsia="宋体" w:cs="Times New Roman"/>
          <w:snapToGrid/>
          <w:kern w:val="0"/>
          <w:sz w:val="24"/>
          <w:szCs w:val="24"/>
          <w:highlight w:val="none"/>
          <w:lang w:val="en-US" w:eastAsia="zh-CN" w:bidi="ar"/>
        </w:rPr>
        <w:t>µT。</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bookmarkStart w:id="263" w:name="_bookmark161"/>
      <w:bookmarkEnd w:id="263"/>
      <w:bookmarkStart w:id="264" w:name="_Toc32406"/>
      <w:r>
        <w:rPr>
          <w:rFonts w:hint="default" w:ascii="Times New Roman" w:hAnsi="Times New Roman" w:eastAsia="宋体" w:cs="Times New Roman"/>
          <w:snapToGrid/>
          <w:kern w:val="0"/>
          <w:sz w:val="24"/>
          <w:szCs w:val="24"/>
          <w:highlight w:val="none"/>
          <w:lang w:val="en-US" w:eastAsia="zh-CN" w:bidi="ar"/>
        </w:rPr>
        <w:t>9.2.4    声环境现状</w:t>
      </w:r>
      <w:bookmarkEnd w:id="264"/>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sectPr>
          <w:headerReference r:id="rId48" w:type="default"/>
          <w:footerReference r:id="rId49" w:type="default"/>
          <w:pgSz w:w="11907" w:h="16840"/>
          <w:pgMar w:top="1212" w:right="1218" w:bottom="1155" w:left="1425" w:header="970" w:footer="994"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snapToGrid/>
          <w:kern w:val="0"/>
          <w:sz w:val="24"/>
          <w:szCs w:val="24"/>
          <w:highlight w:val="none"/>
          <w:lang w:val="en-US" w:eastAsia="zh-CN" w:bidi="ar"/>
        </w:rPr>
        <w:t>500kV 汇集站站界噪声昼间为</w:t>
      </w:r>
      <w:r>
        <w:rPr>
          <w:rFonts w:hint="eastAsia" w:ascii="Times New Roman" w:hAnsi="Times New Roman" w:eastAsia="宋体" w:cs="Times New Roman"/>
          <w:snapToGrid/>
          <w:kern w:val="0"/>
          <w:sz w:val="24"/>
          <w:szCs w:val="24"/>
          <w:highlight w:val="none"/>
          <w:lang w:val="en-US" w:eastAsia="zh-CN" w:bidi="ar"/>
        </w:rPr>
        <w:t>49.2-52.6</w:t>
      </w:r>
      <w:r>
        <w:rPr>
          <w:rFonts w:hint="default" w:ascii="Times New Roman" w:hAnsi="Times New Roman" w:eastAsia="宋体" w:cs="Times New Roman"/>
          <w:snapToGrid/>
          <w:kern w:val="0"/>
          <w:sz w:val="24"/>
          <w:szCs w:val="24"/>
          <w:highlight w:val="none"/>
          <w:lang w:val="en-US" w:eastAsia="zh-CN" w:bidi="ar"/>
        </w:rPr>
        <w:t>dB(A) ，夜间为</w:t>
      </w:r>
      <w:r>
        <w:rPr>
          <w:rFonts w:hint="eastAsia" w:ascii="Times New Roman" w:hAnsi="Times New Roman" w:eastAsia="宋体" w:cs="Times New Roman"/>
          <w:snapToGrid/>
          <w:kern w:val="0"/>
          <w:sz w:val="24"/>
          <w:szCs w:val="24"/>
          <w:highlight w:val="none"/>
          <w:lang w:val="en-US" w:eastAsia="zh-CN" w:bidi="ar"/>
        </w:rPr>
        <w:t>41.0-44.1</w:t>
      </w:r>
      <w:r>
        <w:rPr>
          <w:rFonts w:hint="default" w:ascii="Times New Roman" w:hAnsi="Times New Roman" w:eastAsia="宋体" w:cs="Times New Roman"/>
          <w:snapToGrid/>
          <w:kern w:val="0"/>
          <w:sz w:val="24"/>
          <w:szCs w:val="24"/>
          <w:highlight w:val="none"/>
          <w:lang w:val="en-US" w:eastAsia="zh-CN" w:bidi="ar"/>
        </w:rPr>
        <w:t>dB(A) ，</w:t>
      </w:r>
      <w:r>
        <w:rPr>
          <w:rFonts w:hint="eastAsia" w:ascii="Times New Roman" w:hAnsi="Times New Roman" w:eastAsia="宋体" w:cs="Times New Roman"/>
          <w:snapToGrid/>
          <w:kern w:val="0"/>
          <w:sz w:val="24"/>
          <w:szCs w:val="24"/>
          <w:highlight w:val="none"/>
          <w:lang w:val="en-US" w:eastAsia="zh-CN" w:bidi="ar"/>
        </w:rPr>
        <w:t>国富变厂界</w:t>
      </w:r>
      <w:r>
        <w:rPr>
          <w:rFonts w:hint="default" w:ascii="Times New Roman" w:hAnsi="Times New Roman" w:eastAsia="宋体" w:cs="Times New Roman"/>
          <w:snapToGrid/>
          <w:kern w:val="0"/>
          <w:sz w:val="24"/>
          <w:szCs w:val="24"/>
          <w:highlight w:val="none"/>
          <w:lang w:val="en-US" w:eastAsia="zh-CN" w:bidi="ar"/>
        </w:rPr>
        <w:t>噪声昼间为</w:t>
      </w:r>
      <w:r>
        <w:rPr>
          <w:rFonts w:hint="eastAsia" w:ascii="Times New Roman" w:hAnsi="Times New Roman" w:eastAsia="宋体" w:cs="Times New Roman"/>
          <w:snapToGrid/>
          <w:kern w:val="0"/>
          <w:sz w:val="24"/>
          <w:szCs w:val="24"/>
          <w:highlight w:val="none"/>
          <w:lang w:val="en-US" w:eastAsia="zh-CN" w:bidi="ar"/>
        </w:rPr>
        <w:t>49.4-52.9</w:t>
      </w:r>
      <w:r>
        <w:rPr>
          <w:rFonts w:hint="default" w:ascii="Times New Roman" w:hAnsi="Times New Roman" w:eastAsia="宋体" w:cs="Times New Roman"/>
          <w:snapToGrid/>
          <w:kern w:val="0"/>
          <w:sz w:val="24"/>
          <w:szCs w:val="24"/>
          <w:highlight w:val="none"/>
          <w:lang w:val="en-US" w:eastAsia="zh-CN" w:bidi="ar"/>
        </w:rPr>
        <w:t>dB(A) ，夜间为</w:t>
      </w:r>
      <w:r>
        <w:rPr>
          <w:rFonts w:hint="eastAsia" w:ascii="Times New Roman" w:hAnsi="Times New Roman" w:eastAsia="宋体" w:cs="Times New Roman"/>
          <w:snapToGrid/>
          <w:kern w:val="0"/>
          <w:sz w:val="24"/>
          <w:szCs w:val="24"/>
          <w:highlight w:val="none"/>
          <w:lang w:val="en-US" w:eastAsia="zh-CN" w:bidi="ar"/>
        </w:rPr>
        <w:t>40.7-44.0</w:t>
      </w:r>
      <w:r>
        <w:rPr>
          <w:rFonts w:hint="default" w:ascii="Times New Roman" w:hAnsi="Times New Roman" w:eastAsia="宋体" w:cs="Times New Roman"/>
          <w:snapToGrid/>
          <w:kern w:val="0"/>
          <w:sz w:val="24"/>
          <w:szCs w:val="24"/>
          <w:highlight w:val="none"/>
          <w:lang w:val="en-US" w:eastAsia="zh-CN" w:bidi="ar"/>
        </w:rPr>
        <w:t xml:space="preserve">dB(A) </w:t>
      </w:r>
      <w:r>
        <w:rPr>
          <w:rFonts w:hint="eastAsia" w:ascii="Times New Roman" w:hAnsi="Times New Roman" w:eastAsia="宋体" w:cs="Times New Roman"/>
          <w:snapToGrid/>
          <w:kern w:val="0"/>
          <w:sz w:val="24"/>
          <w:szCs w:val="24"/>
          <w:highlight w:val="none"/>
          <w:lang w:val="en-US" w:eastAsia="zh-CN" w:bidi="ar"/>
        </w:rPr>
        <w:t>，</w:t>
      </w:r>
      <w:r>
        <w:rPr>
          <w:rFonts w:hint="default" w:ascii="Times New Roman" w:hAnsi="Times New Roman" w:eastAsia="宋体" w:cs="Times New Roman"/>
          <w:snapToGrid/>
          <w:kern w:val="0"/>
          <w:sz w:val="24"/>
          <w:szCs w:val="24"/>
          <w:highlight w:val="none"/>
          <w:lang w:val="en-US" w:eastAsia="zh-CN" w:bidi="ar"/>
        </w:rPr>
        <w:t>满足《声环境质 量标准》(GB3096-2008)2 类标准要求。交流输电线路敏感目标的噪声昼间</w:t>
      </w:r>
      <w:r>
        <w:rPr>
          <w:rFonts w:hint="eastAsia" w:ascii="Times New Roman" w:hAnsi="Times New Roman" w:eastAsia="宋体" w:cs="Times New Roman"/>
          <w:snapToGrid/>
          <w:kern w:val="0"/>
          <w:sz w:val="24"/>
          <w:szCs w:val="24"/>
          <w:highlight w:val="none"/>
          <w:lang w:val="en-US" w:eastAsia="zh-CN" w:bidi="ar"/>
        </w:rPr>
        <w:t>51.0-52.4</w:t>
      </w:r>
      <w:r>
        <w:rPr>
          <w:rFonts w:hint="default" w:ascii="Times New Roman" w:hAnsi="Times New Roman" w:eastAsia="宋体" w:cs="Times New Roman"/>
          <w:snapToGrid/>
          <w:kern w:val="0"/>
          <w:sz w:val="24"/>
          <w:szCs w:val="24"/>
          <w:highlight w:val="none"/>
          <w:lang w:val="en-US" w:eastAsia="zh-CN" w:bidi="ar"/>
        </w:rPr>
        <w:t>dB(A) ，夜间为</w:t>
      </w:r>
      <w:r>
        <w:rPr>
          <w:rFonts w:hint="eastAsia" w:ascii="Times New Roman" w:hAnsi="Times New Roman" w:eastAsia="宋体" w:cs="Times New Roman"/>
          <w:snapToGrid/>
          <w:kern w:val="0"/>
          <w:sz w:val="24"/>
          <w:szCs w:val="24"/>
          <w:highlight w:val="none"/>
          <w:lang w:val="en-US" w:eastAsia="zh-CN" w:bidi="ar"/>
        </w:rPr>
        <w:t>41.4-42.3</w:t>
      </w:r>
      <w:r>
        <w:rPr>
          <w:rFonts w:hint="default" w:ascii="Times New Roman" w:hAnsi="Times New Roman" w:eastAsia="宋体" w:cs="Times New Roman"/>
          <w:snapToGrid/>
          <w:kern w:val="0"/>
          <w:sz w:val="24"/>
          <w:szCs w:val="24"/>
          <w:highlight w:val="none"/>
          <w:lang w:val="en-US" w:eastAsia="zh-CN" w:bidi="ar"/>
        </w:rPr>
        <w:t>dB(A) ，满足《声环 境质量标准》(GB3096-2008)</w:t>
      </w:r>
      <w:r>
        <w:rPr>
          <w:rFonts w:hint="eastAsia" w:ascii="Times New Roman" w:hAnsi="Times New Roman" w:eastAsia="宋体" w:cs="Times New Roman"/>
          <w:snapToGrid/>
          <w:kern w:val="0"/>
          <w:sz w:val="24"/>
          <w:szCs w:val="24"/>
          <w:highlight w:val="none"/>
          <w:lang w:val="en-US" w:eastAsia="zh-CN" w:bidi="ar"/>
        </w:rPr>
        <w:t>1</w:t>
      </w:r>
      <w:r>
        <w:rPr>
          <w:rFonts w:hint="default" w:ascii="Times New Roman" w:hAnsi="Times New Roman" w:eastAsia="宋体" w:cs="Times New Roman"/>
          <w:snapToGrid/>
          <w:kern w:val="0"/>
          <w:sz w:val="24"/>
          <w:szCs w:val="24"/>
          <w:highlight w:val="none"/>
          <w:lang w:val="en-US" w:eastAsia="zh-CN" w:bidi="ar"/>
        </w:rPr>
        <w:t>类标准要求</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265" w:name="_Toc2936"/>
      <w:bookmarkStart w:id="266" w:name="_Toc20643"/>
      <w:r>
        <w:rPr>
          <w:rFonts w:hint="default" w:ascii="Times New Roman" w:hAnsi="Times New Roman" w:eastAsia="宋体" w:cs="Times New Roman"/>
          <w:snapToGrid/>
          <w:sz w:val="32"/>
          <w:lang w:val="en-US" w:eastAsia="zh-CN" w:bidi="ar-SA"/>
        </w:rPr>
        <w:t>9.3    环境影响预测与评价结论</w:t>
      </w:r>
      <w:bookmarkEnd w:id="265"/>
      <w:bookmarkEnd w:id="266"/>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bookmarkStart w:id="267" w:name="_bookmark163"/>
      <w:bookmarkEnd w:id="267"/>
      <w:bookmarkStart w:id="268" w:name="_Toc8752"/>
      <w:r>
        <w:rPr>
          <w:rFonts w:hint="default" w:ascii="Times New Roman" w:hAnsi="Times New Roman" w:eastAsia="宋体" w:cs="Times New Roman"/>
          <w:snapToGrid/>
          <w:kern w:val="0"/>
          <w:sz w:val="24"/>
          <w:szCs w:val="24"/>
          <w:highlight w:val="none"/>
          <w:lang w:val="en-US" w:eastAsia="zh-CN" w:bidi="ar"/>
        </w:rPr>
        <w:t>9.3.1    电磁环境影响评价结论</w:t>
      </w:r>
      <w:bookmarkEnd w:id="268"/>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9.3.1.1    汇集站工程</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由于本工程 500kV 汇集站的电压等级、总平面布局、 出线条件等均类似于鼎功 500kV  变电站，故类比鼎功 500kV  变电站厂界外实测的工频电场强度、磁感应强度能 反映本工程 500kV 汇集站投运后的情况。</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由鼎功 500kV  变电站类比监测结果可知，500kV 汇集站建成后，围墙外区域的工 频电场强度、工频磁感应强度分别小于 4000V/m 、100 μT ，即满足《电磁环境控制限 值》  (GB 8702-2014) 要求。 由此可推测 500kV 汇集站建成后，围墙外区域的工频电 场强度、工频磁感应强度也将会小于 4000V/m 、100 μT ，即满足《电磁环境控制限值》 (GB 8702-2014) 要求。</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9.3.1.2    交流输电线路工程</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(1) 预测结果</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在导线对地高度为33m时，工频电场强度最大值为2.074kV/m，最大值位置距线路 中心23.0m(距边导线7.3m)；工频磁感应强度最大值为14.484µT，最大值位置位于线路中心16m。控制线下耕地、草地等场所工频电场强度小于10kV/m 所需最低线高为11.35m，此时工频电场强度最大值为9.952kV/m，最大值位置距线路中心- 16. 1m(距边导线0.4m)；工频磁感应强度最大值为55.7µT，最大值位置位于线路中心-16.5m(距边导线0.8m)。若保证线路工程工频电场强度满足4kV/m的要求，则线高至少20.0m。在导线对地高度为20.0m时，工频电场强度最大值为3.974kV/m，最大值位置距线路中心22.24m(距边导线6.55m)；工频磁感应强度最大值为26.63µT，最大值位置位于线路中心16m(距边导线0.3m)。</w:t>
      </w:r>
      <w:r>
        <w:rPr>
          <w:rFonts w:hint="default" w:ascii="Times New Roman" w:hAnsi="Times New Roman" w:eastAsia="宋体" w:cs="Times New Roman"/>
          <w:snapToGrid/>
          <w:kern w:val="0"/>
          <w:sz w:val="24"/>
          <w:szCs w:val="24"/>
          <w:highlight w:val="none"/>
          <w:lang w:val="en-US" w:eastAsia="zh-CN" w:bidi="ar"/>
        </w:rPr>
        <w:t>(2) 类比结果</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本工程输电线路与类比线路电压等级(均为 500kV)、架线方式、分裂数(均为 4 分裂)、 导线排列方式(均为水平排列)均相同，导线型号、子导线分裂间距类似， 故线路下方工频电磁场分布规律及趋势相似。通过上述类比监测结果，可以预计线路在居 民点处产生的工频电场强度小于 4kV/m，工频磁感应强度小于 100μT。</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9.3.1.3    环境敏感目标预测</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通过模式预测可知，本工程建成后，沿线环境敏感目标的工频电场强度可以满足 4kV/m 的限值要求，工频磁感应强度可以满足 100µT 的限值要求。</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bookmarkStart w:id="269" w:name="_bookmark164"/>
      <w:bookmarkEnd w:id="269"/>
      <w:bookmarkStart w:id="270" w:name="_Toc8991"/>
      <w:r>
        <w:rPr>
          <w:rFonts w:hint="default" w:ascii="Times New Roman" w:hAnsi="Times New Roman" w:eastAsia="宋体" w:cs="Times New Roman"/>
          <w:snapToGrid/>
          <w:kern w:val="0"/>
          <w:sz w:val="24"/>
          <w:szCs w:val="24"/>
          <w:highlight w:val="none"/>
          <w:lang w:val="en-US" w:eastAsia="zh-CN" w:bidi="ar"/>
        </w:rPr>
        <w:t>9.3.2    声环境影响评价结论</w:t>
      </w:r>
      <w:bookmarkEnd w:id="270"/>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9.3.2.1    汇集站工程</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500kV 汇集站新建出线间隔 1 回，预留 1 回，新增主变、高抗等电气设备。经预测 可知，500kV 汇集站站界噪声可以满足《工业企业厂界噪声排放标准》(GB12348-2008)2 类标准要求。</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9.3.2.2    交流输电线路工程</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通过类 比分析 ， 交流输电线路沿线环境敏感 目标满足《 声环境质量标准》 (GB3096-2008) 1 类标准限值要求。</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9.3.2.3    环境敏感 目标预测</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sectPr>
          <w:headerReference r:id="rId50" w:type="default"/>
          <w:footerReference r:id="rId51" w:type="default"/>
          <w:pgSz w:w="11907" w:h="16840"/>
          <w:pgMar w:top="1212" w:right="1357" w:bottom="1155" w:left="1425" w:header="970" w:footer="994" w:gutter="0"/>
          <w:pgBorders>
            <w:top w:val="none" w:sz="0" w:space="0"/>
            <w:left w:val="none" w:sz="0" w:space="0"/>
            <w:bottom w:val="none" w:sz="0" w:space="0"/>
            <w:right w:val="none" w:sz="0" w:space="0"/>
          </w:pgBorders>
          <w:pgNumType w:fmt="decimal"/>
          <w:cols w:space="720" w:num="1"/>
        </w:sectPr>
      </w:pPr>
      <w:r>
        <w:rPr>
          <w:rFonts w:hint="default" w:ascii="Times New Roman" w:hAnsi="Times New Roman" w:eastAsia="宋体" w:cs="Times New Roman"/>
          <w:snapToGrid/>
          <w:kern w:val="0"/>
          <w:sz w:val="24"/>
          <w:szCs w:val="24"/>
          <w:highlight w:val="none"/>
          <w:lang w:val="en-US" w:eastAsia="zh-CN" w:bidi="ar"/>
        </w:rPr>
        <w:t>通过类比分析可知，本工程建成后，沿线环境敏感目标的声环境可以满足《声环境 质量标准》(GB3096-2008) 1 类标准的要求。</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bookmarkStart w:id="271" w:name="_bookmark162"/>
      <w:bookmarkEnd w:id="271"/>
      <w:bookmarkStart w:id="272" w:name="_Toc6525"/>
      <w:r>
        <w:rPr>
          <w:rFonts w:hint="default" w:ascii="Times New Roman" w:hAnsi="Times New Roman" w:eastAsia="宋体" w:cs="Times New Roman"/>
          <w:snapToGrid/>
          <w:kern w:val="0"/>
          <w:sz w:val="24"/>
          <w:szCs w:val="24"/>
          <w:highlight w:val="none"/>
          <w:lang w:val="en-US" w:eastAsia="zh-CN" w:bidi="ar"/>
        </w:rPr>
        <w:t>9.3.3    生态影响预测与评价</w:t>
      </w:r>
      <w:bookmarkEnd w:id="272"/>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 500kv 汇集站为新建工程，对生态和周围景观影响较小。塔基永久占地面积小，对土地利用结构影响极其轻微。工程施工临时占地在施工结束后会进行恢复，不会带来明显的土地利用结构与功能的变化。</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 500kV 汇集站需新增占地，造成植被破坏。输电线路在采取限定施工范围、 土地整治、植被恢复及复耕的情况下，对植被的影响很小。</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输变电工程施工时间短、施工点分散，施工对动物的影响范围小，影响时间短。输 电线路不会造成动物栖息生境的破碎化，不会造成动物种群的隔离，更不会限制种群的 个体与基因交流。同时线路两塔之间距离较长，不会因工程本身对动物的迁移产生阻隔 效应。</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273" w:name="_bookmark166"/>
      <w:bookmarkEnd w:id="273"/>
      <w:bookmarkStart w:id="274" w:name="_Toc12692"/>
      <w:bookmarkStart w:id="275" w:name="_Toc564"/>
      <w:r>
        <w:rPr>
          <w:rFonts w:hint="default" w:ascii="Times New Roman" w:hAnsi="Times New Roman" w:eastAsia="宋体" w:cs="Times New Roman"/>
          <w:snapToGrid/>
          <w:sz w:val="32"/>
          <w:lang w:val="en-US" w:eastAsia="zh-CN" w:bidi="ar-SA"/>
        </w:rPr>
        <w:t>9.4    选址选线的环境合理性</w:t>
      </w:r>
      <w:bookmarkEnd w:id="274"/>
      <w:bookmarkEnd w:id="275"/>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本工程汇集站为新建，站址可行性已在前期工程环评中予以充分论述并已通过竣工 环保验收，站址不涉及生态保护红线，不涉及自然保护区、饮用水水源保护区等环境敏 感区。站址不位于 0 类声环境功能区。汇集站选址合理可行。本工程交流输电线路在选 线阶段，已充分征求所涉地区地方政府相关部门的意见，尽量避开了居民集中区，不涉 及自然保护区、风景名胜区、世界自然和文化遗产地。</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sz w:val="32"/>
          <w:lang w:val="en-US" w:eastAsia="zh-CN" w:bidi="ar-SA"/>
        </w:rPr>
      </w:pPr>
      <w:bookmarkStart w:id="276" w:name="_bookmark167"/>
      <w:bookmarkEnd w:id="276"/>
      <w:bookmarkStart w:id="277" w:name="_Toc936"/>
      <w:bookmarkStart w:id="278" w:name="_Toc8533"/>
      <w:r>
        <w:rPr>
          <w:rFonts w:hint="default" w:ascii="Times New Roman" w:hAnsi="Times New Roman" w:eastAsia="宋体" w:cs="Times New Roman"/>
          <w:snapToGrid/>
          <w:sz w:val="32"/>
          <w:lang w:val="en-US" w:eastAsia="zh-CN" w:bidi="ar-SA"/>
        </w:rPr>
        <w:t>9.5    环境保护设施、措施</w:t>
      </w:r>
      <w:bookmarkEnd w:id="277"/>
      <w:bookmarkEnd w:id="278"/>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bookmarkStart w:id="279" w:name="_bookmark168"/>
      <w:bookmarkEnd w:id="279"/>
      <w:bookmarkStart w:id="280" w:name="_Toc23186"/>
      <w:r>
        <w:rPr>
          <w:rFonts w:hint="default" w:ascii="Times New Roman" w:hAnsi="Times New Roman" w:eastAsia="宋体" w:cs="Times New Roman"/>
          <w:snapToGrid/>
          <w:kern w:val="0"/>
          <w:sz w:val="24"/>
          <w:szCs w:val="24"/>
          <w:highlight w:val="none"/>
          <w:lang w:val="en-US" w:eastAsia="zh-CN" w:bidi="ar"/>
        </w:rPr>
        <w:t>9.5.1    汇集站工程环境保护设施、措施</w:t>
      </w:r>
      <w:bookmarkEnd w:id="280"/>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default" w:ascii="Times New Roman" w:hAnsi="Times New Roman" w:eastAsia="宋体" w:cs="Times New Roman"/>
          <w:snapToGrid/>
          <w:kern w:val="0"/>
          <w:sz w:val="24"/>
          <w:szCs w:val="24"/>
          <w:highlight w:val="none"/>
          <w:lang w:val="en-US" w:eastAsia="zh-CN" w:bidi="ar"/>
        </w:rPr>
        <w:t>9.5.1.1    设计阶段环境保护设施、措施</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( 1)电磁环境</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1）为限制电晕产生电磁环境影响，在设备定货时要求导线、母线、均压环、管母线 终端球和其它金具等提高加工工艺，防止尖端放电和起电晕。</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2)尽量避免电气设备上方露出软导线；尽量增加导线对地高度。</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(2)声环境</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本期新建500kV 出线间隔1回，涉及主变、高抗等主要声源设备的增加。 (3)地表水环境</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新建化粪池1座，生活污水生活污水排入化粪池内，定期清掏外运至大同区污水处理厂处理。</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(4)环境风险</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本期新建事故油池 1 座，收集事故变压器油。 设置危废暂存间，用于暂存事故排油、检修废油、废蓄电池。</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9.5.1.2    施工期环境保护措施</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( 1)施工扬尘</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1)将施工工地扬尘污染防治纳入文明施工管理范畴，建立扬尘控制责任制度。施工 组织设计中，必须制定施工现场扬尘预防治理专项方案，并指定专人负责落实。</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2)对进场所有作业人员进行工地扬尘预防治理知识培训，未经培训严禁上岗。</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3)合理组织施工，尽量避免扬尘二次污染。</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4)施工建筑材料应集中、合理堆放，尽可能采用堆棚统一存放，若采用露天堆放， 应采取苫盖等措施，并定期洒水。</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5)加强材料转运与使用的管理，合理装卸，规范操作，以防止扬尘对环境空气质量 的影响。施工场地应定期洒水抑尘，当出现风速过大或不利天气状况时应停止施工作业。</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6)对土、石料等可能产生扬尘的材料，在运输时用防水布覆盖。对附近的运输道路 定期洒水，使其保持一定的湿度，防止道路扬尘。严禁运输车辆装载过满，不得超出车 厢板高度，并采取遮盖、密闭措施防止沿途抛洒、散落。定期冲洗轮胎，车辆不得带泥</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砂出现场。进出场地的车辆应限制车速。</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7)设置固定垃圾存放点，垃圾应分类集中堆放并覆盖，及时清运，严禁焚烧、下埋 和随意丢弃。</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(2)施工废水</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1)在施工生产区设置沉淀池，将施工生产废水集中，施工生产废水经隔油、 沉淀处理后回用于抑尘喷洒或收集清运。</w:t>
      </w:r>
    </w:p>
    <w:p>
      <w:pPr>
        <w:widowControl/>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2)500kV 汇集站站内新建防渗化粪池1座，</w:t>
      </w:r>
      <w:r>
        <w:rPr>
          <w:rFonts w:hint="default" w:ascii="Times New Roman" w:hAnsi="Times New Roman" w:eastAsia="宋体" w:cs="Times New Roman"/>
          <w:snapToGrid/>
          <w:kern w:val="0"/>
          <w:sz w:val="24"/>
          <w:szCs w:val="24"/>
          <w:highlight w:val="none"/>
          <w:lang w:val="en-US" w:eastAsia="zh-CN" w:bidi="ar"/>
        </w:rPr>
        <w:t>站区内生活污水</w:t>
      </w:r>
      <w:r>
        <w:rPr>
          <w:rFonts w:hint="eastAsia" w:ascii="Times New Roman" w:hAnsi="Times New Roman" w:eastAsia="宋体" w:cs="Times New Roman"/>
          <w:snapToGrid/>
          <w:kern w:val="0"/>
          <w:sz w:val="24"/>
          <w:szCs w:val="24"/>
          <w:highlight w:val="none"/>
          <w:lang w:val="en-US" w:eastAsia="zh-CN" w:bidi="ar"/>
        </w:rPr>
        <w:t>排入化粪池内，定期清掏外运至大同区污水处理厂处理</w:t>
      </w:r>
      <w:r>
        <w:rPr>
          <w:rFonts w:hint="default" w:ascii="Times New Roman" w:hAnsi="Times New Roman" w:eastAsia="宋体" w:cs="Times New Roman"/>
          <w:snapToGrid/>
          <w:kern w:val="0"/>
          <w:sz w:val="24"/>
          <w:szCs w:val="24"/>
          <w:highlight w:val="none"/>
          <w:lang w:val="en-US" w:eastAsia="zh-CN" w:bidi="ar"/>
        </w:rPr>
        <w:t>。</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(3)施工噪声</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1)强化施工管理，加强施工期的环境管理和环境监理工作，并接受生态环境部门的 监督管理。</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( 1)工程选线时充分征求沿线政府相关部门的意见，优化路径，尽量避让城镇规划区、 学校、居民密集区。</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严格按照相关规程及规范，结合工程所在区域周围的实际情况和工程设计要求</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确保评价范围内常年住人的房屋电磁环境、声环境满足标准限值要求。</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(3)合理选择导线直径及导线分裂数以降低线路电磁环境影响，合理选择相间距离， 要求导线、均压环和其它金具等提高加工工艺，防止尖端放电和起电晕。采用节能金具，</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有效控制金属串的起晕电压，防止电晕发生，降低电晕噪声。</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(4)合理选择导线截面和导线结构以降低线路的电晕噪声水平。</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9.5.2.2    施工期环境保护措施</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( 1)施工扬尘</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1)将施工工地扬尘污染防治纳入文明施工管理范畴，建立扬尘控制责任制度。施工 组织设计中，必须制定施工现场扬尘预防治理专项方案，并指定专人负责落实。</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2)对进场所有作业人员进行工地扬尘预防治理知识培训，未经培训严禁上岗。</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3)塔基基础开挖过程中，应定时、及时洒水使施工区域保持一定的湿度；对施工场 地内松散、干涸的表土，也应定时、及时洒水。</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4)对施工场地内临时堆土采取苫盖等措施防止起尘。</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5)施工材料及建筑垃圾在运输时用布覆盖。严禁运输车辆装载过满，不得超出车厢 板高度，并采取遮盖、密闭措施防止沿途抛洒、散落。</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6)车辆及时冲洗，限制车速，对附近的运输道路定期洒水，使其保持一定的湿度， 防止道路扬尘。</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7)设置固定垃圾存放点，垃圾应分类集中堆放并覆盖，及时清运，严禁焚烧、下埋 和随意丢弃。</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(2)施工废水                                                 1)禁止在采兔沟水库水源保护区范围内设置施工场地和施工营地。</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2)施工期间施工场地要尽量远离地表水体，并划定明确的施工范围，不得随意扩大，施工临时道路要尽量利用已有道路。</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3)施工中临时堆土点应远离地表水体。临时堆土场采取拦挡及苫盖措施，施工结束后拆除拦挡、苫盖。</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4)基础钻孔或挖孔的渣不能随意堆弃，应运到指定地点堆放。</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5)尽可能采用商品混凝土。</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6)合理安排工期，抓紧时间完成施工内容，避免雨季施工。</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7)</w:t>
      </w:r>
      <w:r>
        <w:rPr>
          <w:rFonts w:hint="default" w:ascii="Times New Roman" w:hAnsi="Times New Roman" w:eastAsia="宋体" w:cs="Times New Roman"/>
          <w:snapToGrid/>
          <w:kern w:val="0"/>
          <w:sz w:val="24"/>
          <w:szCs w:val="24"/>
          <w:highlight w:val="none"/>
          <w:lang w:val="en-US" w:eastAsia="zh-CN" w:bidi="ar"/>
        </w:rPr>
        <w:t>施工过程要尽量减少弃土，做好各项排水、截水、防止水土流失的设计，做好必要的截水沟和沉砂池，防止雨天水土流失</w:t>
      </w:r>
      <w:r>
        <w:rPr>
          <w:rFonts w:hint="eastAsia" w:ascii="Times New Roman" w:hAnsi="Times New Roman" w:eastAsia="宋体" w:cs="Times New Roman"/>
          <w:snapToGrid/>
          <w:kern w:val="0"/>
          <w:sz w:val="24"/>
          <w:szCs w:val="24"/>
          <w:highlight w:val="none"/>
          <w:lang w:val="en-US" w:eastAsia="zh-CN" w:bidi="ar"/>
        </w:rPr>
        <w:t>。(3)施工噪声</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对位于环境敏感目标附近的塔基依法限制夜间施工。位于一般地区的塔基施工应尽 量安排在白天进行；如果因工艺特殊情况要求，需在夜间施工时，应满足《中华人民共 和国噪声污染防治法》的相关规定。采用噪声水平满足国家相关标准的施工机械，控制 设备噪声源强。注意对施工设备的维修、保养，使各种施工机械保持良好的运行状态。</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运输材料的车辆进入施工现场严禁鸣笛，装卸材料时应做到轻拿轻放。</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(4)固体废物</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在工程施工前应作好施工机构及施工人员的环保培训，明确要求施工过程中产生的 施工余土及生活垃圾应分别收集堆放。塔基施工余土一般量少，在施工完成后在塔基征 地范围内整平，并采取适宜的植物措施和工程措施防止水土流失；生活垃圾由当地环卫 部门妥善处理，及时运至环卫部门指定的地点安全处置。施工结束后对场地进行清理整 平，结合周边的土地利用现状及时恢复原有土地功能。</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(5)施工管理和宣传教育</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1)加强对施工人员的环境教育工作，提高其环保意识。</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2)建设单位应做好公众沟通工作，通过现场解释、分发宣传手册或者树立宣传教育 栏等方式，向公众解释输变电工程特点以及与环境保护有关的内容，并认真解答公众的 问题，解除公众的疑惑。</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9.5.2.3    运行期环境保护措施</w:t>
      </w:r>
    </w:p>
    <w:p>
      <w:pPr>
        <w:widowControl/>
        <w:numPr>
          <w:ilvl w:val="0"/>
          <w:numId w:val="0"/>
        </w:numPr>
        <w:kinsoku/>
        <w:autoSpaceDE/>
        <w:autoSpaceDN/>
        <w:adjustRightInd/>
        <w:snapToGrid/>
        <w:spacing w:line="360" w:lineRule="auto"/>
        <w:ind w:left="479" w:leftChars="228" w:firstLine="0" w:firstLineChars="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xml:space="preserve">(1)运行管理和宣传教育                                                     1)加强对当地群众进行有关输电线路和设备方面的宣传工作，做好公众沟通工作。 </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xml:space="preserve">2)设立各种警告、防护标识，避免意外事故发生。                     </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3)依法进行运行期的环境管理和环境监测工作。</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4)加强对线路巡检人员的环境教育工作，提高其环保意识；巡检过程中应关注环保 问题。</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(2)竣工环境保护验收工程建成投运后，应进行竣工环境保护验收。</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81" w:name="_bookmark170"/>
      <w:bookmarkEnd w:id="281"/>
      <w:bookmarkStart w:id="282" w:name="_Toc19883"/>
      <w:r>
        <w:rPr>
          <w:rFonts w:hint="eastAsia" w:ascii="Times New Roman" w:hAnsi="Times New Roman" w:eastAsia="宋体" w:cs="Times New Roman"/>
          <w:snapToGrid/>
          <w:kern w:val="0"/>
          <w:sz w:val="24"/>
          <w:szCs w:val="24"/>
          <w:highlight w:val="none"/>
          <w:lang w:val="en-US" w:eastAsia="zh-CN" w:bidi="ar"/>
        </w:rPr>
        <w:t>9.5.3    生态影响保护措施</w:t>
      </w:r>
      <w:bookmarkEnd w:id="282"/>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( 1)生态保护意识教育</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中华人民共和国野生动物保护法》、《中华人民共和国野生植物保护条例》等法律法规，加强对施工人员的环境保护意识教育，要求文明施工，不得滥采滥挖滥伐，不得捡拾鸟卵、捕捉野生动物及其幼体等。</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(2)划定施工范围</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根据工程施工位点，划定施工范围，禁止随意扩展施工范围。</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(3)施工组织方式优化</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合理安排工期，避免大风及暴雨天气施工，提高施工效率，缩短施工时间，减少生态影响；可根据天气情况及时调整施工工序，工序布设紧凑合理，避免因工序安排不当而造成的大面积地表裸露，将水土流失控制在最小程度。</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(4)加强施工人员管理</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加强施工人员管理，禁止施工人员打猎、捡拾鸟卵。</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(5)定期清理污染物</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施工时，污染物排放不得超过国家和地方规定的污染物排放标准，定期安排人员收</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集垃圾和废污水，禁止向水体排放废污水、扔垃圾等。</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(6)加强水土保持和植被恢复措施</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工程施工应当尽量减少破坏植被；临时占地施工结束后应恢复原地貌和植被。</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bookmarkStart w:id="283" w:name="_bookmark171"/>
      <w:bookmarkEnd w:id="283"/>
      <w:bookmarkStart w:id="284" w:name="_Toc25649"/>
      <w:r>
        <w:rPr>
          <w:rFonts w:hint="eastAsia" w:ascii="Times New Roman" w:hAnsi="Times New Roman" w:eastAsia="宋体" w:cs="Times New Roman"/>
          <w:snapToGrid/>
          <w:kern w:val="0"/>
          <w:sz w:val="24"/>
          <w:szCs w:val="24"/>
          <w:highlight w:val="none"/>
          <w:lang w:val="en-US" w:eastAsia="zh-CN" w:bidi="ar"/>
        </w:rPr>
        <w:t>9.6    总结论</w:t>
      </w:r>
      <w:bookmarkEnd w:id="284"/>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本工程在设计、施工、运行过程中按照国家相关环境保护要求，分别采取了一系列的 环境保护措施，使工程产生的电磁环境、声环境等影响符合国家有关环境保护法规、环境 保护标准的要求。本工程的环境保护措施有效可行，可将工程施工带来的负面影响减轻到 满足国家有关规定的要求。</w:t>
      </w:r>
    </w:p>
    <w:p>
      <w:pPr>
        <w:widowControl/>
        <w:numPr>
          <w:ilvl w:val="0"/>
          <w:numId w:val="0"/>
        </w:numPr>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0"/>
          <w:sz w:val="24"/>
          <w:szCs w:val="24"/>
          <w:highlight w:val="none"/>
          <w:lang w:val="en-US" w:eastAsia="zh-CN" w:bidi="ar"/>
        </w:rPr>
      </w:pPr>
      <w:r>
        <w:rPr>
          <w:rFonts w:hint="eastAsia" w:ascii="Times New Roman" w:hAnsi="Times New Roman" w:eastAsia="宋体" w:cs="Times New Roman"/>
          <w:snapToGrid/>
          <w:kern w:val="0"/>
          <w:sz w:val="24"/>
          <w:szCs w:val="24"/>
          <w:highlight w:val="none"/>
          <w:lang w:val="en-US" w:eastAsia="zh-CN" w:bidi="ar"/>
        </w:rPr>
        <w:t>因此，从满足环境质量目标角度来看，本工程的建设是可行的。</w:t>
      </w:r>
    </w:p>
    <w:p>
      <w:pPr>
        <w:pStyle w:val="11"/>
        <w:ind w:left="0" w:leftChars="0" w:firstLine="0" w:firstLineChars="0"/>
        <w:rPr>
          <w:rFonts w:hint="default"/>
          <w:lang w:val="en-US" w:eastAsia="zh-CN"/>
        </w:rPr>
      </w:pPr>
      <w:bookmarkStart w:id="285" w:name="_bookmark165"/>
      <w:bookmarkEnd w:id="285"/>
    </w:p>
    <w:sectPr>
      <w:headerReference r:id="rId52" w:type="default"/>
      <w:footerReference r:id="rId5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FZDaHei-B02">
    <w:altName w:val="宋体"/>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8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6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1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93</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0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100</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100</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6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6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111</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6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6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115</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6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117</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117</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1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118</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118</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6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9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121</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121</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1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122</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6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6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6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22</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9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1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8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132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FA1D60"/>
    <w:multiLevelType w:val="singleLevel"/>
    <w:tmpl w:val="5AFA1D60"/>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wZWVmMTA0ZDIwMDhiM2E5NWZkNTA5MDcwMjk3ODAifQ=="/>
  </w:docVars>
  <w:rsids>
    <w:rsidRoot w:val="2B3E3823"/>
    <w:rsid w:val="004B3DAE"/>
    <w:rsid w:val="0169460C"/>
    <w:rsid w:val="01B46597"/>
    <w:rsid w:val="01FB6916"/>
    <w:rsid w:val="02370F73"/>
    <w:rsid w:val="02521EB3"/>
    <w:rsid w:val="02752E0B"/>
    <w:rsid w:val="02D332DD"/>
    <w:rsid w:val="02FA438B"/>
    <w:rsid w:val="03065668"/>
    <w:rsid w:val="037E5C19"/>
    <w:rsid w:val="03BE2679"/>
    <w:rsid w:val="03C10827"/>
    <w:rsid w:val="045F7D5E"/>
    <w:rsid w:val="046B1E0B"/>
    <w:rsid w:val="052C53B2"/>
    <w:rsid w:val="054D3D12"/>
    <w:rsid w:val="054F5218"/>
    <w:rsid w:val="056666A1"/>
    <w:rsid w:val="05733FD0"/>
    <w:rsid w:val="062F2CBE"/>
    <w:rsid w:val="063A5E35"/>
    <w:rsid w:val="06DB379C"/>
    <w:rsid w:val="07480470"/>
    <w:rsid w:val="07570958"/>
    <w:rsid w:val="076B5857"/>
    <w:rsid w:val="077341C4"/>
    <w:rsid w:val="078C7A32"/>
    <w:rsid w:val="079943F9"/>
    <w:rsid w:val="080714F4"/>
    <w:rsid w:val="0822060B"/>
    <w:rsid w:val="08720EB9"/>
    <w:rsid w:val="08E41D30"/>
    <w:rsid w:val="0928110D"/>
    <w:rsid w:val="0A144BBF"/>
    <w:rsid w:val="0A242217"/>
    <w:rsid w:val="0AA23C86"/>
    <w:rsid w:val="0B927856"/>
    <w:rsid w:val="0C324B95"/>
    <w:rsid w:val="0D3B2D0E"/>
    <w:rsid w:val="0D6945E7"/>
    <w:rsid w:val="0D6E7E4F"/>
    <w:rsid w:val="0D891552"/>
    <w:rsid w:val="0DF22109"/>
    <w:rsid w:val="0E636A64"/>
    <w:rsid w:val="0E850506"/>
    <w:rsid w:val="0F112C74"/>
    <w:rsid w:val="0F501F02"/>
    <w:rsid w:val="0FFB4AD1"/>
    <w:rsid w:val="10CC4F97"/>
    <w:rsid w:val="11167C87"/>
    <w:rsid w:val="1133451A"/>
    <w:rsid w:val="11C747EB"/>
    <w:rsid w:val="11F21A37"/>
    <w:rsid w:val="125308EC"/>
    <w:rsid w:val="127B3A04"/>
    <w:rsid w:val="12E90FED"/>
    <w:rsid w:val="13B4799C"/>
    <w:rsid w:val="13E4676A"/>
    <w:rsid w:val="13FC15F4"/>
    <w:rsid w:val="142C45C0"/>
    <w:rsid w:val="144751FA"/>
    <w:rsid w:val="14D54A40"/>
    <w:rsid w:val="151D430C"/>
    <w:rsid w:val="153931CB"/>
    <w:rsid w:val="15393438"/>
    <w:rsid w:val="159669C4"/>
    <w:rsid w:val="15E97E47"/>
    <w:rsid w:val="15FF54BC"/>
    <w:rsid w:val="160A0515"/>
    <w:rsid w:val="16290DB7"/>
    <w:rsid w:val="162E2707"/>
    <w:rsid w:val="16571ADA"/>
    <w:rsid w:val="16612D10"/>
    <w:rsid w:val="16F94DD0"/>
    <w:rsid w:val="17356AF7"/>
    <w:rsid w:val="176A07DC"/>
    <w:rsid w:val="17800907"/>
    <w:rsid w:val="181C246B"/>
    <w:rsid w:val="18711565"/>
    <w:rsid w:val="187E300F"/>
    <w:rsid w:val="18D946B5"/>
    <w:rsid w:val="19445F08"/>
    <w:rsid w:val="195C4F7D"/>
    <w:rsid w:val="19D71A53"/>
    <w:rsid w:val="1A255D39"/>
    <w:rsid w:val="1A451B76"/>
    <w:rsid w:val="1B4F270F"/>
    <w:rsid w:val="1BA37A22"/>
    <w:rsid w:val="1E0104B3"/>
    <w:rsid w:val="1E2C535C"/>
    <w:rsid w:val="1E311151"/>
    <w:rsid w:val="1FB37E38"/>
    <w:rsid w:val="1FD3171B"/>
    <w:rsid w:val="1FD53D5E"/>
    <w:rsid w:val="203A5A70"/>
    <w:rsid w:val="206F2391"/>
    <w:rsid w:val="210C7FFC"/>
    <w:rsid w:val="2181415D"/>
    <w:rsid w:val="21C67DF7"/>
    <w:rsid w:val="22176285"/>
    <w:rsid w:val="226634CB"/>
    <w:rsid w:val="22A679B3"/>
    <w:rsid w:val="234A4748"/>
    <w:rsid w:val="23EA29D1"/>
    <w:rsid w:val="23EE5F9E"/>
    <w:rsid w:val="242B4C10"/>
    <w:rsid w:val="24C93DF2"/>
    <w:rsid w:val="25227E36"/>
    <w:rsid w:val="261F5B53"/>
    <w:rsid w:val="268762C3"/>
    <w:rsid w:val="2857751B"/>
    <w:rsid w:val="28BC0246"/>
    <w:rsid w:val="291034DE"/>
    <w:rsid w:val="295235B5"/>
    <w:rsid w:val="29717CC6"/>
    <w:rsid w:val="29FD45DD"/>
    <w:rsid w:val="2A0B6CFA"/>
    <w:rsid w:val="2A5D2324"/>
    <w:rsid w:val="2A5E4CA7"/>
    <w:rsid w:val="2B107733"/>
    <w:rsid w:val="2B3E3823"/>
    <w:rsid w:val="2B9D7200"/>
    <w:rsid w:val="2BA21DDC"/>
    <w:rsid w:val="2C102996"/>
    <w:rsid w:val="2C4136BD"/>
    <w:rsid w:val="2CFE34D6"/>
    <w:rsid w:val="2D3C71CA"/>
    <w:rsid w:val="2D68506F"/>
    <w:rsid w:val="2E0F4FF5"/>
    <w:rsid w:val="2E1B331D"/>
    <w:rsid w:val="2E4F7F14"/>
    <w:rsid w:val="2F37233F"/>
    <w:rsid w:val="2F63179E"/>
    <w:rsid w:val="30582BD4"/>
    <w:rsid w:val="30751371"/>
    <w:rsid w:val="30E216B6"/>
    <w:rsid w:val="31293A40"/>
    <w:rsid w:val="31F540A5"/>
    <w:rsid w:val="338B592E"/>
    <w:rsid w:val="33AD2BD0"/>
    <w:rsid w:val="3442156A"/>
    <w:rsid w:val="344D6161"/>
    <w:rsid w:val="35045FCF"/>
    <w:rsid w:val="357F059C"/>
    <w:rsid w:val="35D55E30"/>
    <w:rsid w:val="36315871"/>
    <w:rsid w:val="36CB1839"/>
    <w:rsid w:val="37992A8B"/>
    <w:rsid w:val="37C122C3"/>
    <w:rsid w:val="37C35C65"/>
    <w:rsid w:val="37F40247"/>
    <w:rsid w:val="385D5A7C"/>
    <w:rsid w:val="387659A4"/>
    <w:rsid w:val="393540C4"/>
    <w:rsid w:val="3A3C00D4"/>
    <w:rsid w:val="3A4E3D09"/>
    <w:rsid w:val="3A6158D7"/>
    <w:rsid w:val="3AC75562"/>
    <w:rsid w:val="3B0E30BF"/>
    <w:rsid w:val="3BB83EF6"/>
    <w:rsid w:val="3C89390F"/>
    <w:rsid w:val="3C8D7A42"/>
    <w:rsid w:val="3CAE3557"/>
    <w:rsid w:val="3CFA5C50"/>
    <w:rsid w:val="3D881921"/>
    <w:rsid w:val="3D985E97"/>
    <w:rsid w:val="3E3170D5"/>
    <w:rsid w:val="3F0B0109"/>
    <w:rsid w:val="3F182E42"/>
    <w:rsid w:val="3F907BB3"/>
    <w:rsid w:val="3F9B1EFB"/>
    <w:rsid w:val="3FAF7CCF"/>
    <w:rsid w:val="3FC838A3"/>
    <w:rsid w:val="400D5998"/>
    <w:rsid w:val="40267F92"/>
    <w:rsid w:val="40784177"/>
    <w:rsid w:val="40E33735"/>
    <w:rsid w:val="4246771C"/>
    <w:rsid w:val="442E454D"/>
    <w:rsid w:val="44350610"/>
    <w:rsid w:val="452345B2"/>
    <w:rsid w:val="46882BDE"/>
    <w:rsid w:val="469317FC"/>
    <w:rsid w:val="46D40B4D"/>
    <w:rsid w:val="47086605"/>
    <w:rsid w:val="473E24F4"/>
    <w:rsid w:val="481A6345"/>
    <w:rsid w:val="485C4F51"/>
    <w:rsid w:val="48CC772F"/>
    <w:rsid w:val="4937506D"/>
    <w:rsid w:val="4A147424"/>
    <w:rsid w:val="4A6C1384"/>
    <w:rsid w:val="4B793D99"/>
    <w:rsid w:val="4C1B2C3D"/>
    <w:rsid w:val="4C6E4BBE"/>
    <w:rsid w:val="4D2D2D41"/>
    <w:rsid w:val="4D4623D2"/>
    <w:rsid w:val="4DA46784"/>
    <w:rsid w:val="4DDA7A0C"/>
    <w:rsid w:val="4E000120"/>
    <w:rsid w:val="4EA66308"/>
    <w:rsid w:val="4F4F378A"/>
    <w:rsid w:val="4F806E87"/>
    <w:rsid w:val="4FE85A3F"/>
    <w:rsid w:val="505A77E4"/>
    <w:rsid w:val="507611E9"/>
    <w:rsid w:val="509065EE"/>
    <w:rsid w:val="50A6005B"/>
    <w:rsid w:val="50CA772C"/>
    <w:rsid w:val="50D443E4"/>
    <w:rsid w:val="514F5F49"/>
    <w:rsid w:val="51851679"/>
    <w:rsid w:val="519D28A7"/>
    <w:rsid w:val="52590B37"/>
    <w:rsid w:val="527728CF"/>
    <w:rsid w:val="52B0653B"/>
    <w:rsid w:val="52BE405A"/>
    <w:rsid w:val="53310CD0"/>
    <w:rsid w:val="537077D7"/>
    <w:rsid w:val="53A02A73"/>
    <w:rsid w:val="5435659E"/>
    <w:rsid w:val="55371339"/>
    <w:rsid w:val="558F3E02"/>
    <w:rsid w:val="55C23FED"/>
    <w:rsid w:val="55C30731"/>
    <w:rsid w:val="55DB4F23"/>
    <w:rsid w:val="563A7086"/>
    <w:rsid w:val="56B5659F"/>
    <w:rsid w:val="56DD28E7"/>
    <w:rsid w:val="57387AA9"/>
    <w:rsid w:val="5778511F"/>
    <w:rsid w:val="57C1205B"/>
    <w:rsid w:val="57F10C0E"/>
    <w:rsid w:val="58005F2C"/>
    <w:rsid w:val="58496ABB"/>
    <w:rsid w:val="58DD1B93"/>
    <w:rsid w:val="58EE3112"/>
    <w:rsid w:val="591D2BC6"/>
    <w:rsid w:val="59A473E8"/>
    <w:rsid w:val="5A463C0C"/>
    <w:rsid w:val="5A8C23BF"/>
    <w:rsid w:val="5AFD3555"/>
    <w:rsid w:val="5B7E69FD"/>
    <w:rsid w:val="5BC10FDC"/>
    <w:rsid w:val="5CBF036C"/>
    <w:rsid w:val="5D9F2CDA"/>
    <w:rsid w:val="5EEA1141"/>
    <w:rsid w:val="5F0674B4"/>
    <w:rsid w:val="5F1C073B"/>
    <w:rsid w:val="5F6661A5"/>
    <w:rsid w:val="5FE56DEF"/>
    <w:rsid w:val="60C92130"/>
    <w:rsid w:val="61131471"/>
    <w:rsid w:val="6151253D"/>
    <w:rsid w:val="61632D62"/>
    <w:rsid w:val="624B3710"/>
    <w:rsid w:val="62507C9B"/>
    <w:rsid w:val="626F0591"/>
    <w:rsid w:val="635564BD"/>
    <w:rsid w:val="63BE20DB"/>
    <w:rsid w:val="63E91153"/>
    <w:rsid w:val="65661CED"/>
    <w:rsid w:val="663F1085"/>
    <w:rsid w:val="66482158"/>
    <w:rsid w:val="667A42E4"/>
    <w:rsid w:val="66F1078B"/>
    <w:rsid w:val="671B6F33"/>
    <w:rsid w:val="6727446C"/>
    <w:rsid w:val="67584625"/>
    <w:rsid w:val="67950437"/>
    <w:rsid w:val="688C2176"/>
    <w:rsid w:val="68937D94"/>
    <w:rsid w:val="68975621"/>
    <w:rsid w:val="68B202B8"/>
    <w:rsid w:val="68DF45BF"/>
    <w:rsid w:val="6A525AAC"/>
    <w:rsid w:val="6A8D47D0"/>
    <w:rsid w:val="6A9C0CCD"/>
    <w:rsid w:val="6AB62286"/>
    <w:rsid w:val="6AE03F4B"/>
    <w:rsid w:val="6AE54988"/>
    <w:rsid w:val="6B9C51B6"/>
    <w:rsid w:val="6BD6117B"/>
    <w:rsid w:val="6BDD4EFA"/>
    <w:rsid w:val="6C5A3B36"/>
    <w:rsid w:val="6C8944FD"/>
    <w:rsid w:val="6D75297D"/>
    <w:rsid w:val="6D9C6CE1"/>
    <w:rsid w:val="6DB5650A"/>
    <w:rsid w:val="6DD662A4"/>
    <w:rsid w:val="6E480F16"/>
    <w:rsid w:val="6EFE4A7F"/>
    <w:rsid w:val="6F04403D"/>
    <w:rsid w:val="6F653D83"/>
    <w:rsid w:val="6F910DA1"/>
    <w:rsid w:val="701D640C"/>
    <w:rsid w:val="70455D6F"/>
    <w:rsid w:val="70E205F7"/>
    <w:rsid w:val="70FC2AE5"/>
    <w:rsid w:val="71833060"/>
    <w:rsid w:val="71EE6E13"/>
    <w:rsid w:val="729B4DB1"/>
    <w:rsid w:val="737056DF"/>
    <w:rsid w:val="739569A4"/>
    <w:rsid w:val="74732358"/>
    <w:rsid w:val="74844CAB"/>
    <w:rsid w:val="749838B9"/>
    <w:rsid w:val="74CF151E"/>
    <w:rsid w:val="74FF4332"/>
    <w:rsid w:val="75596138"/>
    <w:rsid w:val="761368E1"/>
    <w:rsid w:val="76BD05E7"/>
    <w:rsid w:val="770C0F88"/>
    <w:rsid w:val="77CF345E"/>
    <w:rsid w:val="785D5F3F"/>
    <w:rsid w:val="78E04701"/>
    <w:rsid w:val="79193AF6"/>
    <w:rsid w:val="79584446"/>
    <w:rsid w:val="79960327"/>
    <w:rsid w:val="79D67235"/>
    <w:rsid w:val="79F8183B"/>
    <w:rsid w:val="7A187D16"/>
    <w:rsid w:val="7A197EA3"/>
    <w:rsid w:val="7A7E03EF"/>
    <w:rsid w:val="7A8016D2"/>
    <w:rsid w:val="7AAC6D0A"/>
    <w:rsid w:val="7ABA5AB5"/>
    <w:rsid w:val="7B3F1136"/>
    <w:rsid w:val="7B694BFB"/>
    <w:rsid w:val="7BC45A00"/>
    <w:rsid w:val="7CC7228F"/>
    <w:rsid w:val="7CEA6853"/>
    <w:rsid w:val="7D144167"/>
    <w:rsid w:val="7D216D45"/>
    <w:rsid w:val="7D8B2231"/>
    <w:rsid w:val="7DE92EA8"/>
    <w:rsid w:val="7E292D44"/>
    <w:rsid w:val="7E5C276E"/>
    <w:rsid w:val="7EBF4C95"/>
    <w:rsid w:val="7EE55256"/>
    <w:rsid w:val="7F082E9C"/>
    <w:rsid w:val="7F08472B"/>
    <w:rsid w:val="7F416D5D"/>
    <w:rsid w:val="7F4B19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11111"/>
    <w:basedOn w:val="1"/>
    <w:next w:val="1"/>
    <w:qFormat/>
    <w:uiPriority w:val="0"/>
    <w:pPr>
      <w:spacing w:line="360" w:lineRule="auto"/>
      <w:ind w:firstLine="200" w:firstLineChars="200"/>
    </w:pPr>
    <w:rPr>
      <w:rFonts w:ascii="宋体" w:hAnsi="宋体" w:cs="宋体"/>
      <w:sz w:val="24"/>
    </w:rPr>
  </w:style>
  <w:style w:type="paragraph" w:styleId="4">
    <w:name w:val="annotation text"/>
    <w:basedOn w:val="1"/>
    <w:qFormat/>
    <w:uiPriority w:val="0"/>
    <w:pPr>
      <w:jc w:val="left"/>
    </w:pPr>
  </w:style>
  <w:style w:type="paragraph" w:styleId="5">
    <w:name w:val="Body Text"/>
    <w:basedOn w:val="1"/>
    <w:qFormat/>
    <w:uiPriority w:val="1"/>
    <w:rPr>
      <w:rFonts w:ascii="宋体" w:hAnsi="宋体" w:eastAsia="宋体" w:cs="宋体"/>
      <w:sz w:val="24"/>
      <w:szCs w:val="24"/>
      <w:lang w:val="zh-CN" w:eastAsia="zh-CN" w:bidi="zh-CN"/>
    </w:rPr>
  </w:style>
  <w:style w:type="paragraph" w:styleId="6">
    <w:name w:val="toc 3"/>
    <w:basedOn w:val="1"/>
    <w:next w:val="1"/>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pPr>
      <w:spacing w:line="600" w:lineRule="exact"/>
      <w:jc w:val="center"/>
    </w:pPr>
    <w:rPr>
      <w:rFonts w:ascii="宋体" w:hAnsi="宋体" w:eastAsia="黑体"/>
      <w:kern w:val="0"/>
      <w:sz w:val="30"/>
      <w:szCs w:val="20"/>
    </w:rPr>
  </w:style>
  <w:style w:type="paragraph" w:styleId="10">
    <w:name w:val="toc 2"/>
    <w:basedOn w:val="1"/>
    <w:next w:val="1"/>
    <w:qFormat/>
    <w:uiPriority w:val="39"/>
    <w:pPr>
      <w:ind w:left="240"/>
      <w:jc w:val="left"/>
    </w:pPr>
    <w:rPr>
      <w:rFonts w:ascii="等线" w:eastAsia="等线"/>
      <w:smallCaps/>
      <w:sz w:val="20"/>
      <w:szCs w:val="20"/>
    </w:rPr>
  </w:style>
  <w:style w:type="paragraph" w:styleId="11">
    <w:name w:val="Body Text First Indent"/>
    <w:basedOn w:val="5"/>
    <w:next w:val="1"/>
    <w:qFormat/>
    <w:uiPriority w:val="0"/>
    <w:pPr>
      <w:ind w:firstLine="498" w:firstLineChars="200"/>
    </w:pPr>
    <w:rPr>
      <w:sz w:val="24"/>
      <w:szCs w:val="20"/>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Default"/>
    <w:basedOn w:val="16"/>
    <w:next w:val="1"/>
    <w:qFormat/>
    <w:uiPriority w:val="0"/>
    <w:pPr>
      <w:widowControl w:val="0"/>
      <w:autoSpaceDE w:val="0"/>
      <w:autoSpaceDN w:val="0"/>
      <w:adjustRightInd w:val="0"/>
      <w:spacing w:before="8" w:after="8" w:line="360" w:lineRule="auto"/>
      <w:ind w:left="249" w:right="147"/>
    </w:pPr>
    <w:rPr>
      <w:rFonts w:ascii="FZDaHei-B02" w:hAnsi="Calibri" w:eastAsia="FZDaHei-B02" w:cs="FZDaHei-B02"/>
      <w:color w:val="000000"/>
      <w:kern w:val="2"/>
      <w:sz w:val="24"/>
      <w:szCs w:val="24"/>
      <w:lang w:val="en-US" w:eastAsia="zh-CN" w:bidi="ar-SA"/>
    </w:rPr>
  </w:style>
  <w:style w:type="paragraph" w:customStyle="1" w:styleId="16">
    <w:name w:val="表头"/>
    <w:basedOn w:val="17"/>
    <w:next w:val="1"/>
    <w:qFormat/>
    <w:uiPriority w:val="0"/>
    <w:pPr>
      <w:adjustRightInd w:val="0"/>
      <w:snapToGrid w:val="0"/>
      <w:spacing w:line="360" w:lineRule="auto"/>
      <w:jc w:val="center"/>
    </w:pPr>
    <w:rPr>
      <w:rFonts w:ascii="Times New Roman" w:hAnsi="Times New Roman" w:eastAsia="黑体" w:cs="Times New Roman"/>
    </w:rPr>
  </w:style>
  <w:style w:type="paragraph" w:customStyle="1" w:styleId="17">
    <w:name w:val="表名1"/>
    <w:basedOn w:val="18"/>
    <w:qFormat/>
    <w:uiPriority w:val="0"/>
    <w:pPr>
      <w:spacing w:beforeLines="50" w:afterLines="20"/>
      <w:jc w:val="center"/>
    </w:pPr>
    <w:rPr>
      <w:rFonts w:ascii="仿宋" w:hAnsi="仿宋" w:eastAsia="仿宋"/>
      <w:b/>
      <w:sz w:val="24"/>
      <w:szCs w:val="24"/>
    </w:rPr>
  </w:style>
  <w:style w:type="paragraph" w:customStyle="1" w:styleId="18">
    <w:name w:val="报告"/>
    <w:basedOn w:val="1"/>
    <w:qFormat/>
    <w:uiPriority w:val="99"/>
    <w:pPr>
      <w:widowControl w:val="0"/>
      <w:autoSpaceDE w:val="0"/>
      <w:autoSpaceDN w:val="0"/>
      <w:adjustRightInd w:val="0"/>
      <w:spacing w:line="360" w:lineRule="auto"/>
      <w:ind w:firstLine="505"/>
      <w:textAlignment w:val="baseline"/>
    </w:pPr>
    <w:rPr>
      <w:rFonts w:ascii="Times New Roman" w:hAnsi="Times New Roman" w:cs="Times New Roman"/>
      <w:szCs w:val="20"/>
    </w:rPr>
  </w:style>
  <w:style w:type="paragraph" w:customStyle="1" w:styleId="19">
    <w:name w:val="样式 正文首行缩进 + 首行缩进:  2 字符1"/>
    <w:basedOn w:val="1"/>
    <w:next w:val="9"/>
    <w:qFormat/>
    <w:uiPriority w:val="0"/>
    <w:pPr>
      <w:spacing w:line="360" w:lineRule="auto"/>
      <w:ind w:firstLine="480" w:firstLineChars="200"/>
    </w:pPr>
    <w:rPr>
      <w:sz w:val="24"/>
    </w:rPr>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正文格式"/>
    <w:basedOn w:val="1"/>
    <w:next w:val="1"/>
    <w:qFormat/>
    <w:uiPriority w:val="0"/>
    <w:pPr>
      <w:spacing w:line="360" w:lineRule="auto"/>
      <w:ind w:firstLine="482"/>
    </w:pPr>
    <w:rPr>
      <w:sz w:val="24"/>
    </w:rPr>
  </w:style>
  <w:style w:type="paragraph" w:customStyle="1" w:styleId="22">
    <w:name w:val="Table Paragraph"/>
    <w:basedOn w:val="1"/>
    <w:qFormat/>
    <w:uiPriority w:val="1"/>
    <w:pPr>
      <w:jc w:val="center"/>
    </w:pPr>
    <w:rPr>
      <w:rFonts w:ascii="楷体" w:hAnsi="楷体" w:eastAsia="楷体" w:cs="楷体"/>
      <w:lang w:val="zh-CN" w:eastAsia="zh-CN" w:bidi="zh-CN"/>
    </w:rPr>
  </w:style>
  <w:style w:type="paragraph" w:customStyle="1" w:styleId="23">
    <w:name w:val="样式 环保表内字（五号） + 段前: 7.8 磅"/>
    <w:basedOn w:val="1"/>
    <w:qFormat/>
    <w:uiPriority w:val="0"/>
    <w:pPr>
      <w:adjustRightInd w:val="0"/>
      <w:snapToGrid w:val="0"/>
      <w:spacing w:line="0" w:lineRule="atLeast"/>
    </w:pPr>
    <w:rPr>
      <w:rFonts w:eastAsia="宋体" w:cs="宋体"/>
      <w:snapToGrid w:val="0"/>
      <w:color w:val="000000"/>
      <w:kern w:val="0"/>
      <w:szCs w:val="20"/>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1.bin"/><Relationship Id="rId98" Type="http://schemas.openxmlformats.org/officeDocument/2006/relationships/image" Target="media/image34.wmf"/><Relationship Id="rId97" Type="http://schemas.openxmlformats.org/officeDocument/2006/relationships/oleObject" Target="embeddings/oleObject10.bin"/><Relationship Id="rId96" Type="http://schemas.openxmlformats.org/officeDocument/2006/relationships/image" Target="media/image33.wmf"/><Relationship Id="rId95" Type="http://schemas.openxmlformats.org/officeDocument/2006/relationships/oleObject" Target="embeddings/oleObject9.bin"/><Relationship Id="rId94" Type="http://schemas.openxmlformats.org/officeDocument/2006/relationships/image" Target="media/image32.wmf"/><Relationship Id="rId93" Type="http://schemas.openxmlformats.org/officeDocument/2006/relationships/oleObject" Target="embeddings/oleObject8.bin"/><Relationship Id="rId92" Type="http://schemas.openxmlformats.org/officeDocument/2006/relationships/image" Target="media/image31.wmf"/><Relationship Id="rId91" Type="http://schemas.openxmlformats.org/officeDocument/2006/relationships/oleObject" Target="embeddings/oleObject7.bin"/><Relationship Id="rId90" Type="http://schemas.openxmlformats.org/officeDocument/2006/relationships/image" Target="media/image30.wmf"/><Relationship Id="rId9" Type="http://schemas.openxmlformats.org/officeDocument/2006/relationships/header" Target="header1.xml"/><Relationship Id="rId89" Type="http://schemas.openxmlformats.org/officeDocument/2006/relationships/oleObject" Target="embeddings/oleObject6.bin"/><Relationship Id="rId88" Type="http://schemas.openxmlformats.org/officeDocument/2006/relationships/image" Target="media/image29.wmf"/><Relationship Id="rId87" Type="http://schemas.openxmlformats.org/officeDocument/2006/relationships/oleObject" Target="embeddings/oleObject5.bin"/><Relationship Id="rId86" Type="http://schemas.openxmlformats.org/officeDocument/2006/relationships/image" Target="media/image28.wmf"/><Relationship Id="rId85" Type="http://schemas.openxmlformats.org/officeDocument/2006/relationships/oleObject" Target="embeddings/oleObject4.bin"/><Relationship Id="rId84" Type="http://schemas.openxmlformats.org/officeDocument/2006/relationships/image" Target="media/image27.wmf"/><Relationship Id="rId83" Type="http://schemas.openxmlformats.org/officeDocument/2006/relationships/oleObject" Target="embeddings/oleObject3.bin"/><Relationship Id="rId82" Type="http://schemas.openxmlformats.org/officeDocument/2006/relationships/image" Target="media/image26.wmf"/><Relationship Id="rId81" Type="http://schemas.openxmlformats.org/officeDocument/2006/relationships/oleObject" Target="embeddings/oleObject2.bin"/><Relationship Id="rId80" Type="http://schemas.openxmlformats.org/officeDocument/2006/relationships/image" Target="media/image25.wmf"/><Relationship Id="rId8" Type="http://schemas.openxmlformats.org/officeDocument/2006/relationships/footer" Target="footer4.xml"/><Relationship Id="rId79" Type="http://schemas.openxmlformats.org/officeDocument/2006/relationships/oleObject" Target="embeddings/oleObject1.bin"/><Relationship Id="rId78" Type="http://schemas.openxmlformats.org/officeDocument/2006/relationships/image" Target="media/image24.png"/><Relationship Id="rId77" Type="http://schemas.openxmlformats.org/officeDocument/2006/relationships/image" Target="media/image23.png"/><Relationship Id="rId76" Type="http://schemas.openxmlformats.org/officeDocument/2006/relationships/image" Target="media/image22.jpeg"/><Relationship Id="rId75" Type="http://schemas.openxmlformats.org/officeDocument/2006/relationships/image" Target="media/image21.jpeg"/><Relationship Id="rId74" Type="http://schemas.openxmlformats.org/officeDocument/2006/relationships/image" Target="media/image20.jpeg"/><Relationship Id="rId73" Type="http://schemas.openxmlformats.org/officeDocument/2006/relationships/image" Target="media/image19.jpeg"/><Relationship Id="rId72" Type="http://schemas.openxmlformats.org/officeDocument/2006/relationships/image" Target="media/image18.jpeg"/><Relationship Id="rId71" Type="http://schemas.openxmlformats.org/officeDocument/2006/relationships/image" Target="media/image17.jpeg"/><Relationship Id="rId70" Type="http://schemas.openxmlformats.org/officeDocument/2006/relationships/image" Target="media/image16.jpeg"/><Relationship Id="rId7" Type="http://schemas.openxmlformats.org/officeDocument/2006/relationships/footer" Target="footer3.xml"/><Relationship Id="rId69" Type="http://schemas.openxmlformats.org/officeDocument/2006/relationships/image" Target="media/image15.png"/><Relationship Id="rId68" Type="http://schemas.openxmlformats.org/officeDocument/2006/relationships/image" Target="media/image14.jpeg"/><Relationship Id="rId67" Type="http://schemas.openxmlformats.org/officeDocument/2006/relationships/image" Target="media/image13.jpeg"/><Relationship Id="rId66" Type="http://schemas.openxmlformats.org/officeDocument/2006/relationships/image" Target="media/image12.png"/><Relationship Id="rId65" Type="http://schemas.openxmlformats.org/officeDocument/2006/relationships/image" Target="media/image11.png"/><Relationship Id="rId64" Type="http://schemas.openxmlformats.org/officeDocument/2006/relationships/image" Target="media/image10.png"/><Relationship Id="rId63" Type="http://schemas.openxmlformats.org/officeDocument/2006/relationships/image" Target="media/image9.png"/><Relationship Id="rId62" Type="http://schemas.openxmlformats.org/officeDocument/2006/relationships/image" Target="media/image8.png"/><Relationship Id="rId61" Type="http://schemas.openxmlformats.org/officeDocument/2006/relationships/image" Target="media/image7.png"/><Relationship Id="rId60" Type="http://schemas.openxmlformats.org/officeDocument/2006/relationships/image" Target="media/image6.png"/><Relationship Id="rId6" Type="http://schemas.openxmlformats.org/officeDocument/2006/relationships/footer" Target="footer2.xml"/><Relationship Id="rId59" Type="http://schemas.openxmlformats.org/officeDocument/2006/relationships/image" Target="media/image5.png"/><Relationship Id="rId58" Type="http://schemas.openxmlformats.org/officeDocument/2006/relationships/image" Target="media/image4.png"/><Relationship Id="rId57" Type="http://schemas.openxmlformats.org/officeDocument/2006/relationships/image" Target="media/image3.png"/><Relationship Id="rId56" Type="http://schemas.openxmlformats.org/officeDocument/2006/relationships/image" Target="media/image2.png"/><Relationship Id="rId55" Type="http://schemas.openxmlformats.org/officeDocument/2006/relationships/image" Target="media/image1.png"/><Relationship Id="rId54" Type="http://schemas.openxmlformats.org/officeDocument/2006/relationships/theme" Target="theme/theme1.xml"/><Relationship Id="rId53" Type="http://schemas.openxmlformats.org/officeDocument/2006/relationships/footer" Target="footer27.xml"/><Relationship Id="rId52" Type="http://schemas.openxmlformats.org/officeDocument/2006/relationships/header" Target="header22.xml"/><Relationship Id="rId51" Type="http://schemas.openxmlformats.org/officeDocument/2006/relationships/footer" Target="footer26.xml"/><Relationship Id="rId50" Type="http://schemas.openxmlformats.org/officeDocument/2006/relationships/header" Target="header21.xml"/><Relationship Id="rId5" Type="http://schemas.openxmlformats.org/officeDocument/2006/relationships/footer" Target="footer1.xml"/><Relationship Id="rId49" Type="http://schemas.openxmlformats.org/officeDocument/2006/relationships/footer" Target="footer25.xml"/><Relationship Id="rId48" Type="http://schemas.openxmlformats.org/officeDocument/2006/relationships/header" Target="header20.xml"/><Relationship Id="rId47" Type="http://schemas.openxmlformats.org/officeDocument/2006/relationships/footer" Target="footer24.xml"/><Relationship Id="rId46" Type="http://schemas.openxmlformats.org/officeDocument/2006/relationships/header" Target="header19.xml"/><Relationship Id="rId45" Type="http://schemas.openxmlformats.org/officeDocument/2006/relationships/footer" Target="footer23.xml"/><Relationship Id="rId44" Type="http://schemas.openxmlformats.org/officeDocument/2006/relationships/header" Target="header18.xml"/><Relationship Id="rId43" Type="http://schemas.openxmlformats.org/officeDocument/2006/relationships/footer" Target="footer22.xml"/><Relationship Id="rId42" Type="http://schemas.openxmlformats.org/officeDocument/2006/relationships/header" Target="header17.xml"/><Relationship Id="rId41" Type="http://schemas.openxmlformats.org/officeDocument/2006/relationships/footer" Target="footer21.xml"/><Relationship Id="rId40" Type="http://schemas.openxmlformats.org/officeDocument/2006/relationships/header" Target="header16.xml"/><Relationship Id="rId4" Type="http://schemas.openxmlformats.org/officeDocument/2006/relationships/endnotes" Target="endnotes.xml"/><Relationship Id="rId39" Type="http://schemas.openxmlformats.org/officeDocument/2006/relationships/footer" Target="footer20.xml"/><Relationship Id="rId38" Type="http://schemas.openxmlformats.org/officeDocument/2006/relationships/footer" Target="footer19.xml"/><Relationship Id="rId37" Type="http://schemas.openxmlformats.org/officeDocument/2006/relationships/header" Target="header15.xml"/><Relationship Id="rId36" Type="http://schemas.openxmlformats.org/officeDocument/2006/relationships/footer" Target="footer18.xml"/><Relationship Id="rId35" Type="http://schemas.openxmlformats.org/officeDocument/2006/relationships/header" Target="header14.xml"/><Relationship Id="rId34" Type="http://schemas.openxmlformats.org/officeDocument/2006/relationships/footer" Target="footer17.xml"/><Relationship Id="rId33" Type="http://schemas.openxmlformats.org/officeDocument/2006/relationships/header" Target="header13.xml"/><Relationship Id="rId32" Type="http://schemas.openxmlformats.org/officeDocument/2006/relationships/footer" Target="footer16.xml"/><Relationship Id="rId31" Type="http://schemas.openxmlformats.org/officeDocument/2006/relationships/header" Target="header12.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header" Target="header11.xml"/><Relationship Id="rId28" Type="http://schemas.openxmlformats.org/officeDocument/2006/relationships/footer" Target="footer14.xml"/><Relationship Id="rId27" Type="http://schemas.openxmlformats.org/officeDocument/2006/relationships/header" Target="header10.xml"/><Relationship Id="rId26" Type="http://schemas.openxmlformats.org/officeDocument/2006/relationships/footer" Target="footer13.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header" Target="header8.xml"/><Relationship Id="rId22" Type="http://schemas.openxmlformats.org/officeDocument/2006/relationships/footer" Target="footer11.xml"/><Relationship Id="rId21" Type="http://schemas.openxmlformats.org/officeDocument/2006/relationships/header" Target="header7.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header" Target="header2.xml"/><Relationship Id="rId109" Type="http://schemas.openxmlformats.org/officeDocument/2006/relationships/image" Target="media/image40.png"/><Relationship Id="rId108" Type="http://schemas.openxmlformats.org/officeDocument/2006/relationships/image" Target="media/image39.wmf"/><Relationship Id="rId107" Type="http://schemas.openxmlformats.org/officeDocument/2006/relationships/oleObject" Target="embeddings/oleObject15.bin"/><Relationship Id="rId106" Type="http://schemas.openxmlformats.org/officeDocument/2006/relationships/image" Target="media/image38.wmf"/><Relationship Id="rId105" Type="http://schemas.openxmlformats.org/officeDocument/2006/relationships/oleObject" Target="embeddings/oleObject14.bin"/><Relationship Id="rId104" Type="http://schemas.openxmlformats.org/officeDocument/2006/relationships/image" Target="media/image37.wmf"/><Relationship Id="rId103" Type="http://schemas.openxmlformats.org/officeDocument/2006/relationships/oleObject" Target="embeddings/oleObject13.bin"/><Relationship Id="rId102" Type="http://schemas.openxmlformats.org/officeDocument/2006/relationships/image" Target="media/image36.wmf"/><Relationship Id="rId101" Type="http://schemas.openxmlformats.org/officeDocument/2006/relationships/oleObject" Target="embeddings/oleObject12.bin"/><Relationship Id="rId100" Type="http://schemas.openxmlformats.org/officeDocument/2006/relationships/image" Target="media/image35.wmf"/><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133</Pages>
  <Words>73970</Words>
  <Characters>91916</Characters>
  <Lines>0</Lines>
  <Paragraphs>0</Paragraphs>
  <TotalTime>0</TotalTime>
  <ScaleCrop>false</ScaleCrop>
  <LinksUpToDate>false</LinksUpToDate>
  <CharactersWithSpaces>96422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2022-09-16T05:56:00Z</dcterms:created>
  <dc:creator>dadaHE</dc:creator>
  <cp:lastModifiedBy>dadaHE</cp:lastModifiedBy>
  <dcterms:modified xsi:type="dcterms:W3CDTF">2022-12-04T12:24:04Z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8C908CEF10A44C2680E952ED2ABEA4DE</vt:lpwstr>
  </property>
</Properties>
</file>