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宋体" w:cs="Times New Roman"/>
          <w:color w:val="auto"/>
          <w:sz w:val="44"/>
          <w:szCs w:val="44"/>
          <w:highlight w:val="none"/>
          <w:lang w:eastAsia="zh-CN"/>
        </w:rPr>
      </w:pPr>
      <w:bookmarkStart w:id="236" w:name="_GoBack"/>
      <w:bookmarkEnd w:id="236"/>
      <w:r>
        <w:rPr>
          <w:rFonts w:hint="eastAsia" w:ascii="Times New Roman" w:hAnsi="Times New Roman" w:eastAsia="宋体" w:cs="Times New Roman"/>
          <w:color w:val="auto"/>
          <w:sz w:val="44"/>
          <w:szCs w:val="44"/>
          <w:highlight w:val="none"/>
          <w:lang w:eastAsia="zh-CN"/>
        </w:rPr>
        <w:drawing>
          <wp:inline distT="0" distB="0" distL="114300" distR="114300">
            <wp:extent cx="5269230" cy="7439660"/>
            <wp:effectExtent l="0" t="0" r="7620" b="8890"/>
            <wp:docPr id="1" name="图片 36"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6" descr="888"/>
                    <pic:cNvPicPr>
                      <a:picLocks noChangeAspect="1"/>
                    </pic:cNvPicPr>
                  </pic:nvPicPr>
                  <pic:blipFill>
                    <a:blip r:embed="rId6"/>
                    <a:stretch>
                      <a:fillRect/>
                    </a:stretch>
                  </pic:blipFill>
                  <pic:spPr>
                    <a:xfrm>
                      <a:off x="0" y="0"/>
                      <a:ext cx="5269230" cy="7439660"/>
                    </a:xfrm>
                    <a:prstGeom prst="rect">
                      <a:avLst/>
                    </a:prstGeom>
                    <a:noFill/>
                    <a:ln>
                      <a:noFill/>
                    </a:ln>
                  </pic:spPr>
                </pic:pic>
              </a:graphicData>
            </a:graphic>
          </wp:inline>
        </w:drawing>
      </w:r>
    </w:p>
    <w:p>
      <w:pPr>
        <w:keepNext w:val="0"/>
        <w:keepLines w:val="0"/>
        <w:widowControl/>
        <w:suppressLineNumbers w:val="0"/>
        <w:jc w:val="both"/>
        <w:rPr>
          <w:rFonts w:hint="default" w:ascii="Times New Roman" w:hAnsi="Times New Roman" w:cs="Times New Roman"/>
          <w:color w:val="auto"/>
          <w:sz w:val="44"/>
          <w:szCs w:val="44"/>
          <w:highlight w:val="none"/>
          <w:lang w:eastAsia="zh-CN"/>
        </w:rPr>
      </w:pPr>
      <w:r>
        <w:rPr>
          <w:rFonts w:hint="default" w:ascii="Times New Roman" w:hAnsi="Times New Roman" w:cs="Times New Roman"/>
          <w:color w:val="auto"/>
          <w:sz w:val="44"/>
          <w:szCs w:val="44"/>
          <w:highlight w:val="none"/>
          <w:lang w:eastAsia="zh-CN"/>
        </w:rPr>
        <w:drawing>
          <wp:inline distT="0" distB="0" distL="114300" distR="114300">
            <wp:extent cx="5269230" cy="7439660"/>
            <wp:effectExtent l="0" t="0" r="7620" b="8890"/>
            <wp:docPr id="2" name="图片 60"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0" descr="999"/>
                    <pic:cNvPicPr>
                      <a:picLocks noChangeAspect="1"/>
                    </pic:cNvPicPr>
                  </pic:nvPicPr>
                  <pic:blipFill>
                    <a:blip r:embed="rId7"/>
                    <a:stretch>
                      <a:fillRect/>
                    </a:stretch>
                  </pic:blipFill>
                  <pic:spPr>
                    <a:xfrm>
                      <a:off x="0" y="0"/>
                      <a:ext cx="5269230" cy="7439660"/>
                    </a:xfrm>
                    <a:prstGeom prst="rect">
                      <a:avLst/>
                    </a:prstGeom>
                    <a:noFill/>
                    <a:ln>
                      <a:noFill/>
                    </a:ln>
                  </pic:spPr>
                </pic:pic>
              </a:graphicData>
            </a:graphic>
          </wp:inline>
        </w:drawing>
      </w:r>
    </w:p>
    <w:p>
      <w:pPr>
        <w:rPr>
          <w:rFonts w:hint="eastAsia" w:ascii="Times New Roman" w:hAnsi="Times New Roman" w:eastAsia="宋体" w:cs="Times New Roman"/>
          <w:b/>
          <w:bCs/>
          <w:caps w:val="0"/>
          <w:smallCaps w:val="0"/>
          <w:color w:val="auto"/>
          <w:spacing w:val="0"/>
          <w:w w:val="100"/>
          <w:sz w:val="32"/>
          <w:szCs w:val="32"/>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auto"/>
          <w:kern w:val="0"/>
          <w:sz w:val="28"/>
          <w:szCs w:val="28"/>
          <w:highlight w:val="none"/>
          <w:lang w:val="en-US" w:eastAsia="zh-CN" w:bidi="ar"/>
        </w:rPr>
        <w:br w:type="page"/>
      </w:r>
    </w:p>
    <w:p>
      <w:pPr>
        <w:jc w:val="center"/>
        <w:rPr>
          <w:rFonts w:hint="eastAsia" w:ascii="Times New Roman" w:hAnsi="Times New Roman" w:eastAsia="宋体" w:cs="Times New Roman"/>
          <w:b/>
          <w:bCs/>
          <w:caps w:val="0"/>
          <w:smallCaps w:val="0"/>
          <w:color w:val="auto"/>
          <w:spacing w:val="0"/>
          <w:w w:val="100"/>
          <w:sz w:val="32"/>
          <w:szCs w:val="32"/>
          <w:highlight w:val="none"/>
          <w:lang w:val="en-US" w:eastAsia="zh-CN"/>
        </w:rPr>
      </w:pPr>
      <w:r>
        <w:rPr>
          <w:rFonts w:hint="eastAsia" w:ascii="Times New Roman" w:hAnsi="Times New Roman" w:eastAsia="宋体" w:cs="Times New Roman"/>
          <w:b/>
          <w:bCs/>
          <w:caps w:val="0"/>
          <w:smallCaps w:val="0"/>
          <w:color w:val="auto"/>
          <w:spacing w:val="0"/>
          <w:w w:val="100"/>
          <w:sz w:val="32"/>
          <w:szCs w:val="32"/>
          <w:highlight w:val="none"/>
          <w:lang w:val="en-US" w:eastAsia="zh-CN"/>
        </w:rPr>
        <w:t>目    录</w:t>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TOC \o "1-3" \h \u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_Toc25473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sz w:val="24"/>
          <w:szCs w:val="24"/>
          <w:highlight w:val="none"/>
          <w:lang w:val="en-US" w:eastAsia="zh-CN"/>
        </w:rPr>
        <w:t>第一章   概述</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_Toc25473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_Toc23268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1.1建设项目由来</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_Toc23268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_Toc23666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1.2建设项目特点</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_Toc23666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_Toc20882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1.3环境影响评价的工作过程</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_Toc20882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_Toc12806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1.4分析判定相关情况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_Toc12806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_Toc2464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1.5关注的主要环境问题及环境影响</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_Toc2464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_Toc11937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1.6环境影响评价的主要结论</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_Toc11937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36</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_Toc14371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sz w:val="24"/>
          <w:szCs w:val="24"/>
          <w:highlight w:val="none"/>
          <w:lang w:val="en-US" w:eastAsia="zh-CN"/>
        </w:rPr>
        <w:t>第二章   总则</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_Toc14371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_Toc32316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2.1编制依据</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_Toc32316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37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_Toc26833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2.2评价目的及原则</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_Toc26833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42</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_Toc10018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2.3环境影响识别与评价因子筛选</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_Toc10018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43</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_Toc11604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2.4环境功能区划及环境评价标准</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_Toc11604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_Toc4258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aps w:val="0"/>
          <w:smallCaps w:val="0"/>
          <w:color w:val="auto"/>
          <w:spacing w:val="0"/>
          <w:w w:val="100"/>
          <w:kern w:val="0"/>
          <w:sz w:val="24"/>
          <w:szCs w:val="24"/>
          <w:highlight w:val="none"/>
          <w:lang w:val="en-US" w:eastAsia="zh-CN" w:bidi="ar-SA"/>
        </w:rPr>
        <w:t>2.6评价范围及环境保护目标</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_Toc4258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59</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_Toc28842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aps w:val="0"/>
          <w:smallCaps w:val="0"/>
          <w:color w:val="auto"/>
          <w:spacing w:val="0"/>
          <w:w w:val="100"/>
          <w:kern w:val="0"/>
          <w:sz w:val="24"/>
          <w:szCs w:val="24"/>
          <w:highlight w:val="none"/>
          <w:lang w:val="en-US" w:eastAsia="zh-CN" w:bidi="ar-SA"/>
        </w:rPr>
        <w:t>2.7评价工作内容及重点</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_Toc28842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64</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_Toc6009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aps w:val="0"/>
          <w:smallCaps w:val="0"/>
          <w:color w:val="auto"/>
          <w:spacing w:val="0"/>
          <w:w w:val="100"/>
          <w:sz w:val="24"/>
          <w:szCs w:val="24"/>
          <w:highlight w:val="none"/>
          <w:lang w:val="en-US" w:eastAsia="zh-CN"/>
        </w:rPr>
        <w:t>第三章   建设项目工程分析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_Toc6009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_Toc21642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aps w:val="0"/>
          <w:smallCaps w:val="0"/>
          <w:color w:val="auto"/>
          <w:spacing w:val="0"/>
          <w:w w:val="100"/>
          <w:kern w:val="0"/>
          <w:sz w:val="24"/>
          <w:szCs w:val="24"/>
          <w:highlight w:val="none"/>
          <w:lang w:val="en-US" w:eastAsia="zh-CN" w:bidi="ar-SA"/>
        </w:rPr>
        <w:t>3.1建设项目概况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_Toc21642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_Toc27376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3.2区域回顾性评价及现存环境问题</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_Toc27376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98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_Toc29422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3.3公用工程</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_Toc29422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103</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_Toc17543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3.4影响因素分析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_Toc17543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107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_Toc5936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sz w:val="24"/>
          <w:szCs w:val="24"/>
          <w:highlight w:val="none"/>
          <w:lang w:val="en-US" w:eastAsia="zh-CN"/>
        </w:rPr>
        <w:t>第四章   环境现状调查与评价</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_Toc5936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121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_Toc31812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4.1自然环境现状调查与评价</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_Toc31812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121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_Toc23440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4.2环境质量现状调查与评价</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_Toc23440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127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_Toc24839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4.3环境保护目标调查</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_Toc24839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153</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_Toc14785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4.4区域环境污染源调查</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_Toc14785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154</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_Toc15012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sz w:val="24"/>
          <w:szCs w:val="24"/>
          <w:highlight w:val="none"/>
          <w:lang w:val="en-US" w:eastAsia="zh-CN"/>
        </w:rPr>
        <w:t>第五章   环境影响预测与评价</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_Toc15012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155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_Toc882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5.1大气环境影响分析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_Toc882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155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_Toc16535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5.2地表水环境影响分析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_Toc16535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158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_Toc5293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5.3地下水环境影响预测与评价</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_Toc5293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160</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_Toc16207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5.4声环境影响预测与评价</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_Toc16207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172</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_Toc11880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5.5固体废物环境影响分析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_Toc11880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174</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_Toc10507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5.6土壤环境影响预测与评价</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_Toc10507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176</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_Toc25223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5.7生态影响评价</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_Toc25223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179</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_Toc30295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5.8环境风险分析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_Toc30295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186</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_Toc1229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sz w:val="24"/>
          <w:szCs w:val="24"/>
          <w:highlight w:val="none"/>
          <w:lang w:val="en-US" w:eastAsia="zh-CN"/>
        </w:rPr>
        <w:t>第六章   环境保护措施及可行性论证</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_Toc1229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198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_Toc7078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6.1污染防治措施</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_Toc7078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198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_Toc28829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6.2“三同时”项目一览表</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_Toc28829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225</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_Toc17573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6.3环保投资估算</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_Toc17573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228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_Toc12661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sz w:val="24"/>
          <w:szCs w:val="24"/>
          <w:highlight w:val="none"/>
          <w:lang w:val="en-US" w:eastAsia="zh-CN"/>
        </w:rPr>
        <w:t>第七章   环境影响经济损益分析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_Toc12661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230</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_Toc19257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7.1经济效益分析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_Toc19257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230</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_Toc19591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7.2环境损失费估算</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_Toc19591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230</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_Toc20286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7.3社会效益分析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_Toc20286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231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_Toc7138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7.4分析结论</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_Toc7138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231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_Toc15755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sz w:val="24"/>
          <w:szCs w:val="24"/>
          <w:highlight w:val="none"/>
          <w:lang w:val="en-US" w:eastAsia="zh-CN"/>
        </w:rPr>
        <w:t>第八章   环境管理与监测计划</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_Toc15755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232</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_Toc28672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8.1环境管理</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_Toc28672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232</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_Toc18373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8.2环境监控</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_Toc18373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234</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_Toc4795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sz w:val="24"/>
          <w:szCs w:val="24"/>
          <w:highlight w:val="none"/>
          <w:lang w:val="en-US" w:eastAsia="zh-CN"/>
        </w:rPr>
        <w:t>第九章   环境影响评价结论</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_Toc4795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_Toc7165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9.1工程概况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_Toc7165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_Toc24309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9.2环境质量现状</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_Toc24309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241</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_Toc25152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9.3环境影响分析和污染防治措施可行性结论</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_Toc25152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243</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_Toc31353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9.3公众意见采纳情况</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_Toc31353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_Toc30574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9.4环境影响经济损益分析</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_Toc30574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_Toc27612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9.5环境管理与监测计划</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_Toc27612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_Toc22559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bCs/>
          <w:caps w:val="0"/>
          <w:smallCaps w:val="0"/>
          <w:color w:val="auto"/>
          <w:spacing w:val="0"/>
          <w:w w:val="100"/>
          <w:kern w:val="0"/>
          <w:sz w:val="24"/>
          <w:szCs w:val="24"/>
          <w:highlight w:val="none"/>
          <w:lang w:val="en-US" w:eastAsia="zh-CN" w:bidi="ar-SA"/>
        </w:rPr>
        <w:t>9.6综合结论</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_Toc22559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249</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_Toc21604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aps w:val="0"/>
          <w:smallCaps w:val="0"/>
          <w:color w:val="auto"/>
          <w:spacing w:val="0"/>
          <w:w w:val="100"/>
          <w:kern w:val="44"/>
          <w:sz w:val="24"/>
          <w:szCs w:val="24"/>
          <w:highlight w:val="none"/>
          <w:lang w:val="zh-CN"/>
        </w:rPr>
        <w:t>附表一    大气环境影响评价自查表</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_Toc21604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250</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_Toc861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aps w:val="0"/>
          <w:smallCaps w:val="0"/>
          <w:color w:val="auto"/>
          <w:spacing w:val="0"/>
          <w:w w:val="100"/>
          <w:kern w:val="44"/>
          <w:sz w:val="24"/>
          <w:szCs w:val="24"/>
          <w:highlight w:val="none"/>
          <w:lang w:val="zh-CN"/>
        </w:rPr>
        <w:t>附表二    地表水环境影响评价自查表</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_Toc861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252</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_Toc5703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aps w:val="0"/>
          <w:smallCaps w:val="0"/>
          <w:color w:val="auto"/>
          <w:spacing w:val="0"/>
          <w:w w:val="100"/>
          <w:kern w:val="44"/>
          <w:sz w:val="24"/>
          <w:szCs w:val="24"/>
          <w:highlight w:val="none"/>
          <w:lang w:val="zh-CN"/>
        </w:rPr>
        <w:t>附表</w:t>
      </w:r>
      <w:r>
        <w:rPr>
          <w:rFonts w:hint="default" w:ascii="Times New Roman" w:hAnsi="Times New Roman" w:eastAsia="宋体" w:cs="Times New Roman"/>
          <w:caps w:val="0"/>
          <w:smallCaps w:val="0"/>
          <w:color w:val="auto"/>
          <w:spacing w:val="0"/>
          <w:w w:val="100"/>
          <w:kern w:val="44"/>
          <w:sz w:val="24"/>
          <w:szCs w:val="24"/>
          <w:highlight w:val="none"/>
          <w:lang w:val="en-US" w:eastAsia="zh-CN"/>
        </w:rPr>
        <w:t>三</w:t>
      </w:r>
      <w:r>
        <w:rPr>
          <w:rFonts w:hint="default" w:ascii="Times New Roman" w:hAnsi="Times New Roman" w:eastAsia="宋体" w:cs="Times New Roman"/>
          <w:caps w:val="0"/>
          <w:smallCaps w:val="0"/>
          <w:color w:val="auto"/>
          <w:spacing w:val="0"/>
          <w:w w:val="100"/>
          <w:kern w:val="44"/>
          <w:sz w:val="24"/>
          <w:szCs w:val="24"/>
          <w:highlight w:val="none"/>
          <w:lang w:val="zh-CN"/>
        </w:rPr>
        <w:t xml:space="preserve">   声环境影响评价自查表</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_Toc5703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257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_Toc7290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aps w:val="0"/>
          <w:smallCaps w:val="0"/>
          <w:color w:val="auto"/>
          <w:spacing w:val="0"/>
          <w:w w:val="100"/>
          <w:kern w:val="44"/>
          <w:sz w:val="24"/>
          <w:szCs w:val="24"/>
          <w:highlight w:val="none"/>
          <w:lang w:val="zh-CN"/>
        </w:rPr>
        <w:t>附表</w:t>
      </w:r>
      <w:r>
        <w:rPr>
          <w:rFonts w:hint="default" w:ascii="Times New Roman" w:hAnsi="Times New Roman" w:eastAsia="宋体" w:cs="Times New Roman"/>
          <w:caps w:val="0"/>
          <w:smallCaps w:val="0"/>
          <w:color w:val="auto"/>
          <w:spacing w:val="0"/>
          <w:w w:val="100"/>
          <w:kern w:val="44"/>
          <w:sz w:val="24"/>
          <w:szCs w:val="24"/>
          <w:highlight w:val="none"/>
          <w:lang w:val="en-US" w:eastAsia="zh-CN"/>
        </w:rPr>
        <w:t>四</w:t>
      </w:r>
      <w:r>
        <w:rPr>
          <w:rFonts w:hint="default" w:ascii="Times New Roman" w:hAnsi="Times New Roman" w:eastAsia="宋体" w:cs="Times New Roman"/>
          <w:caps w:val="0"/>
          <w:smallCaps w:val="0"/>
          <w:color w:val="auto"/>
          <w:spacing w:val="0"/>
          <w:w w:val="100"/>
          <w:kern w:val="44"/>
          <w:sz w:val="24"/>
          <w:szCs w:val="24"/>
          <w:highlight w:val="none"/>
          <w:lang w:val="zh-CN"/>
        </w:rPr>
        <w:t xml:space="preserve">   环境风险评价自查表</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_Toc7290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258</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_Toc12734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aps w:val="0"/>
          <w:smallCaps w:val="0"/>
          <w:color w:val="auto"/>
          <w:spacing w:val="0"/>
          <w:w w:val="100"/>
          <w:kern w:val="44"/>
          <w:sz w:val="24"/>
          <w:szCs w:val="24"/>
          <w:highlight w:val="none"/>
          <w:lang w:val="zh-CN"/>
        </w:rPr>
        <w:t>附表</w:t>
      </w:r>
      <w:r>
        <w:rPr>
          <w:rFonts w:hint="default" w:ascii="Times New Roman" w:hAnsi="Times New Roman" w:eastAsia="宋体" w:cs="Times New Roman"/>
          <w:caps w:val="0"/>
          <w:smallCaps w:val="0"/>
          <w:color w:val="auto"/>
          <w:spacing w:val="0"/>
          <w:w w:val="100"/>
          <w:kern w:val="44"/>
          <w:sz w:val="24"/>
          <w:szCs w:val="24"/>
          <w:highlight w:val="none"/>
          <w:lang w:val="en-US" w:eastAsia="zh-CN"/>
        </w:rPr>
        <w:t>五</w:t>
      </w:r>
      <w:r>
        <w:rPr>
          <w:rFonts w:hint="default" w:ascii="Times New Roman" w:hAnsi="Times New Roman" w:eastAsia="宋体" w:cs="Times New Roman"/>
          <w:caps w:val="0"/>
          <w:smallCaps w:val="0"/>
          <w:color w:val="auto"/>
          <w:spacing w:val="0"/>
          <w:w w:val="100"/>
          <w:kern w:val="44"/>
          <w:sz w:val="24"/>
          <w:szCs w:val="24"/>
          <w:highlight w:val="none"/>
          <w:lang w:val="zh-CN"/>
        </w:rPr>
        <w:t xml:space="preserve">   土壤环境影响评价自查表</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_Toc12734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260</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4"/>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\l _Toc3149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aps w:val="0"/>
          <w:smallCaps w:val="0"/>
          <w:color w:val="auto"/>
          <w:spacing w:val="0"/>
          <w:w w:val="100"/>
          <w:kern w:val="44"/>
          <w:sz w:val="24"/>
          <w:szCs w:val="24"/>
          <w:highlight w:val="none"/>
          <w:lang w:val="zh-CN"/>
        </w:rPr>
        <w:t>附表五   生态影响评价自查表</w:t>
      </w:r>
      <w:r>
        <w:rPr>
          <w:rFonts w:hint="default" w:ascii="Times New Roman" w:hAnsi="Times New Roman" w:eastAsia="宋体" w:cs="Times New Roman"/>
          <w:color w:val="auto"/>
          <w:sz w:val="24"/>
          <w:szCs w:val="24"/>
          <w:highlight w:val="none"/>
        </w:rPr>
        <w:tab/>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PAGEREF _Toc3149 \h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262</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fldChar w:fldCharType="end"/>
      </w:r>
    </w:p>
    <w:p>
      <w:pPr>
        <w:pStyle w:val="17"/>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end"/>
      </w:r>
    </w:p>
    <w:p>
      <w:pPr>
        <w:pStyle w:val="5"/>
        <w:keepNext w:val="0"/>
        <w:keepLines w:val="0"/>
        <w:pageBreakBefore w:val="0"/>
        <w:numPr>
          <w:ilvl w:val="0"/>
          <w:numId w:val="0"/>
        </w:numPr>
        <w:tabs>
          <w:tab w:val="left" w:pos="1080"/>
        </w:tabs>
        <w:bidi w:val="0"/>
        <w:adjustRightInd w:val="0"/>
        <w:snapToGrid w:val="0"/>
        <w:spacing w:before="240" w:after="0" w:line="360" w:lineRule="auto"/>
        <w:ind w:left="0" w:firstLine="0" w:firstLineChars="0"/>
        <w:jc w:val="center"/>
        <w:rPr>
          <w:rFonts w:hint="eastAsia" w:ascii="Times New Roman" w:hAnsi="Times New Roman" w:eastAsia="宋体" w:cs="Times New Roman"/>
          <w:b/>
          <w:bCs/>
          <w:caps w:val="0"/>
          <w:smallCaps w:val="0"/>
          <w:color w:val="auto"/>
          <w:spacing w:val="0"/>
          <w:w w:val="100"/>
          <w:sz w:val="32"/>
          <w:szCs w:val="32"/>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0" w:name="_Toc25473"/>
    </w:p>
    <w:p>
      <w:pPr>
        <w:pStyle w:val="5"/>
        <w:keepNext w:val="0"/>
        <w:keepLines w:val="0"/>
        <w:pageBreakBefore w:val="0"/>
        <w:numPr>
          <w:ilvl w:val="0"/>
          <w:numId w:val="0"/>
        </w:numPr>
        <w:tabs>
          <w:tab w:val="left" w:pos="1080"/>
        </w:tabs>
        <w:bidi w:val="0"/>
        <w:adjustRightInd w:val="0"/>
        <w:snapToGrid w:val="0"/>
        <w:spacing w:before="240" w:after="0" w:line="360" w:lineRule="auto"/>
        <w:ind w:left="0" w:firstLine="0" w:firstLineChars="0"/>
        <w:jc w:val="center"/>
        <w:rPr>
          <w:rFonts w:hint="default" w:ascii="Times New Roman" w:hAnsi="Times New Roman" w:eastAsia="宋体" w:cs="Times New Roman"/>
          <w:b/>
          <w:bCs/>
          <w:caps w:val="0"/>
          <w:smallCaps w:val="0"/>
          <w:color w:val="auto"/>
          <w:spacing w:val="0"/>
          <w:w w:val="100"/>
          <w:sz w:val="32"/>
          <w:szCs w:val="32"/>
          <w:highlight w:val="none"/>
          <w:lang w:val="en-US" w:eastAsia="zh-CN"/>
        </w:rPr>
      </w:pPr>
      <w:r>
        <w:rPr>
          <w:rFonts w:hint="eastAsia" w:ascii="Times New Roman" w:hAnsi="Times New Roman" w:eastAsia="宋体" w:cs="Times New Roman"/>
          <w:b/>
          <w:bCs/>
          <w:caps w:val="0"/>
          <w:smallCaps w:val="0"/>
          <w:color w:val="auto"/>
          <w:spacing w:val="0"/>
          <w:w w:val="100"/>
          <w:sz w:val="32"/>
          <w:szCs w:val="32"/>
          <w:highlight w:val="none"/>
          <w:lang w:val="en-US" w:eastAsia="zh-CN"/>
        </w:rPr>
        <w:t xml:space="preserve">第一章   </w:t>
      </w:r>
      <w:r>
        <w:rPr>
          <w:rFonts w:hint="default" w:ascii="Times New Roman" w:hAnsi="Times New Roman" w:eastAsia="宋体" w:cs="Times New Roman"/>
          <w:b/>
          <w:bCs/>
          <w:caps w:val="0"/>
          <w:smallCaps w:val="0"/>
          <w:color w:val="auto"/>
          <w:spacing w:val="0"/>
          <w:w w:val="100"/>
          <w:sz w:val="32"/>
          <w:szCs w:val="32"/>
          <w:highlight w:val="none"/>
          <w:lang w:val="en-US" w:eastAsia="zh-CN"/>
        </w:rPr>
        <w:t>概述</w:t>
      </w:r>
      <w:bookmarkEnd w:id="0"/>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 w:name="_Toc23268"/>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1.1建设项目由来</w:t>
      </w:r>
      <w:bookmarkEnd w:id="1"/>
    </w:p>
    <w:p>
      <w:pPr>
        <w:pageBreakBefore w:val="0"/>
        <w:widowControl w:val="0"/>
        <w:bidi w:val="0"/>
        <w:adjustRightInd w:val="0"/>
        <w:snapToGrid w:val="0"/>
        <w:spacing w:line="360" w:lineRule="auto"/>
        <w:ind w:firstLine="560" w:firstLineChars="200"/>
        <w:jc w:val="both"/>
        <w:rPr>
          <w:rFonts w:hint="default" w:ascii="Times New Roman" w:hAnsi="Times New Roman" w:eastAsia="宋体" w:cs="Times New Roman"/>
          <w:caps w:val="0"/>
          <w:smallCaps w:val="0"/>
          <w:color w:val="auto"/>
          <w:spacing w:val="0"/>
          <w:w w:val="100"/>
          <w:kern w:val="0"/>
          <w:sz w:val="28"/>
          <w:szCs w:val="28"/>
          <w:highlight w:val="none"/>
          <w:lang w:val="en-US" w:eastAsia="zh-CN"/>
        </w:rPr>
      </w:pPr>
      <w:r>
        <w:rPr>
          <w:rFonts w:hint="default" w:ascii="Times New Roman" w:hAnsi="Times New Roman" w:eastAsia="宋体" w:cs="Times New Roman"/>
          <w:caps w:val="0"/>
          <w:smallCaps w:val="0"/>
          <w:color w:val="auto"/>
          <w:spacing w:val="0"/>
          <w:w w:val="100"/>
          <w:kern w:val="0"/>
          <w:sz w:val="28"/>
          <w:szCs w:val="28"/>
          <w:highlight w:val="none"/>
          <w:lang w:val="en-US" w:eastAsia="zh-CN"/>
        </w:rPr>
        <w:t>根据《黑龙江省国民经济和社会发展第十四个五年规划和2035年远景目标纲要》、《大庆市国民经济和社会发展第十四个五年规划和二O三五年远景目标纲要》和《大庆油田振兴发展纲要（2020）版》等相关政策规划：积极推动</w:t>
      </w:r>
      <w:r>
        <w:rPr>
          <w:rFonts w:hint="eastAsia" w:ascii="Times New Roman" w:hAnsi="Times New Roman" w:eastAsia="宋体" w:cs="Times New Roman"/>
          <w:caps w:val="0"/>
          <w:smallCaps w:val="0"/>
          <w:color w:val="auto"/>
          <w:spacing w:val="0"/>
          <w:w w:val="100"/>
          <w:kern w:val="0"/>
          <w:sz w:val="28"/>
          <w:szCs w:val="28"/>
          <w:highlight w:val="none"/>
          <w:lang w:val="en-US" w:eastAsia="zh-CN"/>
        </w:rPr>
        <w:t>“</w:t>
      </w:r>
      <w:r>
        <w:rPr>
          <w:rFonts w:hint="default" w:ascii="Times New Roman" w:hAnsi="Times New Roman" w:eastAsia="宋体" w:cs="Times New Roman"/>
          <w:caps w:val="0"/>
          <w:smallCaps w:val="0"/>
          <w:color w:val="auto"/>
          <w:spacing w:val="0"/>
          <w:w w:val="100"/>
          <w:kern w:val="0"/>
          <w:sz w:val="28"/>
          <w:szCs w:val="28"/>
          <w:highlight w:val="none"/>
          <w:lang w:val="en-US" w:eastAsia="zh-CN"/>
        </w:rPr>
        <w:t>百年油田</w:t>
      </w:r>
      <w:r>
        <w:rPr>
          <w:rFonts w:hint="eastAsia" w:ascii="Times New Roman" w:hAnsi="Times New Roman" w:eastAsia="宋体" w:cs="Times New Roman"/>
          <w:caps w:val="0"/>
          <w:smallCaps w:val="0"/>
          <w:color w:val="auto"/>
          <w:spacing w:val="0"/>
          <w:w w:val="100"/>
          <w:kern w:val="0"/>
          <w:sz w:val="28"/>
          <w:szCs w:val="28"/>
          <w:highlight w:val="none"/>
          <w:lang w:val="en-US" w:eastAsia="zh-CN"/>
        </w:rPr>
        <w:t>”</w:t>
      </w:r>
      <w:r>
        <w:rPr>
          <w:rFonts w:hint="default" w:ascii="Times New Roman" w:hAnsi="Times New Roman" w:eastAsia="宋体" w:cs="Times New Roman"/>
          <w:caps w:val="0"/>
          <w:smallCaps w:val="0"/>
          <w:color w:val="auto"/>
          <w:spacing w:val="0"/>
          <w:w w:val="100"/>
          <w:kern w:val="0"/>
          <w:sz w:val="28"/>
          <w:szCs w:val="28"/>
          <w:highlight w:val="none"/>
          <w:lang w:val="en-US" w:eastAsia="zh-CN"/>
        </w:rPr>
        <w:t>建设，支持大庆油田常规油气资源稳油增气；力争到2025年，天然气产量达到70亿立方米以上。储气库年工作气量达到30亿立方米以上</w:t>
      </w:r>
      <w:r>
        <w:rPr>
          <w:rFonts w:hint="default" w:ascii="Times New Roman" w:hAnsi="Times New Roman" w:eastAsia="宋体" w:cs="Times New Roman"/>
          <w:caps w:val="0"/>
          <w:smallCaps w:val="0"/>
          <w:color w:val="auto"/>
          <w:spacing w:val="0"/>
          <w:w w:val="100"/>
          <w:kern w:val="0"/>
          <w:sz w:val="28"/>
          <w:szCs w:val="28"/>
          <w:highlight w:val="none"/>
          <w:lang w:eastAsia="zh-CN"/>
        </w:rPr>
        <w:t>；</w:t>
      </w:r>
      <w:r>
        <w:rPr>
          <w:rFonts w:hint="default" w:ascii="Times New Roman" w:hAnsi="Times New Roman" w:eastAsia="宋体" w:cs="Times New Roman"/>
          <w:caps w:val="0"/>
          <w:smallCaps w:val="0"/>
          <w:color w:val="auto"/>
          <w:spacing w:val="0"/>
          <w:w w:val="100"/>
          <w:kern w:val="0"/>
          <w:sz w:val="28"/>
          <w:szCs w:val="28"/>
          <w:highlight w:val="none"/>
          <w:lang w:val="en-US" w:eastAsia="zh-CN"/>
        </w:rPr>
        <w:t>支持油田打好提质增效攻坚战，全力服务保障油田，重点围绕长垣、长垣外围地区，做好加强勘探增资源、提高长垣采收率、有效动用难采储量和加快发展天然气产业四方面工作。</w:t>
      </w:r>
    </w:p>
    <w:p>
      <w:pPr>
        <w:pageBreakBefore w:val="0"/>
        <w:widowControl w:val="0"/>
        <w:bidi w:val="0"/>
        <w:adjustRightInd w:val="0"/>
        <w:snapToGrid w:val="0"/>
        <w:spacing w:line="360" w:lineRule="auto"/>
        <w:ind w:firstLine="560" w:firstLineChars="200"/>
        <w:jc w:val="both"/>
        <w:rPr>
          <w:rFonts w:hint="default" w:ascii="Times New Roman" w:hAnsi="Times New Roman" w:eastAsia="宋体" w:cs="Times New Roman"/>
          <w:caps w:val="0"/>
          <w:smallCaps w:val="0"/>
          <w:color w:val="auto"/>
          <w:spacing w:val="0"/>
          <w:w w:val="100"/>
          <w:kern w:val="0"/>
          <w:sz w:val="28"/>
          <w:szCs w:val="28"/>
          <w:highlight w:val="none"/>
          <w:lang w:val="en-US" w:eastAsia="zh-CN"/>
        </w:rPr>
      </w:pPr>
      <w:r>
        <w:rPr>
          <w:rFonts w:hint="default" w:ascii="Times New Roman" w:hAnsi="Times New Roman" w:eastAsia="宋体" w:cs="Times New Roman"/>
          <w:caps w:val="0"/>
          <w:smallCaps w:val="0"/>
          <w:color w:val="auto"/>
          <w:spacing w:val="0"/>
          <w:w w:val="100"/>
          <w:kern w:val="0"/>
          <w:sz w:val="28"/>
          <w:szCs w:val="28"/>
          <w:highlight w:val="none"/>
          <w:lang w:val="en-US" w:eastAsia="zh-CN"/>
        </w:rPr>
        <w:t>为满足大庆油田发展要求，保证大庆油田年油气产量，大庆油田有限责任公司采气分公司计划在大庆市肇州县境内已开发的肇深16区块新建天然气开发井3口。</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 w:name="_Toc23666"/>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1.2建设项目特点</w:t>
      </w:r>
      <w:bookmarkEnd w:id="2"/>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8"/>
          <w:szCs w:val="28"/>
          <w:highlight w:val="none"/>
          <w:lang w:val="en-US" w:eastAsia="zh-CN"/>
        </w:rPr>
      </w:pPr>
      <w:r>
        <w:rPr>
          <w:rFonts w:hint="default" w:ascii="Times New Roman" w:hAnsi="Times New Roman" w:eastAsia="宋体" w:cs="Times New Roman"/>
          <w:caps w:val="0"/>
          <w:smallCaps w:val="0"/>
          <w:color w:val="auto"/>
          <w:spacing w:val="0"/>
          <w:w w:val="100"/>
          <w:kern w:val="0"/>
          <w:sz w:val="28"/>
          <w:szCs w:val="28"/>
          <w:highlight w:val="none"/>
          <w:lang w:val="en-US" w:eastAsia="zh-CN"/>
        </w:rPr>
        <w:t>1.2.1项目建设特点</w:t>
      </w:r>
    </w:p>
    <w:p>
      <w:pPr>
        <w:pageBreakBefore w:val="0"/>
        <w:widowControl w:val="0"/>
        <w:bidi w:val="0"/>
        <w:adjustRightInd w:val="0"/>
        <w:snapToGrid w:val="0"/>
        <w:spacing w:line="360" w:lineRule="auto"/>
        <w:ind w:firstLine="560" w:firstLineChars="200"/>
        <w:jc w:val="both"/>
        <w:rPr>
          <w:rFonts w:hint="default" w:ascii="Times New Roman" w:hAnsi="Times New Roman" w:eastAsia="宋体" w:cs="Times New Roman"/>
          <w:caps w:val="0"/>
          <w:smallCaps w:val="0"/>
          <w:color w:val="auto"/>
          <w:spacing w:val="0"/>
          <w:w w:val="100"/>
          <w:kern w:val="0"/>
          <w:sz w:val="28"/>
          <w:szCs w:val="28"/>
          <w:highlight w:val="none"/>
          <w:lang w:val="en-US" w:eastAsia="zh-CN"/>
        </w:rPr>
      </w:pPr>
      <w:r>
        <w:rPr>
          <w:rFonts w:hint="default" w:ascii="Times New Roman" w:hAnsi="Times New Roman" w:eastAsia="宋体" w:cs="Times New Roman"/>
          <w:caps w:val="0"/>
          <w:smallCaps w:val="0"/>
          <w:color w:val="auto"/>
          <w:spacing w:val="0"/>
          <w:w w:val="100"/>
          <w:kern w:val="0"/>
          <w:sz w:val="28"/>
          <w:szCs w:val="28"/>
          <w:highlight w:val="none"/>
          <w:lang w:val="en-US" w:eastAsia="zh-CN"/>
        </w:rPr>
        <w:t>本</w:t>
      </w:r>
      <w:r>
        <w:rPr>
          <w:rFonts w:hint="eastAsia" w:ascii="Times New Roman" w:hAnsi="Times New Roman" w:eastAsia="宋体" w:cs="Times New Roman"/>
          <w:caps w:val="0"/>
          <w:smallCaps w:val="0"/>
          <w:color w:val="auto"/>
          <w:spacing w:val="0"/>
          <w:w w:val="100"/>
          <w:kern w:val="0"/>
          <w:sz w:val="28"/>
          <w:szCs w:val="28"/>
          <w:highlight w:val="none"/>
          <w:lang w:val="en-US" w:eastAsia="zh-CN"/>
        </w:rPr>
        <w:t>项目</w:t>
      </w:r>
      <w:r>
        <w:rPr>
          <w:rFonts w:hint="default" w:ascii="Times New Roman" w:hAnsi="Times New Roman" w:eastAsia="宋体" w:cs="Times New Roman"/>
          <w:caps w:val="0"/>
          <w:smallCaps w:val="0"/>
          <w:color w:val="auto"/>
          <w:spacing w:val="0"/>
          <w:w w:val="100"/>
          <w:kern w:val="0"/>
          <w:sz w:val="28"/>
          <w:szCs w:val="28"/>
          <w:highlight w:val="none"/>
          <w:lang w:val="en-US" w:eastAsia="zh-CN"/>
        </w:rPr>
        <w:t>规划在已开发肇深16区块新钻3口天然气开发井，</w:t>
      </w:r>
      <w:r>
        <w:rPr>
          <w:rFonts w:hint="eastAsia" w:ascii="Times New Roman" w:hAnsi="Times New Roman" w:eastAsia="宋体" w:cs="Times New Roman"/>
          <w:caps w:val="0"/>
          <w:smallCaps w:val="0"/>
          <w:color w:val="auto"/>
          <w:spacing w:val="0"/>
          <w:w w:val="100"/>
          <w:kern w:val="0"/>
          <w:sz w:val="28"/>
          <w:szCs w:val="28"/>
          <w:highlight w:val="none"/>
          <w:lang w:val="en-US" w:eastAsia="zh-CN"/>
        </w:rPr>
        <w:t>设计完钻垂深3356.31～3690m，设计完钻斜深3761～4607m，1口为</w:t>
      </w:r>
      <w:r>
        <w:rPr>
          <w:rFonts w:hint="default" w:ascii="Times New Roman" w:hAnsi="Times New Roman" w:eastAsia="宋体" w:cs="Times New Roman"/>
          <w:caps w:val="0"/>
          <w:smallCaps w:val="0"/>
          <w:color w:val="auto"/>
          <w:spacing w:val="0"/>
          <w:w w:val="100"/>
          <w:kern w:val="0"/>
          <w:sz w:val="28"/>
          <w:szCs w:val="28"/>
          <w:highlight w:val="none"/>
          <w:lang w:val="en-US" w:eastAsia="zh-CN"/>
        </w:rPr>
        <w:t>定向井</w:t>
      </w:r>
      <w:r>
        <w:rPr>
          <w:rFonts w:hint="eastAsia" w:ascii="Times New Roman" w:hAnsi="Times New Roman" w:eastAsia="宋体" w:cs="Times New Roman"/>
          <w:caps w:val="0"/>
          <w:smallCaps w:val="0"/>
          <w:color w:val="auto"/>
          <w:spacing w:val="0"/>
          <w:w w:val="100"/>
          <w:kern w:val="0"/>
          <w:sz w:val="28"/>
          <w:szCs w:val="28"/>
          <w:highlight w:val="none"/>
          <w:lang w:val="en-US" w:eastAsia="zh-CN"/>
        </w:rPr>
        <w:t>，2口为水平井</w:t>
      </w:r>
      <w:r>
        <w:rPr>
          <w:rFonts w:hint="default" w:ascii="Times New Roman" w:hAnsi="Times New Roman" w:eastAsia="宋体" w:cs="Times New Roman"/>
          <w:caps w:val="0"/>
          <w:smallCaps w:val="0"/>
          <w:color w:val="auto"/>
          <w:spacing w:val="0"/>
          <w:w w:val="100"/>
          <w:kern w:val="0"/>
          <w:sz w:val="28"/>
          <w:szCs w:val="28"/>
          <w:highlight w:val="none"/>
          <w:lang w:val="en-US" w:eastAsia="zh-CN"/>
        </w:rPr>
        <w:t>。施工工序仅为钻井、井控、测井、固井完井及压裂试气方面工作，不涉及地面场站、管线等配套设施的建设工作，后续地面工程及产能建设项目另行开展环境影响评价工作。</w:t>
      </w:r>
    </w:p>
    <w:p>
      <w:pPr>
        <w:pageBreakBefore w:val="0"/>
        <w:widowControl w:val="0"/>
        <w:bidi w:val="0"/>
        <w:adjustRightInd w:val="0"/>
        <w:snapToGrid w:val="0"/>
        <w:spacing w:line="360" w:lineRule="auto"/>
        <w:ind w:firstLine="560" w:firstLineChars="200"/>
        <w:jc w:val="both"/>
        <w:rPr>
          <w:rFonts w:hint="default" w:ascii="Times New Roman" w:hAnsi="Times New Roman" w:eastAsia="宋体" w:cs="Times New Roman"/>
          <w:caps w:val="0"/>
          <w:smallCaps w:val="0"/>
          <w:color w:val="auto"/>
          <w:spacing w:val="0"/>
          <w:w w:val="100"/>
          <w:kern w:val="0"/>
          <w:sz w:val="28"/>
          <w:szCs w:val="28"/>
          <w:highlight w:val="none"/>
          <w:lang w:val="en-US" w:eastAsia="zh-CN"/>
        </w:rPr>
      </w:pPr>
      <w:r>
        <w:rPr>
          <w:rFonts w:hint="default" w:ascii="Times New Roman" w:hAnsi="Times New Roman" w:eastAsia="宋体" w:cs="Times New Roman"/>
          <w:caps w:val="0"/>
          <w:smallCaps w:val="0"/>
          <w:color w:val="auto"/>
          <w:spacing w:val="0"/>
          <w:w w:val="100"/>
          <w:kern w:val="0"/>
          <w:sz w:val="28"/>
          <w:szCs w:val="28"/>
          <w:highlight w:val="none"/>
          <w:lang w:val="en-US" w:eastAsia="zh-CN"/>
        </w:rPr>
        <w:t>本项目的环评节点为：钻井-射孔-压裂</w:t>
      </w:r>
      <w:r>
        <w:rPr>
          <w:rFonts w:hint="eastAsia" w:ascii="Times New Roman" w:hAnsi="Times New Roman" w:eastAsia="宋体" w:cs="Times New Roman"/>
          <w:caps w:val="0"/>
          <w:smallCaps w:val="0"/>
          <w:color w:val="auto"/>
          <w:spacing w:val="0"/>
          <w:w w:val="100"/>
          <w:kern w:val="0"/>
          <w:sz w:val="28"/>
          <w:szCs w:val="28"/>
          <w:highlight w:val="none"/>
          <w:lang w:val="en-US" w:eastAsia="zh-CN"/>
        </w:rPr>
        <w:t>-试气</w:t>
      </w:r>
      <w:r>
        <w:rPr>
          <w:rFonts w:hint="default" w:ascii="Times New Roman" w:hAnsi="Times New Roman" w:eastAsia="宋体" w:cs="Times New Roman"/>
          <w:caps w:val="0"/>
          <w:smallCaps w:val="0"/>
          <w:color w:val="auto"/>
          <w:spacing w:val="0"/>
          <w:w w:val="100"/>
          <w:kern w:val="0"/>
          <w:sz w:val="28"/>
          <w:szCs w:val="28"/>
          <w:highlight w:val="none"/>
          <w:lang w:val="en-US" w:eastAsia="zh-CN"/>
        </w:rPr>
        <w:t>。</w:t>
      </w:r>
    </w:p>
    <w:p>
      <w:pPr>
        <w:keepNext w:val="0"/>
        <w:keepLines w:val="0"/>
        <w:widowControl/>
        <w:suppressLineNumbers w:val="0"/>
        <w:ind w:firstLine="560" w:firstLineChars="200"/>
        <w:jc w:val="both"/>
        <w:rPr>
          <w:rFonts w:hint="eastAsia" w:ascii="Times New Roman" w:hAnsi="Times New Roman" w:cs="Times New Roman"/>
          <w:color w:val="auto"/>
          <w:sz w:val="28"/>
          <w:szCs w:val="28"/>
          <w:highlight w:val="none"/>
          <w:lang w:eastAsia="zh-CN"/>
        </w:rPr>
      </w:pPr>
      <w:r>
        <w:rPr>
          <w:rFonts w:hint="default" w:ascii="Times New Roman" w:hAnsi="Times New Roman" w:eastAsia="宋体" w:cs="Times New Roman"/>
          <w:color w:val="auto"/>
          <w:kern w:val="0"/>
          <w:sz w:val="28"/>
          <w:szCs w:val="28"/>
          <w:highlight w:val="none"/>
          <w:lang w:val="en-US" w:eastAsia="zh-CN" w:bidi="ar"/>
        </w:rPr>
        <w:t>肇深16区块位于</w:t>
      </w:r>
      <w:r>
        <w:rPr>
          <w:rFonts w:hint="default" w:ascii="Times New Roman" w:hAnsi="Times New Roman" w:cs="Times New Roman"/>
          <w:color w:val="auto"/>
          <w:sz w:val="28"/>
          <w:szCs w:val="28"/>
          <w:highlight w:val="none"/>
        </w:rPr>
        <w:t>大庆市肇州县北侧12km，双发乡境内</w:t>
      </w:r>
      <w:r>
        <w:rPr>
          <w:rFonts w:hint="default" w:ascii="Times New Roman" w:hAnsi="Times New Roman" w:cs="Times New Roman"/>
          <w:color w:val="auto"/>
          <w:sz w:val="28"/>
          <w:szCs w:val="28"/>
          <w:highlight w:val="none"/>
          <w:lang w:eastAsia="zh-CN"/>
        </w:rPr>
        <w:t>，</w:t>
      </w:r>
      <w:r>
        <w:rPr>
          <w:rFonts w:hint="default" w:ascii="Times New Roman" w:hAnsi="Times New Roman" w:eastAsia="宋体" w:cs="Times New Roman"/>
          <w:color w:val="auto"/>
          <w:kern w:val="0"/>
          <w:sz w:val="28"/>
          <w:szCs w:val="28"/>
          <w:highlight w:val="none"/>
          <w:lang w:val="en-US" w:eastAsia="zh-CN" w:bidi="ar"/>
        </w:rPr>
        <w:t>区块</w:t>
      </w:r>
      <w:r>
        <w:rPr>
          <w:rFonts w:hint="default" w:ascii="Times New Roman" w:hAnsi="Times New Roman" w:cs="Times New Roman"/>
          <w:color w:val="auto"/>
          <w:sz w:val="28"/>
          <w:szCs w:val="28"/>
          <w:highlight w:val="none"/>
          <w:lang w:eastAsia="zh-CN"/>
        </w:rPr>
        <w:t>构造位于松辽盆地北部深层构造单元东南断陷区徐家围子断陷徐西斜坡带中部，为典型的鼻状构造</w:t>
      </w:r>
      <w:r>
        <w:rPr>
          <w:rFonts w:hint="eastAsia" w:ascii="Times New Roman" w:hAnsi="Times New Roman" w:cs="Times New Roman"/>
          <w:color w:val="auto"/>
          <w:sz w:val="28"/>
          <w:szCs w:val="28"/>
          <w:highlight w:val="none"/>
          <w:lang w:eastAsia="zh-CN"/>
        </w:rPr>
        <w:t>。区域内以耕地为主，分布有少量的零散气井，区域内主要道路系统为明沈路，</w:t>
      </w:r>
      <w:r>
        <w:rPr>
          <w:rFonts w:hint="eastAsia" w:ascii="Times New Roman" w:hAnsi="Times New Roman" w:cs="Times New Roman"/>
          <w:color w:val="auto"/>
          <w:sz w:val="28"/>
          <w:szCs w:val="28"/>
          <w:highlight w:val="none"/>
          <w:lang w:val="en-US" w:eastAsia="zh-CN"/>
        </w:rPr>
        <w:t>走向由北到南穿越区块西侧边界</w:t>
      </w:r>
      <w:r>
        <w:rPr>
          <w:rFonts w:hint="eastAsia" w:ascii="Times New Roman" w:hAnsi="Times New Roman" w:cs="Times New Roman"/>
          <w:color w:val="auto"/>
          <w:sz w:val="28"/>
          <w:szCs w:val="28"/>
          <w:highlight w:val="none"/>
          <w:lang w:eastAsia="zh-CN"/>
        </w:rPr>
        <w:t>，另外在区域内还分布有多条村屯道路，交通较为便利。</w:t>
      </w:r>
    </w:p>
    <w:p>
      <w:pPr>
        <w:keepNext w:val="0"/>
        <w:keepLines w:val="0"/>
        <w:widowControl/>
        <w:suppressLineNumbers w:val="0"/>
        <w:ind w:firstLine="560" w:firstLineChars="200"/>
        <w:jc w:val="both"/>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区块内已</w:t>
      </w:r>
      <w:r>
        <w:rPr>
          <w:rFonts w:hint="eastAsia" w:ascii="Times New Roman" w:hAnsi="Times New Roman" w:cs="Times New Roman"/>
          <w:color w:val="auto"/>
          <w:sz w:val="28"/>
          <w:szCs w:val="28"/>
          <w:highlight w:val="none"/>
          <w:lang w:val="en-US" w:eastAsia="zh-CN"/>
        </w:rPr>
        <w:t>建</w:t>
      </w:r>
      <w:r>
        <w:rPr>
          <w:rFonts w:hint="default" w:ascii="Times New Roman" w:hAnsi="Times New Roman" w:cs="Times New Roman"/>
          <w:color w:val="auto"/>
          <w:sz w:val="28"/>
          <w:szCs w:val="28"/>
          <w:highlight w:val="none"/>
          <w:lang w:val="en-US" w:eastAsia="zh-CN"/>
        </w:rPr>
        <w:t>天然气开发井</w:t>
      </w:r>
      <w:r>
        <w:rPr>
          <w:rFonts w:hint="eastAsia" w:ascii="Times New Roman" w:hAnsi="Times New Roman"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val="en-US" w:eastAsia="zh-CN"/>
        </w:rPr>
        <w:t>口，</w:t>
      </w:r>
      <w:r>
        <w:rPr>
          <w:rFonts w:hint="eastAsia" w:ascii="Times New Roman" w:hAnsi="Times New Roman" w:cs="Times New Roman"/>
          <w:color w:val="auto"/>
          <w:sz w:val="28"/>
          <w:szCs w:val="28"/>
          <w:highlight w:val="none"/>
          <w:lang w:val="en-US" w:eastAsia="zh-CN"/>
        </w:rPr>
        <w:t>其中4口已投产采气，2口正在进行地面基础建设，1口为报废井。区块内共有集气站1座，为肇深16集气站，4口投产气井及集气站正在组织环保验收。</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肇深</w:t>
      </w:r>
      <w:r>
        <w:rPr>
          <w:rFonts w:hint="default" w:ascii="Times New Roman" w:hAnsi="Times New Roman" w:eastAsia="宋体" w:cs="Times New Roman"/>
          <w:color w:val="auto"/>
          <w:kern w:val="0"/>
          <w:sz w:val="28"/>
          <w:szCs w:val="28"/>
          <w:highlight w:val="none"/>
          <w:lang w:val="en-US" w:eastAsia="zh-CN" w:bidi="ar"/>
        </w:rPr>
        <w:t>16</w:t>
      </w:r>
      <w:r>
        <w:rPr>
          <w:rFonts w:hint="eastAsia" w:ascii="Times New Roman" w:hAnsi="Times New Roman" w:eastAsia="宋体" w:cs="Times New Roman"/>
          <w:color w:val="auto"/>
          <w:kern w:val="0"/>
          <w:sz w:val="28"/>
          <w:szCs w:val="28"/>
          <w:highlight w:val="none"/>
          <w:lang w:val="en-US" w:eastAsia="zh-CN" w:bidi="ar"/>
        </w:rPr>
        <w:t>区块于2007年获工业气流，探明地质储量</w:t>
      </w:r>
      <w:r>
        <w:rPr>
          <w:rFonts w:hint="default" w:ascii="Times New Roman" w:hAnsi="Times New Roman" w:eastAsia="宋体" w:cs="Times New Roman"/>
          <w:color w:val="auto"/>
          <w:kern w:val="0"/>
          <w:sz w:val="28"/>
          <w:szCs w:val="28"/>
          <w:highlight w:val="none"/>
          <w:lang w:val="en-US" w:eastAsia="zh-CN" w:bidi="ar"/>
        </w:rPr>
        <w:t>169.72×10</w:t>
      </w:r>
      <w:r>
        <w:rPr>
          <w:rFonts w:hint="default" w:ascii="Times New Roman" w:hAnsi="Times New Roman" w:eastAsia="宋体" w:cs="Times New Roman"/>
          <w:color w:val="auto"/>
          <w:kern w:val="0"/>
          <w:sz w:val="28"/>
          <w:szCs w:val="28"/>
          <w:highlight w:val="none"/>
          <w:vertAlign w:val="superscript"/>
          <w:lang w:val="en-US" w:eastAsia="zh-CN" w:bidi="ar"/>
        </w:rPr>
        <w:t>8</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，含气面积</w:t>
      </w:r>
      <w:r>
        <w:rPr>
          <w:rFonts w:hint="default" w:ascii="Times New Roman" w:hAnsi="Times New Roman" w:eastAsia="宋体" w:cs="Times New Roman"/>
          <w:color w:val="auto"/>
          <w:kern w:val="0"/>
          <w:sz w:val="28"/>
          <w:szCs w:val="28"/>
          <w:highlight w:val="none"/>
          <w:lang w:val="en-US" w:eastAsia="zh-CN" w:bidi="ar"/>
        </w:rPr>
        <w:t>11.11km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。截止2020年位置，肇深16区块</w:t>
      </w:r>
      <w:r>
        <w:rPr>
          <w:rFonts w:hint="default" w:ascii="Times New Roman" w:hAnsi="Times New Roman" w:eastAsia="宋体" w:cs="Times New Roman"/>
          <w:color w:val="auto"/>
          <w:kern w:val="0"/>
          <w:sz w:val="28"/>
          <w:szCs w:val="28"/>
          <w:highlight w:val="none"/>
          <w:lang w:val="en-US" w:eastAsia="zh-CN" w:bidi="ar"/>
        </w:rPr>
        <w:t>已提交218.00×10</w:t>
      </w:r>
      <w:r>
        <w:rPr>
          <w:rFonts w:hint="default" w:ascii="Times New Roman" w:hAnsi="Times New Roman" w:eastAsia="宋体" w:cs="Times New Roman"/>
          <w:color w:val="auto"/>
          <w:kern w:val="0"/>
          <w:sz w:val="28"/>
          <w:szCs w:val="28"/>
          <w:highlight w:val="none"/>
          <w:vertAlign w:val="superscript"/>
          <w:lang w:val="en-US" w:eastAsia="zh-CN" w:bidi="ar"/>
        </w:rPr>
        <w:t>8</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预测储量</w:t>
      </w:r>
      <w:r>
        <w:rPr>
          <w:rFonts w:hint="eastAsia" w:ascii="Times New Roman" w:hAnsi="Times New Roman" w:eastAsia="宋体" w:cs="Times New Roman"/>
          <w:color w:val="auto"/>
          <w:kern w:val="0"/>
          <w:sz w:val="28"/>
          <w:szCs w:val="28"/>
          <w:highlight w:val="none"/>
          <w:lang w:val="en-US" w:eastAsia="zh-CN" w:bidi="ar"/>
        </w:rPr>
        <w:t>。本次天然气开发井开采目的层为营一段Ⅰ组气层（yc</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Ⅰ</w:t>
      </w:r>
      <w:r>
        <w:rPr>
          <w:rFonts w:hint="eastAsia" w:ascii="Times New Roman" w:hAnsi="Times New Roman" w:eastAsia="宋体" w:cs="Times New Roman"/>
          <w:color w:val="auto"/>
          <w:kern w:val="0"/>
          <w:sz w:val="28"/>
          <w:szCs w:val="28"/>
          <w:highlight w:val="none"/>
          <w:vertAlign w:val="super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），为营一段火山岩主产层，最大有效厚度为158m，面积35.9km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肇深16区块气藏分布受构造、岩性双重控制，气水关系复杂，气水界面不统一，整体表现为上气下水，工业气流层主要分布于火山岩顶部，属于构造-岩性气藏，是以甲烷为主的干气气藏，CO</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含量较高，根据肇深19井的勘探，CO</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平均含量25.5%。</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vertAlign w:val="baseline"/>
          <w:lang w:val="en-US" w:eastAsia="zh-CN" w:bidi="ar"/>
        </w:rPr>
      </w:pPr>
      <w:r>
        <w:rPr>
          <w:rFonts w:hint="eastAsia" w:ascii="Times New Roman" w:hAnsi="Times New Roman" w:eastAsia="宋体" w:cs="Times New Roman"/>
          <w:color w:val="auto"/>
          <w:kern w:val="0"/>
          <w:sz w:val="28"/>
          <w:szCs w:val="28"/>
          <w:highlight w:val="none"/>
          <w:lang w:val="en-US" w:eastAsia="zh-CN" w:bidi="ar"/>
        </w:rPr>
        <w:t>本区块气田开发钻井过程中，有针对性的制定了CO</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vertAlign w:val="baseline"/>
          <w:lang w:val="en-US" w:eastAsia="zh-CN" w:bidi="ar"/>
        </w:rPr>
        <w:t>安全生产的预案及应急程序，每座井场在钻井上安</w:t>
      </w:r>
      <w:r>
        <w:rPr>
          <w:rFonts w:hint="eastAsia" w:ascii="Times New Roman" w:hAnsi="Times New Roman" w:eastAsia="宋体" w:cs="Times New Roman"/>
          <w:color w:val="auto"/>
          <w:kern w:val="0"/>
          <w:sz w:val="28"/>
          <w:szCs w:val="28"/>
          <w:highlight w:val="none"/>
          <w:lang w:val="en-US" w:eastAsia="zh-CN" w:bidi="ar"/>
        </w:rPr>
        <w:t>装CO</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监测仪，加强对管材及钻井工具的防腐，同时准备防护面具，保证施工人员人身安全。</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本项目属于天然气开采滚动开发项目，</w:t>
      </w:r>
      <w:r>
        <w:rPr>
          <w:rFonts w:hint="eastAsia" w:ascii="Times New Roman" w:hAnsi="Times New Roman" w:eastAsia="宋体" w:cs="Times New Roman"/>
          <w:color w:val="auto"/>
          <w:kern w:val="0"/>
          <w:sz w:val="28"/>
          <w:szCs w:val="28"/>
          <w:highlight w:val="none"/>
          <w:lang w:val="en-US" w:eastAsia="zh-CN" w:bidi="ar"/>
        </w:rPr>
        <w:t>项目性质为扩建。本项目所在区块内主要环境敏感区为基本农田、村屯及农村分散式饮用水水源。项目周围以油气田开发和农业为主，无其它大型工业区，周围分布村屯较多，村屯饮用水均来自于地下水井，根据《全省在用饮用水水源保护区基础信息名录（2020年）》，与本项目较近的集中式饮用水水源为大庆市肇州县双发乡双发村水源，位于本项目西北侧，相对本项目最近距离约为6.5km；其余均为分散式饮用水水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本项目占地类型均为基本农田，其中永久占地0.48hm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，临时占地2.64hm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除涉及永久基本农田外，不涉及自然保护区、风景名胜区、饮用水水源保护区、水土流失重点预防区和重点治理区等环境敏感区。</w:t>
      </w:r>
    </w:p>
    <w:p>
      <w:pPr>
        <w:keepNext w:val="0"/>
        <w:keepLines w:val="0"/>
        <w:widowControl/>
        <w:suppressLineNumbers w:val="0"/>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1.2.2周边环境特点</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本</w:t>
      </w:r>
      <w:r>
        <w:rPr>
          <w:rFonts w:hint="eastAsia" w:ascii="Times New Roman" w:hAnsi="Times New Roman" w:cs="Times New Roman"/>
          <w:color w:val="auto"/>
          <w:sz w:val="28"/>
          <w:szCs w:val="28"/>
          <w:highlight w:val="none"/>
          <w:lang w:val="en-US" w:eastAsia="zh-CN"/>
        </w:rPr>
        <w:t>项目</w:t>
      </w:r>
      <w:r>
        <w:rPr>
          <w:rFonts w:hint="default" w:ascii="Times New Roman" w:hAnsi="Times New Roman" w:cs="Times New Roman"/>
          <w:color w:val="auto"/>
          <w:sz w:val="28"/>
          <w:szCs w:val="28"/>
          <w:highlight w:val="none"/>
          <w:lang w:val="en-US" w:eastAsia="zh-CN"/>
        </w:rPr>
        <w:t>位于黑龙江省肇源县双发乡境内，区域内以耕地为主。井场周边分布有李</w:t>
      </w:r>
      <w:r>
        <w:rPr>
          <w:rFonts w:hint="eastAsia" w:ascii="Times New Roman" w:hAnsi="Times New Roman" w:cs="Times New Roman"/>
          <w:color w:val="auto"/>
          <w:sz w:val="28"/>
          <w:szCs w:val="28"/>
          <w:highlight w:val="none"/>
          <w:lang w:val="en-US" w:eastAsia="zh-CN"/>
        </w:rPr>
        <w:t>珍</w:t>
      </w:r>
      <w:r>
        <w:rPr>
          <w:rFonts w:hint="default" w:ascii="Times New Roman" w:hAnsi="Times New Roman" w:cs="Times New Roman"/>
          <w:color w:val="auto"/>
          <w:sz w:val="28"/>
          <w:szCs w:val="28"/>
          <w:highlight w:val="none"/>
          <w:lang w:val="en-US" w:eastAsia="zh-CN"/>
        </w:rPr>
        <w:t>窝棚、三门董家、范家窝棚和姜泡屯等村屯。</w:t>
      </w:r>
      <w:r>
        <w:rPr>
          <w:rFonts w:hint="eastAsia" w:ascii="Times New Roman" w:hAnsi="Times New Roman" w:cs="Times New Roman"/>
          <w:color w:val="auto"/>
          <w:sz w:val="28"/>
          <w:szCs w:val="28"/>
          <w:highlight w:val="none"/>
          <w:lang w:val="en-US" w:eastAsia="zh-CN"/>
        </w:rPr>
        <w:t>拟建</w:t>
      </w:r>
      <w:r>
        <w:rPr>
          <w:rFonts w:hint="default" w:ascii="Times New Roman" w:hAnsi="Times New Roman" w:cs="Times New Roman"/>
          <w:color w:val="auto"/>
          <w:sz w:val="28"/>
          <w:szCs w:val="28"/>
          <w:highlight w:val="none"/>
          <w:lang w:val="en-US" w:eastAsia="zh-CN"/>
        </w:rPr>
        <w:t>井场占地类型为基本农田，井场所在区域无自然保护区、风景名胜区、生态保护红线管控范围、基本草原、重要湿地、水土流失重点预防区和重点治理区、文物保护单位等环境敏感区分布。</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3" w:name="_Toc20882"/>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1.3环境影响评价的工作过程</w:t>
      </w:r>
      <w:bookmarkEnd w:id="3"/>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我单位在接受委托后，按照《建设项目环境影响评价技术导则总纲》（HJ2.1-2016）、《环境影响评价技术导则 陆地石油天然气开发建设项目》（HJ/T349-2007）等国家有关环境影响评价规范、技术导则及环境保护管理部门的要求，依次完成以下环境影响评价工作：</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第一阶段：首先，依据《建设项目环境影响评价管理名录（2021年版）》</w:t>
      </w:r>
      <w:r>
        <w:rPr>
          <w:rFonts w:hint="eastAsia"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五、石油天然气开采业07-8-陆地天然气开采</w:t>
      </w:r>
      <w:r>
        <w:rPr>
          <w:rFonts w:hint="eastAsia" w:ascii="Times New Roman" w:hAnsi="Times New Roman" w:cs="Times New Roman"/>
          <w:color w:val="auto"/>
          <w:sz w:val="28"/>
          <w:szCs w:val="28"/>
          <w:highlight w:val="none"/>
          <w:lang w:val="en-US" w:eastAsia="zh-CN"/>
        </w:rPr>
        <w:t>0721”</w:t>
      </w:r>
      <w:r>
        <w:rPr>
          <w:rFonts w:hint="default" w:ascii="Times New Roman" w:hAnsi="Times New Roman" w:cs="Times New Roman"/>
          <w:color w:val="auto"/>
          <w:sz w:val="28"/>
          <w:szCs w:val="28"/>
          <w:highlight w:val="none"/>
          <w:lang w:val="en-US" w:eastAsia="zh-CN"/>
        </w:rPr>
        <w:t>规定：新区块开发；年生产能力1亿立方米及以上的煤层气开采；涉及环境敏感区的（含内部集输管线建设）环评类别为报告书。本</w:t>
      </w:r>
      <w:r>
        <w:rPr>
          <w:rFonts w:hint="eastAsia" w:ascii="Times New Roman" w:hAnsi="Times New Roman" w:cs="Times New Roman"/>
          <w:color w:val="auto"/>
          <w:sz w:val="28"/>
          <w:szCs w:val="28"/>
          <w:highlight w:val="none"/>
          <w:lang w:val="en-US" w:eastAsia="zh-CN"/>
        </w:rPr>
        <w:t>项目</w:t>
      </w:r>
      <w:r>
        <w:rPr>
          <w:rFonts w:hint="default" w:ascii="Times New Roman" w:hAnsi="Times New Roman" w:cs="Times New Roman"/>
          <w:color w:val="auto"/>
          <w:sz w:val="28"/>
          <w:szCs w:val="28"/>
          <w:highlight w:val="none"/>
          <w:lang w:val="en-US" w:eastAsia="zh-CN"/>
        </w:rPr>
        <w:t>所在区域涉及环境敏感区，井场占地为基本农田，因此确定本项目环境影响评价技术文件类型为环境影响报告书。</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其次，在本项目钻井工程设计报告资料的基础上，进行了初步工程分析，并对项目所在区域进行实地踏勘和调研，了解项目周围情况。在此基础上，完成环境影响因素识别、评价因子筛选、评价重点和主要环境保护目标确定等工作。</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第二阶段：根据已制定的工作方案，针对各环境要素的评价工作等级，调查了评价范围内的环境状况，制定了监测方案。并进行了详细的项目工程分析，在环境质量现状监测与评价的基础上，进行各环境要素的环境影响预测和评价，编制完成各专题环境影响分析与评价章节。</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第三阶段：通过工程分析、环境影响分析的结果，确定项目所采取的环保措施，并对其技术、经济可行性进行论证，进一步完善环保措施，给出污染物排放清单，完成报告的编制。</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具体环境影响评价工作程序见图1.3-1</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drawing>
          <wp:inline distT="0" distB="0" distL="114300" distR="114300">
            <wp:extent cx="5269230" cy="4916805"/>
            <wp:effectExtent l="0" t="0" r="7620" b="17145"/>
            <wp:docPr id="4" name="图片 1" descr="工作流程-报告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工作流程-报告书"/>
                    <pic:cNvPicPr>
                      <a:picLocks noChangeAspect="1"/>
                    </pic:cNvPicPr>
                  </pic:nvPicPr>
                  <pic:blipFill>
                    <a:blip r:embed="rId8"/>
                    <a:stretch>
                      <a:fillRect/>
                    </a:stretch>
                  </pic:blipFill>
                  <pic:spPr>
                    <a:xfrm>
                      <a:off x="0" y="0"/>
                      <a:ext cx="5269230" cy="4916805"/>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图1.3-1环境影响评价工作程序图</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4" w:name="_Toc12806"/>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1.4分析判定相关情况</w:t>
      </w:r>
      <w:bookmarkEnd w:id="4"/>
    </w:p>
    <w:p>
      <w:pPr>
        <w:pageBreakBefore w:val="0"/>
        <w:bidi w:val="0"/>
        <w:adjustRightInd w:val="0"/>
        <w:snapToGrid w:val="0"/>
        <w:spacing w:line="360" w:lineRule="auto"/>
        <w:rPr>
          <w:rFonts w:hint="default" w:ascii="Times New Roman" w:hAnsi="Times New Roman" w:eastAsia="宋体" w:cs="Times New Roman"/>
          <w:caps w:val="0"/>
          <w:smallCaps w:val="0"/>
          <w:color w:val="auto"/>
          <w:spacing w:val="0"/>
          <w:w w:val="100"/>
          <w:kern w:val="0"/>
          <w:sz w:val="28"/>
          <w:szCs w:val="28"/>
          <w:highlight w:val="none"/>
        </w:rPr>
      </w:pPr>
      <w:r>
        <w:rPr>
          <w:rFonts w:hint="default" w:ascii="Times New Roman" w:hAnsi="Times New Roman" w:eastAsia="宋体" w:cs="Times New Roman"/>
          <w:caps w:val="0"/>
          <w:smallCaps w:val="0"/>
          <w:color w:val="auto"/>
          <w:spacing w:val="0"/>
          <w:w w:val="100"/>
          <w:kern w:val="0"/>
          <w:sz w:val="28"/>
          <w:szCs w:val="28"/>
          <w:highlight w:val="none"/>
          <w:lang w:val="en-US" w:eastAsia="zh-CN"/>
        </w:rPr>
        <w:t>1.4.1产业政策符合性分析</w:t>
      </w:r>
    </w:p>
    <w:p>
      <w:pPr>
        <w:pageBreakBefore w:val="0"/>
        <w:bidi w:val="0"/>
        <w:adjustRightInd w:val="0"/>
        <w:snapToGrid w:val="0"/>
        <w:spacing w:line="360" w:lineRule="auto"/>
        <w:ind w:firstLine="560" w:firstLineChars="200"/>
        <w:rPr>
          <w:rFonts w:hint="default" w:ascii="Times New Roman" w:hAnsi="Times New Roman" w:eastAsia="宋体" w:cs="Times New Roman"/>
          <w:caps w:val="0"/>
          <w:smallCaps w:val="0"/>
          <w:color w:val="auto"/>
          <w:spacing w:val="0"/>
          <w:w w:val="100"/>
          <w:kern w:val="0"/>
          <w:sz w:val="28"/>
          <w:szCs w:val="28"/>
          <w:highlight w:val="none"/>
        </w:rPr>
      </w:pPr>
      <w:r>
        <w:rPr>
          <w:rFonts w:hint="default" w:ascii="Times New Roman" w:hAnsi="Times New Roman" w:eastAsia="宋体" w:cs="Times New Roman"/>
          <w:caps w:val="0"/>
          <w:smallCaps w:val="0"/>
          <w:color w:val="auto"/>
          <w:spacing w:val="0"/>
          <w:w w:val="100"/>
          <w:kern w:val="0"/>
          <w:sz w:val="28"/>
          <w:szCs w:val="28"/>
          <w:highlight w:val="none"/>
          <w:lang w:val="en-US" w:eastAsia="zh-CN"/>
        </w:rPr>
        <w:t>本项目为已开发区块天然气</w:t>
      </w:r>
      <w:r>
        <w:rPr>
          <w:rFonts w:hint="eastAsia" w:ascii="Times New Roman" w:hAnsi="Times New Roman" w:eastAsia="宋体" w:cs="Times New Roman"/>
          <w:caps w:val="0"/>
          <w:smallCaps w:val="0"/>
          <w:color w:val="auto"/>
          <w:spacing w:val="0"/>
          <w:w w:val="100"/>
          <w:kern w:val="0"/>
          <w:sz w:val="28"/>
          <w:szCs w:val="28"/>
          <w:highlight w:val="none"/>
          <w:lang w:val="en-US" w:eastAsia="zh-CN"/>
        </w:rPr>
        <w:t>滚动</w:t>
      </w:r>
      <w:r>
        <w:rPr>
          <w:rFonts w:hint="default" w:ascii="Times New Roman" w:hAnsi="Times New Roman" w:eastAsia="宋体" w:cs="Times New Roman"/>
          <w:caps w:val="0"/>
          <w:smallCaps w:val="0"/>
          <w:color w:val="auto"/>
          <w:spacing w:val="0"/>
          <w:w w:val="100"/>
          <w:kern w:val="0"/>
          <w:sz w:val="28"/>
          <w:szCs w:val="28"/>
          <w:highlight w:val="none"/>
          <w:lang w:val="en-US" w:eastAsia="zh-CN"/>
        </w:rPr>
        <w:t>开采项目，根据《产业结构调整指导目录（2019年本）》（2021年12月30日），本项目属于鼓励类</w:t>
      </w:r>
      <w:r>
        <w:rPr>
          <w:rFonts w:hint="eastAsia" w:ascii="Times New Roman" w:hAnsi="Times New Roman" w:eastAsia="宋体" w:cs="Times New Roman"/>
          <w:caps w:val="0"/>
          <w:smallCaps w:val="0"/>
          <w:color w:val="auto"/>
          <w:spacing w:val="0"/>
          <w:w w:val="100"/>
          <w:kern w:val="0"/>
          <w:sz w:val="28"/>
          <w:szCs w:val="28"/>
          <w:highlight w:val="none"/>
          <w:lang w:val="en-US" w:eastAsia="zh-CN"/>
        </w:rPr>
        <w:t>“</w:t>
      </w:r>
      <w:r>
        <w:rPr>
          <w:rFonts w:hint="default" w:ascii="Times New Roman" w:hAnsi="Times New Roman" w:eastAsia="宋体" w:cs="Times New Roman"/>
          <w:caps w:val="0"/>
          <w:smallCaps w:val="0"/>
          <w:color w:val="auto"/>
          <w:spacing w:val="0"/>
          <w:w w:val="100"/>
          <w:kern w:val="0"/>
          <w:sz w:val="28"/>
          <w:szCs w:val="28"/>
          <w:highlight w:val="none"/>
          <w:lang w:val="en-US" w:eastAsia="zh-CN"/>
        </w:rPr>
        <w:t>七、石油、天然气</w:t>
      </w:r>
      <w:r>
        <w:rPr>
          <w:rFonts w:hint="eastAsia" w:ascii="Times New Roman" w:hAnsi="Times New Roman" w:eastAsia="宋体" w:cs="Times New Roman"/>
          <w:caps w:val="0"/>
          <w:smallCaps w:val="0"/>
          <w:color w:val="auto"/>
          <w:spacing w:val="0"/>
          <w:w w:val="100"/>
          <w:kern w:val="0"/>
          <w:sz w:val="28"/>
          <w:szCs w:val="28"/>
          <w:highlight w:val="none"/>
          <w:lang w:val="en-US" w:eastAsia="zh-CN"/>
        </w:rPr>
        <w:t>”</w:t>
      </w:r>
      <w:r>
        <w:rPr>
          <w:rFonts w:hint="default" w:ascii="Times New Roman" w:hAnsi="Times New Roman" w:eastAsia="宋体" w:cs="Times New Roman"/>
          <w:caps w:val="0"/>
          <w:smallCaps w:val="0"/>
          <w:color w:val="auto"/>
          <w:spacing w:val="0"/>
          <w:w w:val="100"/>
          <w:kern w:val="0"/>
          <w:sz w:val="28"/>
          <w:szCs w:val="28"/>
          <w:highlight w:val="none"/>
          <w:lang w:val="en-US" w:eastAsia="zh-CN"/>
        </w:rPr>
        <w:t>中</w:t>
      </w:r>
      <w:r>
        <w:rPr>
          <w:rFonts w:hint="eastAsia" w:ascii="Times New Roman" w:hAnsi="Times New Roman" w:eastAsia="宋体" w:cs="Times New Roman"/>
          <w:caps w:val="0"/>
          <w:smallCaps w:val="0"/>
          <w:color w:val="auto"/>
          <w:spacing w:val="0"/>
          <w:w w:val="100"/>
          <w:kern w:val="0"/>
          <w:sz w:val="28"/>
          <w:szCs w:val="28"/>
          <w:highlight w:val="none"/>
          <w:lang w:val="en-US" w:eastAsia="zh-CN"/>
        </w:rPr>
        <w:t>“</w:t>
      </w:r>
      <w:r>
        <w:rPr>
          <w:rFonts w:hint="default" w:ascii="Times New Roman" w:hAnsi="Times New Roman" w:eastAsia="宋体" w:cs="Times New Roman"/>
          <w:caps w:val="0"/>
          <w:smallCaps w:val="0"/>
          <w:color w:val="auto"/>
          <w:spacing w:val="0"/>
          <w:w w:val="100"/>
          <w:kern w:val="0"/>
          <w:sz w:val="28"/>
          <w:szCs w:val="28"/>
          <w:highlight w:val="none"/>
          <w:lang w:val="en-US" w:eastAsia="zh-CN"/>
        </w:rPr>
        <w:t>1、常规石油、天然气勘探与开采</w:t>
      </w:r>
      <w:r>
        <w:rPr>
          <w:rFonts w:hint="eastAsia" w:ascii="Times New Roman" w:hAnsi="Times New Roman" w:eastAsia="宋体" w:cs="Times New Roman"/>
          <w:caps w:val="0"/>
          <w:smallCaps w:val="0"/>
          <w:color w:val="auto"/>
          <w:spacing w:val="0"/>
          <w:w w:val="100"/>
          <w:kern w:val="0"/>
          <w:sz w:val="28"/>
          <w:szCs w:val="28"/>
          <w:highlight w:val="none"/>
          <w:lang w:val="en-US" w:eastAsia="zh-CN"/>
        </w:rPr>
        <w:t>”</w:t>
      </w:r>
      <w:r>
        <w:rPr>
          <w:rFonts w:hint="default" w:ascii="Times New Roman" w:hAnsi="Times New Roman" w:eastAsia="宋体" w:cs="Times New Roman"/>
          <w:caps w:val="0"/>
          <w:smallCaps w:val="0"/>
          <w:color w:val="auto"/>
          <w:spacing w:val="0"/>
          <w:w w:val="100"/>
          <w:kern w:val="0"/>
          <w:sz w:val="28"/>
          <w:szCs w:val="28"/>
          <w:highlight w:val="none"/>
          <w:lang w:val="en-US" w:eastAsia="zh-CN"/>
        </w:rPr>
        <w:t>类，因此，本项目建设符合国家的产业政策。</w:t>
      </w:r>
    </w:p>
    <w:p>
      <w:pPr>
        <w:pageBreakBefore w:val="0"/>
        <w:bidi w:val="0"/>
        <w:adjustRightInd w:val="0"/>
        <w:snapToGrid w:val="0"/>
        <w:spacing w:line="360" w:lineRule="auto"/>
        <w:rPr>
          <w:rFonts w:hint="default" w:ascii="Times New Roman" w:hAnsi="Times New Roman" w:eastAsia="宋体" w:cs="Times New Roman"/>
          <w:caps w:val="0"/>
          <w:smallCaps w:val="0"/>
          <w:color w:val="auto"/>
          <w:spacing w:val="0"/>
          <w:w w:val="100"/>
          <w:kern w:val="0"/>
          <w:sz w:val="28"/>
          <w:szCs w:val="28"/>
          <w:highlight w:val="none"/>
        </w:rPr>
      </w:pPr>
      <w:r>
        <w:rPr>
          <w:rFonts w:hint="default" w:ascii="Times New Roman" w:hAnsi="Times New Roman" w:eastAsia="宋体" w:cs="Times New Roman"/>
          <w:caps w:val="0"/>
          <w:smallCaps w:val="0"/>
          <w:color w:val="auto"/>
          <w:spacing w:val="0"/>
          <w:w w:val="100"/>
          <w:kern w:val="0"/>
          <w:sz w:val="28"/>
          <w:szCs w:val="28"/>
          <w:highlight w:val="none"/>
          <w:lang w:val="en-US" w:eastAsia="zh-CN"/>
        </w:rPr>
        <w:t>1.4.2相关规划符合性分析</w:t>
      </w:r>
    </w:p>
    <w:p>
      <w:pPr>
        <w:pageBreakBefore w:val="0"/>
        <w:bidi w:val="0"/>
        <w:adjustRightInd w:val="0"/>
        <w:snapToGrid w:val="0"/>
        <w:spacing w:line="360" w:lineRule="auto"/>
        <w:rPr>
          <w:rFonts w:hint="default" w:ascii="Times New Roman" w:hAnsi="Times New Roman" w:eastAsia="宋体" w:cs="Times New Roman"/>
          <w:caps w:val="0"/>
          <w:smallCaps w:val="0"/>
          <w:color w:val="auto"/>
          <w:spacing w:val="0"/>
          <w:w w:val="100"/>
          <w:kern w:val="0"/>
          <w:sz w:val="28"/>
          <w:szCs w:val="28"/>
          <w:highlight w:val="none"/>
        </w:rPr>
      </w:pPr>
      <w:r>
        <w:rPr>
          <w:rFonts w:hint="eastAsia" w:ascii="Times New Roman" w:hAnsi="Times New Roman" w:eastAsia="宋体" w:cs="Times New Roman"/>
          <w:caps w:val="0"/>
          <w:smallCaps w:val="0"/>
          <w:color w:val="auto"/>
          <w:spacing w:val="0"/>
          <w:w w:val="100"/>
          <w:kern w:val="0"/>
          <w:sz w:val="28"/>
          <w:szCs w:val="28"/>
          <w:highlight w:val="none"/>
          <w:lang w:val="en-US" w:eastAsia="zh-CN"/>
        </w:rPr>
        <w:t>（1）</w:t>
      </w:r>
      <w:r>
        <w:rPr>
          <w:rFonts w:hint="default" w:ascii="Times New Roman" w:hAnsi="Times New Roman" w:eastAsia="宋体" w:cs="Times New Roman"/>
          <w:caps w:val="0"/>
          <w:smallCaps w:val="0"/>
          <w:color w:val="auto"/>
          <w:spacing w:val="0"/>
          <w:w w:val="100"/>
          <w:kern w:val="0"/>
          <w:sz w:val="28"/>
          <w:szCs w:val="28"/>
          <w:highlight w:val="none"/>
          <w:lang w:val="en-US" w:eastAsia="zh-CN"/>
        </w:rPr>
        <w:t>行业规划符合性分析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根据《黑龙江省国民经济和社会发展第十四个五年规划和二</w:t>
      </w:r>
      <w:r>
        <w:rPr>
          <w:rFonts w:hint="eastAsia" w:ascii="Times New Roman" w:hAnsi="Times New Roman" w:eastAsia="宋体" w:cs="Times New Roman"/>
          <w:color w:val="auto"/>
          <w:kern w:val="0"/>
          <w:sz w:val="28"/>
          <w:szCs w:val="28"/>
          <w:highlight w:val="none"/>
          <w:lang w:val="en-US" w:eastAsia="zh-CN" w:bidi="ar"/>
        </w:rPr>
        <w:t>〇</w:t>
      </w:r>
      <w:r>
        <w:rPr>
          <w:rFonts w:hint="default" w:ascii="Times New Roman" w:hAnsi="Times New Roman" w:eastAsia="宋体" w:cs="Times New Roman"/>
          <w:color w:val="auto"/>
          <w:kern w:val="0"/>
          <w:sz w:val="28"/>
          <w:szCs w:val="28"/>
          <w:highlight w:val="none"/>
          <w:lang w:val="en-US" w:eastAsia="zh-CN" w:bidi="ar"/>
        </w:rPr>
        <w:t>三五年远景目标纲要》规划政策要求：建设百年油田，推进大庆油田常规油气资源稳油增气，页岩油、页岩气、致密油气等非常规油气资源抓勘探上产，推进页岩油气开发利用取得突破，老油田实现二次革命。</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大庆油田振兴发展纲要（2020版）》提出：力争到2025年，基本探明页岩油储量30亿吨，累计增加石油探明储量8亿吨，天然气探时储量3500亿立方米；本土原油产量实现3000万吨规模，天然气产量达到70亿立方米以上。</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本项目在已开发的</w:t>
      </w:r>
      <w:r>
        <w:rPr>
          <w:rFonts w:hint="eastAsia" w:ascii="Times New Roman" w:hAnsi="Times New Roman" w:eastAsia="宋体" w:cs="Times New Roman"/>
          <w:color w:val="auto"/>
          <w:kern w:val="0"/>
          <w:sz w:val="28"/>
          <w:szCs w:val="28"/>
          <w:highlight w:val="none"/>
          <w:lang w:val="en-US" w:eastAsia="zh-CN" w:bidi="ar"/>
        </w:rPr>
        <w:t>气田区域内</w:t>
      </w:r>
      <w:r>
        <w:rPr>
          <w:rFonts w:hint="default" w:ascii="Times New Roman" w:hAnsi="Times New Roman" w:eastAsia="宋体" w:cs="Times New Roman"/>
          <w:color w:val="auto"/>
          <w:kern w:val="0"/>
          <w:sz w:val="28"/>
          <w:szCs w:val="28"/>
          <w:highlight w:val="none"/>
          <w:lang w:val="en-US" w:eastAsia="zh-CN" w:bidi="ar"/>
        </w:rPr>
        <w:t>新建天然气开发井3口；为天然气</w:t>
      </w:r>
      <w:r>
        <w:rPr>
          <w:rFonts w:hint="eastAsia" w:ascii="Times New Roman" w:hAnsi="Times New Roman" w:eastAsia="宋体" w:cs="Times New Roman"/>
          <w:color w:val="auto"/>
          <w:kern w:val="0"/>
          <w:sz w:val="28"/>
          <w:szCs w:val="28"/>
          <w:highlight w:val="none"/>
          <w:lang w:val="en-US" w:eastAsia="zh-CN" w:bidi="ar"/>
        </w:rPr>
        <w:t>开采</w:t>
      </w:r>
      <w:r>
        <w:rPr>
          <w:rFonts w:hint="default" w:ascii="Times New Roman" w:hAnsi="Times New Roman" w:eastAsia="宋体" w:cs="Times New Roman"/>
          <w:color w:val="auto"/>
          <w:kern w:val="0"/>
          <w:sz w:val="28"/>
          <w:szCs w:val="28"/>
          <w:highlight w:val="none"/>
          <w:lang w:val="en-US" w:eastAsia="zh-CN" w:bidi="ar"/>
        </w:rPr>
        <w:t>前期钻井</w:t>
      </w:r>
      <w:r>
        <w:rPr>
          <w:rFonts w:hint="eastAsia" w:ascii="Times New Roman" w:hAnsi="Times New Roman" w:eastAsia="宋体" w:cs="Times New Roman"/>
          <w:color w:val="auto"/>
          <w:kern w:val="0"/>
          <w:sz w:val="28"/>
          <w:szCs w:val="28"/>
          <w:highlight w:val="none"/>
          <w:lang w:val="en-US" w:eastAsia="zh-CN" w:bidi="ar"/>
        </w:rPr>
        <w:t>试气</w:t>
      </w:r>
      <w:r>
        <w:rPr>
          <w:rFonts w:hint="default" w:ascii="Times New Roman" w:hAnsi="Times New Roman" w:eastAsia="宋体" w:cs="Times New Roman"/>
          <w:color w:val="auto"/>
          <w:kern w:val="0"/>
          <w:sz w:val="28"/>
          <w:szCs w:val="28"/>
          <w:highlight w:val="none"/>
          <w:lang w:val="en-US" w:eastAsia="zh-CN" w:bidi="ar"/>
        </w:rPr>
        <w:t>工程，属于常规天然气勘探与开采项目，本工程建设符合相关产业政策要求。</w:t>
      </w:r>
    </w:p>
    <w:p>
      <w:pPr>
        <w:keepNext w:val="0"/>
        <w:keepLines w:val="0"/>
        <w:widowControl/>
        <w:suppressLineNumbers w:val="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土地利用总体规划符合性分析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根据《黑龙江省土地利用总体规划（2006-2020）》要求：加强对基本农田的保护；严格控制非农建设占用耕地，加大补充耕地力度。</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本项目为天然气开采</w:t>
      </w:r>
      <w:r>
        <w:rPr>
          <w:rFonts w:hint="eastAsia" w:ascii="Times New Roman" w:hAnsi="Times New Roman" w:eastAsia="宋体" w:cs="Times New Roman"/>
          <w:color w:val="auto"/>
          <w:kern w:val="0"/>
          <w:sz w:val="28"/>
          <w:szCs w:val="28"/>
          <w:highlight w:val="none"/>
          <w:lang w:val="en-US" w:eastAsia="zh-CN" w:bidi="ar"/>
        </w:rPr>
        <w:t>前期钻井</w:t>
      </w:r>
      <w:r>
        <w:rPr>
          <w:rFonts w:hint="default" w:ascii="Times New Roman" w:hAnsi="Times New Roman" w:eastAsia="宋体" w:cs="Times New Roman"/>
          <w:color w:val="auto"/>
          <w:kern w:val="0"/>
          <w:sz w:val="28"/>
          <w:szCs w:val="28"/>
          <w:highlight w:val="none"/>
          <w:lang w:val="en-US" w:eastAsia="zh-CN" w:bidi="ar"/>
        </w:rPr>
        <w:t>项目，属于黑龙江省规划期重点基础设施建设项目，属</w:t>
      </w:r>
      <w:r>
        <w:rPr>
          <w:rFonts w:hint="eastAsia" w:ascii="Times New Roman" w:hAnsi="Times New Roman" w:eastAsia="宋体" w:cs="Times New Roman"/>
          <w:color w:val="auto"/>
          <w:kern w:val="0"/>
          <w:sz w:val="28"/>
          <w:szCs w:val="28"/>
          <w:highlight w:val="none"/>
          <w:lang w:val="en-US" w:eastAsia="zh-CN" w:bidi="ar"/>
        </w:rPr>
        <w:t>于</w:t>
      </w:r>
      <w:r>
        <w:rPr>
          <w:rFonts w:hint="default" w:ascii="Times New Roman" w:hAnsi="Times New Roman" w:eastAsia="宋体" w:cs="Times New Roman"/>
          <w:color w:val="auto"/>
          <w:kern w:val="0"/>
          <w:sz w:val="28"/>
          <w:szCs w:val="28"/>
          <w:highlight w:val="none"/>
          <w:lang w:val="en-US" w:eastAsia="zh-CN" w:bidi="ar"/>
        </w:rPr>
        <w:t>国家能源设施重点建设项目。新建井场占地类型为基本农田，根据</w:t>
      </w:r>
      <w:r>
        <w:rPr>
          <w:rFonts w:hint="eastAsia" w:ascii="Times New Roman" w:hAnsi="Times New Roman" w:eastAsia="宋体" w:cs="Times New Roman"/>
          <w:color w:val="auto"/>
          <w:kern w:val="0"/>
          <w:sz w:val="28"/>
          <w:szCs w:val="28"/>
          <w:highlight w:val="none"/>
          <w:lang w:val="en-US" w:eastAsia="zh-CN" w:bidi="ar"/>
        </w:rPr>
        <w:t>已勘测发的气田</w:t>
      </w:r>
      <w:r>
        <w:rPr>
          <w:rFonts w:hint="default" w:ascii="Times New Roman" w:hAnsi="Times New Roman" w:eastAsia="宋体" w:cs="Times New Roman"/>
          <w:color w:val="auto"/>
          <w:kern w:val="0"/>
          <w:sz w:val="28"/>
          <w:szCs w:val="28"/>
          <w:highlight w:val="none"/>
          <w:lang w:val="en-US" w:eastAsia="zh-CN" w:bidi="ar"/>
        </w:rPr>
        <w:t>地下储层特性，无法避让耕地。</w:t>
      </w:r>
      <w:r>
        <w:rPr>
          <w:rFonts w:hint="eastAsia" w:ascii="Times New Roman" w:hAnsi="Times New Roman" w:eastAsia="宋体" w:cs="Times New Roman"/>
          <w:color w:val="auto"/>
          <w:kern w:val="0"/>
          <w:sz w:val="28"/>
          <w:szCs w:val="28"/>
          <w:highlight w:val="none"/>
          <w:lang w:val="en-US" w:eastAsia="zh-CN" w:bidi="ar"/>
        </w:rPr>
        <w:t>同</w:t>
      </w:r>
      <w:r>
        <w:rPr>
          <w:rFonts w:hint="default" w:ascii="Times New Roman" w:hAnsi="Times New Roman" w:eastAsia="宋体" w:cs="Times New Roman"/>
          <w:color w:val="auto"/>
          <w:kern w:val="0"/>
          <w:sz w:val="28"/>
          <w:szCs w:val="28"/>
          <w:highlight w:val="none"/>
          <w:lang w:val="en-US" w:eastAsia="zh-CN" w:bidi="ar"/>
        </w:rPr>
        <w:t>时《大庆市土地利用总体规划（2006-2020）》要求，对列入国家和省重点建设计划的交通、水利、能源、环保等基础设施建设项目用地必须要优先安排，重点保障。</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本项目与土地利用总体规划符合性分析见下表。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表1.4-1与《大庆市土地利用总体规划》符合性一览表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5"/>
        <w:gridCol w:w="3650"/>
        <w:gridCol w:w="3450"/>
        <w:gridCol w:w="7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3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规划文件要求</w:t>
            </w:r>
          </w:p>
        </w:tc>
        <w:tc>
          <w:tcPr>
            <w:tcW w:w="34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p>
        </w:tc>
        <w:tc>
          <w:tcPr>
            <w:tcW w:w="7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3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第二章 土地利用战略、目标与基本策略-基本策略：1.坚持最严格耕地保护制度，确保耕地面积稳定和质量提高。严格执行耕地占补平衡制度，及时补充同等数量和质量的耕地，保持耕地面积稳定。2.实施差别化土地利用政策，促进市域协调发展。重点开发区，以哈大齐工业区和大庆油田为主，要加大对国家和省市重点建设项目支持力度，做好工业和油田用地安排。</w:t>
            </w:r>
          </w:p>
        </w:tc>
        <w:tc>
          <w:tcPr>
            <w:tcW w:w="34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本项目为天然气开采项目，为国家</w:t>
            </w:r>
            <w:r>
              <w:rPr>
                <w:rFonts w:hint="eastAsia" w:ascii="Times New Roman" w:hAnsi="Times New Roman" w:cs="Times New Roman"/>
                <w:color w:val="auto"/>
                <w:sz w:val="24"/>
                <w:szCs w:val="24"/>
                <w:highlight w:val="none"/>
                <w:vertAlign w:val="baseline"/>
                <w:lang w:val="en-US" w:eastAsia="zh-CN"/>
              </w:rPr>
              <w:t>能源设施重点建设项目，</w:t>
            </w:r>
            <w:r>
              <w:rPr>
                <w:rFonts w:hint="default" w:ascii="Times New Roman" w:hAnsi="Times New Roman" w:cs="Times New Roman"/>
                <w:color w:val="auto"/>
                <w:sz w:val="24"/>
                <w:szCs w:val="24"/>
                <w:highlight w:val="none"/>
                <w:vertAlign w:val="baseline"/>
                <w:lang w:val="en-US" w:eastAsia="zh-CN"/>
              </w:rPr>
              <w:t>井场占地类型为基本农田；根据地下储层特性，无法避让耕地，已按有关土地管理办法的要求，逐级上报土地管理部门批准；按照</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占多少，垦多少</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的原则，由建设单位负责开垦与所占用耕地的数量和质量相当的耕地，如果没有条件开垦时，按黑龙江省的规定缴纳耕地开垦费，用于开垦新的耕地。</w:t>
            </w:r>
          </w:p>
        </w:tc>
        <w:tc>
          <w:tcPr>
            <w:tcW w:w="7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p>
        </w:tc>
        <w:tc>
          <w:tcPr>
            <w:tcW w:w="3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第四章 土地利用布局优化-优化城乡建设用地布局：油田用地布局。大庆市范围内有10处油田，主要集中在让胡路、萨尔图、红岗区，为保持油田高产稳产，油田用地布局按石油生产、贮藏、运输要求，做好用地安排，对已划定的油田用地，不得安排与油田生产无关的各项建设用地，并做好油田内部用地挖潜，提高油田集约用地水平，对外围新增油田用地区按照地上服从地下的原则做好油田生产用地安排。</w:t>
            </w:r>
          </w:p>
        </w:tc>
        <w:tc>
          <w:tcPr>
            <w:tcW w:w="34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本项目为天然气开采前期钻井项目，为</w:t>
            </w:r>
            <w:r>
              <w:rPr>
                <w:rFonts w:hint="eastAsia" w:ascii="Times New Roman" w:hAnsi="Times New Roman" w:cs="Times New Roman"/>
                <w:color w:val="auto"/>
                <w:sz w:val="24"/>
                <w:szCs w:val="24"/>
                <w:highlight w:val="none"/>
                <w:vertAlign w:val="baseline"/>
                <w:lang w:val="en-US" w:eastAsia="zh-CN"/>
              </w:rPr>
              <w:t>远期</w:t>
            </w:r>
            <w:r>
              <w:rPr>
                <w:rFonts w:hint="default" w:ascii="Times New Roman" w:hAnsi="Times New Roman" w:cs="Times New Roman"/>
                <w:color w:val="auto"/>
                <w:sz w:val="24"/>
                <w:szCs w:val="24"/>
                <w:highlight w:val="none"/>
                <w:vertAlign w:val="baseline"/>
                <w:lang w:val="en-US" w:eastAsia="zh-CN"/>
              </w:rPr>
              <w:t>天然气增产提供保证，在已开发区块内；项目用地属于大庆油田已规划的用地内。</w:t>
            </w:r>
            <w:r>
              <w:rPr>
                <w:rFonts w:hint="eastAsia" w:ascii="Times New Roman" w:hAnsi="Times New Roman" w:cs="Times New Roman"/>
                <w:color w:val="auto"/>
                <w:sz w:val="24"/>
                <w:szCs w:val="24"/>
                <w:highlight w:val="none"/>
                <w:vertAlign w:val="baseline"/>
                <w:lang w:val="en-US" w:eastAsia="zh-CN"/>
              </w:rPr>
              <w:t>本项目工程设计及施工阶段，严格按照《石油天然气工程项目用地控制指标》（国土资规【2016】14号）执行，控制施工占地。</w:t>
            </w:r>
          </w:p>
        </w:tc>
        <w:tc>
          <w:tcPr>
            <w:tcW w:w="7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pPr>
        <w:widowControl/>
        <w:jc w:val="left"/>
        <w:rPr>
          <w:rFonts w:ascii="Times New Roman" w:hAnsi="Times New Roman" w:eastAsia="宋体" w:cs="Times New Roman"/>
          <w:color w:val="auto"/>
          <w:kern w:val="0"/>
          <w:sz w:val="28"/>
          <w:szCs w:val="28"/>
          <w:highlight w:val="none"/>
          <w:lang w:bidi="ar"/>
        </w:rPr>
      </w:pPr>
      <w:r>
        <w:rPr>
          <w:rFonts w:hint="eastAsia" w:ascii="Times New Roman" w:hAnsi="Times New Roman" w:eastAsia="宋体" w:cs="Times New Roman"/>
          <w:color w:val="auto"/>
          <w:kern w:val="0"/>
          <w:sz w:val="28"/>
          <w:szCs w:val="28"/>
          <w:highlight w:val="none"/>
          <w:lang w:bidi="ar"/>
        </w:rPr>
        <w:t>（3）与黑土地保护政策符合性分析</w:t>
      </w:r>
    </w:p>
    <w:p>
      <w:pPr>
        <w:widowControl/>
        <w:ind w:firstLine="560" w:firstLineChars="200"/>
        <w:jc w:val="left"/>
        <w:rPr>
          <w:rFonts w:ascii="Times New Roman" w:hAnsi="Times New Roman" w:eastAsia="宋体" w:cs="Times New Roman"/>
          <w:color w:val="auto"/>
          <w:kern w:val="0"/>
          <w:sz w:val="28"/>
          <w:szCs w:val="28"/>
          <w:highlight w:val="none"/>
          <w:lang w:bidi="ar"/>
        </w:rPr>
      </w:pPr>
      <w:r>
        <w:rPr>
          <w:rFonts w:hint="eastAsia" w:ascii="Times New Roman" w:hAnsi="Times New Roman" w:eastAsia="宋体" w:cs="Times New Roman"/>
          <w:color w:val="auto"/>
          <w:kern w:val="0"/>
          <w:sz w:val="28"/>
          <w:szCs w:val="28"/>
          <w:highlight w:val="none"/>
          <w:lang w:bidi="ar"/>
        </w:rPr>
        <w:t>本项目与黑土地相关政策符合性分析见下表。</w:t>
      </w:r>
    </w:p>
    <w:p>
      <w:pPr>
        <w:widowControl/>
        <w:spacing w:line="500" w:lineRule="exact"/>
        <w:jc w:val="center"/>
        <w:rPr>
          <w:rFonts w:ascii="Times New Roman" w:hAnsi="Times New Roman" w:eastAsia="宋体" w:cs="Times New Roman"/>
          <w:b/>
          <w:bCs/>
          <w:color w:val="auto"/>
          <w:kern w:val="0"/>
          <w:sz w:val="24"/>
          <w:highlight w:val="none"/>
          <w:lang w:bidi="ar"/>
        </w:rPr>
      </w:pPr>
      <w:r>
        <w:rPr>
          <w:rFonts w:hint="eastAsia" w:ascii="Times New Roman" w:hAnsi="Times New Roman" w:eastAsia="宋体" w:cs="Times New Roman"/>
          <w:b/>
          <w:bCs/>
          <w:color w:val="auto"/>
          <w:kern w:val="0"/>
          <w:sz w:val="24"/>
          <w:highlight w:val="none"/>
          <w:lang w:bidi="ar"/>
        </w:rPr>
        <w:t>表1.4-2与黑土地相关保护政策符合性分析一览表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17"/>
        <w:gridCol w:w="3075"/>
        <w:gridCol w:w="3638"/>
        <w:gridCol w:w="7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7" w:type="dxa"/>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政策</w:t>
            </w:r>
          </w:p>
          <w:p>
            <w:pPr>
              <w:widowControl/>
              <w:spacing w:line="360" w:lineRule="exact"/>
              <w:jc w:val="center"/>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文件</w:t>
            </w:r>
          </w:p>
        </w:tc>
        <w:tc>
          <w:tcPr>
            <w:tcW w:w="3075" w:type="dxa"/>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保护条例要求</w:t>
            </w:r>
          </w:p>
        </w:tc>
        <w:tc>
          <w:tcPr>
            <w:tcW w:w="3638" w:type="dxa"/>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本项目</w:t>
            </w:r>
          </w:p>
        </w:tc>
        <w:tc>
          <w:tcPr>
            <w:tcW w:w="792" w:type="dxa"/>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7" w:type="dxa"/>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《中华人民共和国黑土地保护法》（中华人民共和国主席令第一一五号）</w:t>
            </w:r>
          </w:p>
        </w:tc>
        <w:tc>
          <w:tcPr>
            <w:tcW w:w="3075" w:type="dxa"/>
            <w:tcBorders>
              <w:tl2br w:val="nil"/>
              <w:tr2bl w:val="nil"/>
            </w:tcBorders>
            <w:noWrap w:val="0"/>
            <w:vAlign w:val="center"/>
          </w:tcPr>
          <w:p>
            <w:pPr>
              <w:widowControl/>
              <w:spacing w:line="36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第二十一条</w:t>
            </w:r>
            <w:r>
              <w:rPr>
                <w:rFonts w:hint="eastAsia" w:ascii="Times New Roman" w:hAnsi="Times New Roman" w:cs="Times New Roman"/>
                <w:color w:val="auto"/>
                <w:sz w:val="24"/>
                <w:highlight w:val="none"/>
              </w:rPr>
              <w:t>：建设项目不得占用黑土地；确需占用的，应当依法严格审批，并补充数量和质量相当的耕地。建设项目占用黑土地的，应当按照规定的标准对耕作层的土壤进行剥离。剥离的黑土应当就近用于新开垦耕地和劣质耕地改良、被污染耕地的治理、高标准农田建设、土地复垦等。建设项目主体应当制定剥离黑土的再利用方案，报自然资源主管部门备案。</w:t>
            </w:r>
          </w:p>
        </w:tc>
        <w:tc>
          <w:tcPr>
            <w:tcW w:w="3638" w:type="dxa"/>
            <w:vMerge w:val="restart"/>
            <w:tcBorders>
              <w:tl2br w:val="nil"/>
              <w:tr2bl w:val="nil"/>
            </w:tcBorders>
            <w:noWrap w:val="0"/>
            <w:vAlign w:val="center"/>
          </w:tcPr>
          <w:p>
            <w:pPr>
              <w:widowControl/>
              <w:spacing w:line="360" w:lineRule="exact"/>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1.建设单位根据相关法规及条例，</w:t>
            </w:r>
            <w:r>
              <w:rPr>
                <w:rFonts w:ascii="Times New Roman" w:hAnsi="Times New Roman" w:cs="Times New Roman"/>
                <w:color w:val="auto"/>
                <w:sz w:val="24"/>
                <w:highlight w:val="none"/>
              </w:rPr>
              <w:t>已按有关土地管理办法的要求，逐级上报土地管理部门批准</w:t>
            </w:r>
            <w:r>
              <w:rPr>
                <w:rFonts w:hint="eastAsia" w:ascii="Times New Roman" w:hAnsi="Times New Roman" w:cs="Times New Roman"/>
                <w:color w:val="auto"/>
                <w:sz w:val="24"/>
                <w:highlight w:val="none"/>
              </w:rPr>
              <w:t>。</w:t>
            </w:r>
          </w:p>
          <w:p>
            <w:pPr>
              <w:widowControl/>
              <w:spacing w:line="360" w:lineRule="exact"/>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2.</w:t>
            </w:r>
            <w:r>
              <w:rPr>
                <w:rFonts w:ascii="Times New Roman" w:hAnsi="Times New Roman" w:cs="Times New Roman"/>
                <w:color w:val="auto"/>
                <w:sz w:val="24"/>
                <w:highlight w:val="none"/>
              </w:rPr>
              <w:t>由建设单位负责开垦与所占用耕地的数量和质量相当的耕地</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如果没有条件开垦时，按黑龙江省的规定缴纳耕地开垦费，用于开垦新的耕地。</w:t>
            </w:r>
          </w:p>
          <w:p>
            <w:pPr>
              <w:widowControl/>
              <w:spacing w:line="360" w:lineRule="exact"/>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3.项目施工过程中，</w:t>
            </w:r>
            <w:r>
              <w:rPr>
                <w:rFonts w:ascii="Times New Roman" w:hAnsi="Times New Roman" w:cs="Times New Roman"/>
                <w:color w:val="auto"/>
                <w:sz w:val="24"/>
                <w:highlight w:val="none"/>
              </w:rPr>
              <w:t>表土剥离和利用严格执行《建设占用耕地耕作层土壤剥离利用技术规范》（DB23/T2913-2021）及《黑龙江省人民政府办公厅关于建设占用耕地耕作层土壤剥离利用工作的指导意见》</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剥离表土厚度为0.3m，采用分层开挖，分层堆放，剥离的表土耕地土表面设纱网或草栅覆盖，并定期采取洒水抑尘措施，待工程施工结束后运回原位分层回填，并及时恢复地表植被。</w:t>
            </w:r>
          </w:p>
        </w:tc>
        <w:tc>
          <w:tcPr>
            <w:tcW w:w="792" w:type="dxa"/>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7" w:type="dxa"/>
            <w:vMerge w:val="restart"/>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黑龙江省黑土地保护利用条例</w:t>
            </w:r>
          </w:p>
        </w:tc>
        <w:tc>
          <w:tcPr>
            <w:tcW w:w="3075" w:type="dxa"/>
            <w:tcBorders>
              <w:tl2br w:val="nil"/>
              <w:tr2bl w:val="nil"/>
            </w:tcBorders>
            <w:noWrap w:val="0"/>
            <w:vAlign w:val="center"/>
          </w:tcPr>
          <w:p>
            <w:pPr>
              <w:widowControl/>
              <w:spacing w:line="360" w:lineRule="exact"/>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第八条 黑土地所有权人、承包权人、经营权人、有关管理单位应当依据法律、法规规定和合同约定，因地制宜采取措施保护黑土地，提高黑土地质量，维护生态环境。</w:t>
            </w:r>
          </w:p>
        </w:tc>
        <w:tc>
          <w:tcPr>
            <w:tcW w:w="3638" w:type="dxa"/>
            <w:vMerge w:val="continue"/>
            <w:tcBorders>
              <w:tl2br w:val="nil"/>
              <w:tr2bl w:val="nil"/>
            </w:tcBorders>
            <w:noWrap w:val="0"/>
            <w:vAlign w:val="center"/>
          </w:tcPr>
          <w:p>
            <w:pPr>
              <w:widowControl/>
              <w:spacing w:line="360" w:lineRule="exact"/>
              <w:rPr>
                <w:rFonts w:ascii="Times New Roman" w:hAnsi="Times New Roman" w:cs="Times New Roman"/>
                <w:color w:val="auto"/>
                <w:sz w:val="24"/>
                <w:highlight w:val="none"/>
              </w:rPr>
            </w:pPr>
          </w:p>
        </w:tc>
        <w:tc>
          <w:tcPr>
            <w:tcW w:w="792" w:type="dxa"/>
            <w:vMerge w:val="restart"/>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7" w:type="dxa"/>
            <w:vMerge w:val="continue"/>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p>
        </w:tc>
        <w:tc>
          <w:tcPr>
            <w:tcW w:w="3075" w:type="dxa"/>
            <w:tcBorders>
              <w:tl2br w:val="nil"/>
              <w:tr2bl w:val="nil"/>
            </w:tcBorders>
            <w:noWrap w:val="0"/>
            <w:vAlign w:val="center"/>
          </w:tcPr>
          <w:p>
            <w:pPr>
              <w:widowControl/>
              <w:spacing w:line="36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第四十一条 生产建设活动占用黑土地的，应当按照有关标准、规范和管理规定剥离表土。</w:t>
            </w:r>
          </w:p>
        </w:tc>
        <w:tc>
          <w:tcPr>
            <w:tcW w:w="3638" w:type="dxa"/>
            <w:vMerge w:val="continue"/>
            <w:tcBorders>
              <w:tl2br w:val="nil"/>
              <w:tr2bl w:val="nil"/>
            </w:tcBorders>
            <w:noWrap w:val="0"/>
            <w:vAlign w:val="center"/>
          </w:tcPr>
          <w:p>
            <w:pPr>
              <w:widowControl/>
              <w:spacing w:line="360" w:lineRule="exact"/>
              <w:rPr>
                <w:rFonts w:ascii="Times New Roman" w:hAnsi="Times New Roman" w:cs="Times New Roman"/>
                <w:color w:val="auto"/>
                <w:sz w:val="24"/>
                <w:highlight w:val="none"/>
              </w:rPr>
            </w:pPr>
          </w:p>
        </w:tc>
        <w:tc>
          <w:tcPr>
            <w:tcW w:w="792" w:type="dxa"/>
            <w:vMerge w:val="continue"/>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7" w:type="dxa"/>
            <w:vMerge w:val="continue"/>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p>
        </w:tc>
        <w:tc>
          <w:tcPr>
            <w:tcW w:w="3075" w:type="dxa"/>
            <w:tcBorders>
              <w:tl2br w:val="nil"/>
              <w:tr2bl w:val="nil"/>
            </w:tcBorders>
            <w:noWrap w:val="0"/>
            <w:vAlign w:val="center"/>
          </w:tcPr>
          <w:p>
            <w:pPr>
              <w:widowControl/>
              <w:spacing w:line="36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第四十九条 任何组织和个人应当节约使用黑土。</w:t>
            </w:r>
          </w:p>
        </w:tc>
        <w:tc>
          <w:tcPr>
            <w:tcW w:w="3638" w:type="dxa"/>
            <w:vMerge w:val="continue"/>
            <w:tcBorders>
              <w:tl2br w:val="nil"/>
              <w:tr2bl w:val="nil"/>
            </w:tcBorders>
            <w:noWrap w:val="0"/>
            <w:vAlign w:val="center"/>
          </w:tcPr>
          <w:p>
            <w:pPr>
              <w:widowControl/>
              <w:spacing w:line="360" w:lineRule="exact"/>
              <w:rPr>
                <w:rFonts w:ascii="Times New Roman" w:hAnsi="Times New Roman" w:cs="Times New Roman"/>
                <w:color w:val="auto"/>
                <w:sz w:val="24"/>
                <w:highlight w:val="none"/>
              </w:rPr>
            </w:pPr>
          </w:p>
        </w:tc>
        <w:tc>
          <w:tcPr>
            <w:tcW w:w="792" w:type="dxa"/>
            <w:vMerge w:val="continue"/>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7" w:type="dxa"/>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大庆市</w:t>
            </w:r>
            <w:r>
              <w:rPr>
                <w:rFonts w:hint="eastAsia" w:ascii="Times New Roman" w:hAnsi="Times New Roman" w:cs="Times New Roman"/>
                <w:color w:val="auto"/>
                <w:sz w:val="24"/>
                <w:highlight w:val="none"/>
                <w:lang w:eastAsia="zh-CN"/>
              </w:rPr>
              <w:t>“</w:t>
            </w:r>
            <w:r>
              <w:rPr>
                <w:rFonts w:ascii="Times New Roman" w:hAnsi="Times New Roman" w:cs="Times New Roman"/>
                <w:color w:val="auto"/>
                <w:sz w:val="24"/>
                <w:highlight w:val="none"/>
              </w:rPr>
              <w:t>十四五</w:t>
            </w:r>
            <w:r>
              <w:rPr>
                <w:rFonts w:hint="eastAsia" w:ascii="Times New Roman" w:hAnsi="Times New Roman" w:cs="Times New Roman"/>
                <w:color w:val="auto"/>
                <w:sz w:val="24"/>
                <w:highlight w:val="none"/>
                <w:lang w:eastAsia="zh-CN"/>
              </w:rPr>
              <w:t>”</w:t>
            </w:r>
            <w:r>
              <w:rPr>
                <w:rFonts w:ascii="Times New Roman" w:hAnsi="Times New Roman" w:cs="Times New Roman"/>
                <w:color w:val="auto"/>
                <w:sz w:val="24"/>
                <w:highlight w:val="none"/>
              </w:rPr>
              <w:t>黑土地保护规划</w:t>
            </w:r>
          </w:p>
        </w:tc>
        <w:tc>
          <w:tcPr>
            <w:tcW w:w="3075" w:type="dxa"/>
            <w:tcBorders>
              <w:tl2br w:val="nil"/>
              <w:tr2bl w:val="nil"/>
            </w:tcBorders>
            <w:noWrap w:val="0"/>
            <w:vAlign w:val="center"/>
          </w:tcPr>
          <w:p>
            <w:pPr>
              <w:widowControl/>
              <w:spacing w:line="360" w:lineRule="exact"/>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严格落实耕地占补平衡、易地补充耕地、土地复垦等政策；建设项目占用耕地的，应当按规定进行表土剥离和利用。</w:t>
            </w:r>
          </w:p>
        </w:tc>
        <w:tc>
          <w:tcPr>
            <w:tcW w:w="3638" w:type="dxa"/>
            <w:vMerge w:val="continue"/>
            <w:tcBorders>
              <w:tl2br w:val="nil"/>
              <w:tr2bl w:val="nil"/>
            </w:tcBorders>
            <w:noWrap w:val="0"/>
            <w:vAlign w:val="center"/>
          </w:tcPr>
          <w:p>
            <w:pPr>
              <w:widowControl/>
              <w:spacing w:line="360" w:lineRule="exact"/>
              <w:rPr>
                <w:rFonts w:ascii="Times New Roman" w:hAnsi="Times New Roman" w:cs="Times New Roman"/>
                <w:color w:val="auto"/>
                <w:sz w:val="24"/>
                <w:highlight w:val="none"/>
              </w:rPr>
            </w:pPr>
          </w:p>
        </w:tc>
        <w:tc>
          <w:tcPr>
            <w:tcW w:w="792" w:type="dxa"/>
            <w:tcBorders>
              <w:tl2br w:val="nil"/>
              <w:tr2bl w:val="nil"/>
            </w:tcBorders>
            <w:noWrap w:val="0"/>
            <w:vAlign w:val="center"/>
          </w:tcPr>
          <w:p>
            <w:pPr>
              <w:widowControl/>
              <w:spacing w:line="360" w:lineRule="exact"/>
              <w:jc w:val="center"/>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符合</w:t>
            </w:r>
          </w:p>
        </w:tc>
      </w:tr>
    </w:tbl>
    <w:p>
      <w:pPr>
        <w:keepNext w:val="0"/>
        <w:keepLines w:val="0"/>
        <w:widowControl/>
        <w:suppressLineNumbers w:val="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与《黑龙江省主体功能区规划》符合性分析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本项目位于大庆市肇州县双发乡境内，根据</w:t>
      </w:r>
      <w:r>
        <w:rPr>
          <w:rFonts w:hint="default" w:ascii="Times New Roman" w:hAnsi="Times New Roman" w:eastAsia="宋体" w:cs="Times New Roman"/>
          <w:color w:val="auto"/>
          <w:kern w:val="0"/>
          <w:sz w:val="28"/>
          <w:szCs w:val="28"/>
          <w:highlight w:val="none"/>
          <w:lang w:val="en-US" w:eastAsia="zh-CN" w:bidi="ar"/>
        </w:rPr>
        <w:t>《黑龙江省主体功能区规划》</w:t>
      </w:r>
      <w:r>
        <w:rPr>
          <w:rFonts w:hint="eastAsia" w:ascii="Times New Roman" w:hAnsi="Times New Roman" w:eastAsia="宋体" w:cs="Times New Roman"/>
          <w:color w:val="auto"/>
          <w:kern w:val="0"/>
          <w:sz w:val="28"/>
          <w:szCs w:val="28"/>
          <w:highlight w:val="none"/>
          <w:lang w:val="en-US" w:eastAsia="zh-CN" w:bidi="ar"/>
        </w:rPr>
        <w:t>，位于国家限制开发区域-农产品主产区内。</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w:t>
      </w:r>
      <w:r>
        <w:rPr>
          <w:rFonts w:hint="default" w:ascii="Times New Roman" w:hAnsi="Times New Roman" w:eastAsia="宋体" w:cs="Times New Roman"/>
          <w:color w:val="auto"/>
          <w:kern w:val="0"/>
          <w:sz w:val="28"/>
          <w:szCs w:val="28"/>
          <w:highlight w:val="none"/>
          <w:lang w:val="en-US" w:eastAsia="zh-CN" w:bidi="ar"/>
        </w:rPr>
        <w:t>《黑龙江省主体功能区规划》</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第</w:t>
      </w:r>
      <w:r>
        <w:rPr>
          <w:rFonts w:hint="eastAsia" w:ascii="Times New Roman" w:hAnsi="Times New Roman" w:eastAsia="宋体" w:cs="Times New Roman"/>
          <w:color w:val="auto"/>
          <w:kern w:val="0"/>
          <w:sz w:val="28"/>
          <w:szCs w:val="28"/>
          <w:highlight w:val="none"/>
          <w:lang w:val="en-US" w:eastAsia="zh-CN" w:bidi="ar"/>
        </w:rPr>
        <w:t>七</w:t>
      </w:r>
      <w:r>
        <w:rPr>
          <w:rFonts w:hint="default" w:ascii="Times New Roman" w:hAnsi="Times New Roman" w:eastAsia="宋体" w:cs="Times New Roman"/>
          <w:color w:val="auto"/>
          <w:kern w:val="0"/>
          <w:sz w:val="28"/>
          <w:szCs w:val="28"/>
          <w:highlight w:val="none"/>
          <w:lang w:val="en-US" w:eastAsia="zh-CN" w:bidi="ar"/>
        </w:rPr>
        <w:t>章</w:t>
      </w:r>
      <w:r>
        <w:rPr>
          <w:rFonts w:hint="eastAsia" w:ascii="Times New Roman" w:hAnsi="Times New Roman" w:eastAsia="宋体" w:cs="Times New Roman"/>
          <w:color w:val="auto"/>
          <w:kern w:val="0"/>
          <w:sz w:val="28"/>
          <w:szCs w:val="28"/>
          <w:highlight w:val="none"/>
          <w:lang w:val="en-US" w:eastAsia="zh-CN" w:bidi="ar"/>
        </w:rPr>
        <w:t xml:space="preserve"> </w:t>
      </w:r>
      <w:r>
        <w:rPr>
          <w:rFonts w:hint="default" w:ascii="Times New Roman" w:hAnsi="Times New Roman" w:eastAsia="宋体" w:cs="Times New Roman"/>
          <w:color w:val="auto"/>
          <w:kern w:val="0"/>
          <w:sz w:val="28"/>
          <w:szCs w:val="28"/>
          <w:highlight w:val="none"/>
          <w:lang w:val="en-US" w:eastAsia="zh-CN" w:bidi="ar"/>
        </w:rPr>
        <w:t>禁止开发区域</w:t>
      </w:r>
      <w:r>
        <w:rPr>
          <w:rFonts w:hint="eastAsia" w:ascii="Times New Roman" w:hAnsi="Times New Roman" w:eastAsia="宋体" w:cs="Times New Roman"/>
          <w:color w:val="auto"/>
          <w:kern w:val="0"/>
          <w:sz w:val="28"/>
          <w:szCs w:val="28"/>
          <w:highlight w:val="none"/>
          <w:lang w:val="en-US" w:eastAsia="zh-CN" w:bidi="ar"/>
        </w:rPr>
        <w:t>”第五节 基本农田，国家能源、交通、水利、军事设施等重点建设项目选址确实无法避开基本农田，需要占用基本农田，涉及农用地转用或者征用的，必须经国务院批准。经国务院批准占用基本农田的，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里的规定缴纳耕地开垦费，专款用于开垦新的耕地。</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第四篇能源与资源-第八章能源与资源-第三节主要矿产资源开发利用提出：鼓励开采石油、天然气、煤层气、地热、油页岩等矿产资源</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本项目为</w:t>
      </w:r>
      <w:r>
        <w:rPr>
          <w:rFonts w:hint="default" w:ascii="Times New Roman" w:hAnsi="Times New Roman" w:eastAsia="宋体" w:cs="Times New Roman"/>
          <w:color w:val="auto"/>
          <w:kern w:val="0"/>
          <w:sz w:val="28"/>
          <w:szCs w:val="28"/>
          <w:highlight w:val="none"/>
          <w:lang w:val="en-US" w:eastAsia="zh-CN" w:bidi="ar"/>
        </w:rPr>
        <w:t>天然气开采前期钻井项目，</w:t>
      </w:r>
      <w:r>
        <w:rPr>
          <w:rFonts w:hint="eastAsia" w:ascii="Times New Roman" w:hAnsi="Times New Roman" w:eastAsia="宋体" w:cs="Times New Roman"/>
          <w:color w:val="auto"/>
          <w:kern w:val="0"/>
          <w:sz w:val="28"/>
          <w:szCs w:val="28"/>
          <w:highlight w:val="none"/>
          <w:lang w:val="en-US" w:eastAsia="zh-CN" w:bidi="ar"/>
        </w:rPr>
        <w:t>为国家能源设施重点建设项目，根据地下储层特性，无法避让耕地，已按有关土地管理办法的要求，逐级上报土地管理部门批准；已按照补偿原则，在项目设计阶段，设置专款用于占地的生态恢复及农作物经济赔偿。</w:t>
      </w:r>
      <w:r>
        <w:rPr>
          <w:rFonts w:hint="default" w:ascii="Times New Roman" w:hAnsi="Times New Roman" w:eastAsia="宋体" w:cs="Times New Roman"/>
          <w:color w:val="auto"/>
          <w:kern w:val="0"/>
          <w:sz w:val="28"/>
          <w:szCs w:val="28"/>
          <w:highlight w:val="none"/>
          <w:lang w:val="en-US" w:eastAsia="zh-CN" w:bidi="ar"/>
        </w:rPr>
        <w:t>本项目建设符合《黑龙江省主体功能区规划》要求。</w:t>
      </w:r>
    </w:p>
    <w:p>
      <w:pPr>
        <w:keepNext w:val="0"/>
        <w:keepLines w:val="0"/>
        <w:widowControl/>
        <w:suppressLineNumbers w:val="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（5）与</w:t>
      </w:r>
      <w:r>
        <w:rPr>
          <w:rFonts w:hint="default" w:ascii="Times New Roman" w:hAnsi="Times New Roman" w:eastAsia="宋体" w:cs="Times New Roman"/>
          <w:color w:val="auto"/>
          <w:kern w:val="0"/>
          <w:sz w:val="28"/>
          <w:szCs w:val="28"/>
          <w:highlight w:val="none"/>
          <w:lang w:val="en-US" w:eastAsia="zh-CN" w:bidi="ar"/>
        </w:rPr>
        <w:t>《黑龙江省生态功能区划》符合性分析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根据《黑龙江省生态功能区划》，本项目所在区域位于Ⅰ-6-1-2大庆地区矿业与土壤保持生态功能区，大庆市肇州县双发乡境内，建成后永久占地面积为</w:t>
      </w:r>
      <w:r>
        <w:rPr>
          <w:rFonts w:hint="eastAsia" w:ascii="Times New Roman" w:hAnsi="Times New Roman" w:eastAsia="宋体" w:cs="Times New Roman"/>
          <w:color w:val="auto"/>
          <w:kern w:val="0"/>
          <w:sz w:val="28"/>
          <w:szCs w:val="28"/>
          <w:highlight w:val="none"/>
          <w:lang w:val="en-US" w:eastAsia="zh-CN" w:bidi="ar"/>
        </w:rPr>
        <w:t>0.48</w:t>
      </w:r>
      <w:r>
        <w:rPr>
          <w:rFonts w:hint="default" w:ascii="Times New Roman" w:hAnsi="Times New Roman" w:eastAsia="宋体" w:cs="Times New Roman"/>
          <w:color w:val="auto"/>
          <w:kern w:val="0"/>
          <w:sz w:val="28"/>
          <w:szCs w:val="28"/>
          <w:highlight w:val="none"/>
          <w:lang w:val="en-US" w:eastAsia="zh-CN" w:bidi="ar"/>
        </w:rPr>
        <w:t>hm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，占地均为基本农田，项目占地面积较小。为防止项目钻井施工期间，造成大面积的土地退化，项目</w:t>
      </w:r>
      <w:r>
        <w:rPr>
          <w:rFonts w:hint="eastAsia" w:ascii="Times New Roman" w:hAnsi="Times New Roman" w:eastAsia="宋体" w:cs="Times New Roman"/>
          <w:color w:val="auto"/>
          <w:kern w:val="0"/>
          <w:sz w:val="28"/>
          <w:szCs w:val="28"/>
          <w:highlight w:val="none"/>
          <w:lang w:val="en-US" w:eastAsia="zh-CN" w:bidi="ar"/>
        </w:rPr>
        <w:t>施工过程中</w:t>
      </w:r>
      <w:r>
        <w:rPr>
          <w:rFonts w:hint="default" w:ascii="Times New Roman" w:hAnsi="Times New Roman" w:eastAsia="宋体" w:cs="Times New Roman"/>
          <w:color w:val="auto"/>
          <w:kern w:val="0"/>
          <w:sz w:val="28"/>
          <w:szCs w:val="28"/>
          <w:highlight w:val="none"/>
          <w:lang w:val="en-US" w:eastAsia="zh-CN" w:bidi="ar"/>
        </w:rPr>
        <w:t>采用分层开挖、分层堆放的方式，剥离的表</w:t>
      </w:r>
      <w:r>
        <w:rPr>
          <w:rFonts w:hint="eastAsia" w:ascii="Times New Roman" w:hAnsi="Times New Roman" w:eastAsia="宋体" w:cs="Times New Roman"/>
          <w:color w:val="auto"/>
          <w:kern w:val="0"/>
          <w:sz w:val="28"/>
          <w:szCs w:val="28"/>
          <w:highlight w:val="none"/>
          <w:lang w:val="en-US" w:eastAsia="zh-CN" w:bidi="ar"/>
        </w:rPr>
        <w:t>层耕地土</w:t>
      </w:r>
      <w:r>
        <w:rPr>
          <w:rFonts w:hint="default" w:ascii="Times New Roman" w:hAnsi="Times New Roman" w:eastAsia="宋体" w:cs="Times New Roman"/>
          <w:color w:val="auto"/>
          <w:kern w:val="0"/>
          <w:sz w:val="28"/>
          <w:szCs w:val="28"/>
          <w:highlight w:val="none"/>
          <w:lang w:val="en-US" w:eastAsia="zh-CN" w:bidi="ar"/>
        </w:rPr>
        <w:t>推放在井场临时占地范围内的存储区，堆土表面设纱网或草栅覆盖；施工结束后，土壤进行原位</w:t>
      </w:r>
      <w:r>
        <w:rPr>
          <w:rFonts w:hint="eastAsia" w:ascii="Times New Roman" w:hAnsi="Times New Roman" w:eastAsia="宋体" w:cs="Times New Roman"/>
          <w:color w:val="auto"/>
          <w:kern w:val="0"/>
          <w:sz w:val="28"/>
          <w:szCs w:val="28"/>
          <w:highlight w:val="none"/>
          <w:lang w:val="en-US" w:eastAsia="zh-CN" w:bidi="ar"/>
        </w:rPr>
        <w:t>、分层</w:t>
      </w:r>
      <w:r>
        <w:rPr>
          <w:rFonts w:hint="default" w:ascii="Times New Roman" w:hAnsi="Times New Roman" w:eastAsia="宋体" w:cs="Times New Roman"/>
          <w:color w:val="auto"/>
          <w:kern w:val="0"/>
          <w:sz w:val="28"/>
          <w:szCs w:val="28"/>
          <w:highlight w:val="none"/>
          <w:lang w:val="en-US" w:eastAsia="zh-CN" w:bidi="ar"/>
        </w:rPr>
        <w:t>回填，</w:t>
      </w:r>
      <w:r>
        <w:rPr>
          <w:rFonts w:hint="eastAsia" w:ascii="Times New Roman" w:hAnsi="Times New Roman" w:eastAsia="宋体" w:cs="Times New Roman"/>
          <w:color w:val="auto"/>
          <w:kern w:val="0"/>
          <w:sz w:val="28"/>
          <w:szCs w:val="28"/>
          <w:highlight w:val="none"/>
          <w:lang w:val="en-US" w:eastAsia="zh-CN" w:bidi="ar"/>
        </w:rPr>
        <w:t>进行地面</w:t>
      </w:r>
      <w:r>
        <w:rPr>
          <w:rFonts w:hint="default" w:ascii="Times New Roman" w:hAnsi="Times New Roman" w:eastAsia="宋体" w:cs="Times New Roman"/>
          <w:color w:val="auto"/>
          <w:kern w:val="0"/>
          <w:sz w:val="28"/>
          <w:szCs w:val="28"/>
          <w:highlight w:val="none"/>
          <w:lang w:val="en-US" w:eastAsia="zh-CN" w:bidi="ar"/>
        </w:rPr>
        <w:t>平整，恢复</w:t>
      </w:r>
      <w:r>
        <w:rPr>
          <w:rFonts w:hint="eastAsia" w:ascii="Times New Roman" w:hAnsi="Times New Roman" w:eastAsia="宋体" w:cs="Times New Roman"/>
          <w:color w:val="auto"/>
          <w:kern w:val="0"/>
          <w:sz w:val="28"/>
          <w:szCs w:val="28"/>
          <w:highlight w:val="none"/>
          <w:lang w:val="en-US" w:eastAsia="zh-CN" w:bidi="ar"/>
        </w:rPr>
        <w:t>农作物</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合理规划道路运输路线，尽量利用现有公路网络，对临时占用的耕地进行复垦。同时在项目实施过程中，加强防沙治沙和水土保持措施的实施。本项目符合《黑龙江省生态功能区划》的要求。</w:t>
      </w:r>
    </w:p>
    <w:p>
      <w:pPr>
        <w:keepNext w:val="0"/>
        <w:keepLines w:val="0"/>
        <w:widowControl/>
        <w:suppressLineNumbers w:val="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（6）</w:t>
      </w:r>
      <w:r>
        <w:rPr>
          <w:rFonts w:hint="default" w:ascii="Times New Roman" w:hAnsi="Times New Roman" w:eastAsia="宋体" w:cs="Times New Roman"/>
          <w:color w:val="auto"/>
          <w:kern w:val="0"/>
          <w:sz w:val="28"/>
          <w:szCs w:val="28"/>
          <w:highlight w:val="none"/>
          <w:lang w:val="en-US" w:eastAsia="zh-CN" w:bidi="ar"/>
        </w:rPr>
        <w:t>水土保持规划符合性分析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大庆市水土保持规划（2015~2030年）》，大庆市划定了市级重点预防区和重点治理区，重点预防区包括林甸县、肇源县和杜蒙县部分乡镇，重点治理区包括红岗区、大同区、林甸县、肇源县及杜蒙县部分乡镇，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位于肇州县双发乡境内，位于</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两区</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之外，不属于重点预防区和重点治理区。本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的建设与该规划的符合性分析见表1.4-</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与《大庆市水保规划（2015～2030）》符合性一览表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80"/>
        <w:gridCol w:w="3075"/>
        <w:gridCol w:w="3712"/>
        <w:gridCol w:w="9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规划要求</w:t>
            </w:r>
          </w:p>
        </w:tc>
        <w:tc>
          <w:tcPr>
            <w:tcW w:w="3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3.3.1.4工矿区治理中要求“治理措施以植被恢复为主，采用种草、种树绿化方法，治理油田开采和砖厂取土生产等造成的地表植被破坏”。</w:t>
            </w:r>
          </w:p>
        </w:tc>
        <w:tc>
          <w:tcPr>
            <w:tcW w:w="3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本项目施工过程中不打乱土层，先挖表土层，单独堆放；然后挖心、底土层另外堆放。复原时先填心、底土，后平覆表土，以便尽快恢复植被，对临时占用的耕地进行复垦。通过上述措施，可以尽快将临时占地的</w:t>
            </w:r>
            <w:r>
              <w:rPr>
                <w:rFonts w:hint="eastAsia" w:ascii="Times New Roman" w:hAnsi="Times New Roman" w:cs="Times New Roman"/>
                <w:color w:val="auto"/>
                <w:sz w:val="24"/>
                <w:szCs w:val="24"/>
                <w:highlight w:val="none"/>
                <w:vertAlign w:val="baseline"/>
                <w:lang w:val="en-US" w:eastAsia="zh-CN"/>
              </w:rPr>
              <w:t>农作物</w:t>
            </w:r>
            <w:r>
              <w:rPr>
                <w:rFonts w:hint="default" w:ascii="Times New Roman" w:hAnsi="Times New Roman" w:cs="Times New Roman"/>
                <w:color w:val="auto"/>
                <w:sz w:val="24"/>
                <w:szCs w:val="24"/>
                <w:highlight w:val="none"/>
                <w:vertAlign w:val="baseline"/>
                <w:lang w:val="en-US" w:eastAsia="zh-CN"/>
              </w:rPr>
              <w:t>恢复至原有</w:t>
            </w:r>
            <w:r>
              <w:rPr>
                <w:rFonts w:hint="eastAsia" w:ascii="Times New Roman" w:hAnsi="Times New Roman" w:cs="Times New Roman"/>
                <w:color w:val="auto"/>
                <w:sz w:val="24"/>
                <w:szCs w:val="24"/>
                <w:highlight w:val="none"/>
                <w:vertAlign w:val="baseline"/>
                <w:lang w:val="en-US" w:eastAsia="zh-CN"/>
              </w:rPr>
              <w:t>生产力</w:t>
            </w:r>
            <w:r>
              <w:rPr>
                <w:rFonts w:hint="default" w:ascii="Times New Roman" w:hAnsi="Times New Roman" w:cs="Times New Roman"/>
                <w:color w:val="auto"/>
                <w:sz w:val="24"/>
                <w:szCs w:val="24"/>
                <w:highlight w:val="none"/>
                <w:vertAlign w:val="baseline"/>
                <w:lang w:val="en-US" w:eastAsia="zh-CN"/>
              </w:rPr>
              <w:t>水平。</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3.3.3.3次生盐渍化防治中要求</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建立完善水利排水工程，避免工业污水浸泡农田；生产建设用地破坏植被应及时采取恢复植被措施，避免造成次生盐渍化</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3712"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本</w:t>
            </w:r>
            <w:r>
              <w:rPr>
                <w:rFonts w:hint="eastAsia" w:ascii="Times New Roman" w:hAnsi="Times New Roman" w:cs="Times New Roman"/>
                <w:color w:val="auto"/>
                <w:sz w:val="24"/>
                <w:szCs w:val="24"/>
                <w:highlight w:val="none"/>
                <w:vertAlign w:val="baseline"/>
                <w:lang w:val="en-US" w:eastAsia="zh-CN"/>
              </w:rPr>
              <w:t>项目施工期一般钻井废水拉运至黑龙江龙之润五厂处理站处理；含油钻井废水拉运至废弃泥浆无害化处理油基泥浆站处理；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2.压裂返排液拉运至拉运哈19卸液站处理；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3.试气产液拉运至升一联气田污水预处理站处理，均不外排。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2.本项目在施工期间，对施工场界周围设置档风板，在周围临时种植一些农作物，防止土壤水分过度流失，造成土壤</w:t>
            </w:r>
            <w:r>
              <w:rPr>
                <w:rFonts w:hint="default" w:ascii="Times New Roman" w:hAnsi="Times New Roman" w:cs="Times New Roman"/>
                <w:color w:val="auto"/>
                <w:sz w:val="24"/>
                <w:szCs w:val="24"/>
                <w:highlight w:val="none"/>
                <w:vertAlign w:val="baseline"/>
                <w:lang w:val="en-US" w:eastAsia="zh-CN"/>
              </w:rPr>
              <w:t>盐渍</w:t>
            </w:r>
            <w:r>
              <w:rPr>
                <w:rFonts w:hint="eastAsia" w:ascii="Times New Roman" w:hAnsi="Times New Roman" w:cs="Times New Roman"/>
                <w:color w:val="auto"/>
                <w:sz w:val="24"/>
                <w:szCs w:val="24"/>
                <w:highlight w:val="none"/>
                <w:vertAlign w:val="baseline"/>
                <w:lang w:val="en-US" w:eastAsia="zh-CN"/>
              </w:rPr>
              <w:t>。</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4.1.2预防对象</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全市范围的各种开发建设活动</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4.2.1.2技术措施中要求</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在治理工程中，优先使用封禁等生态修复措施，保护自然植被，恢复采伐迹地植被</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3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w:t>
            </w:r>
            <w:r>
              <w:rPr>
                <w:rFonts w:hint="eastAsia" w:ascii="Times New Roman" w:hAnsi="Times New Roman" w:cs="Times New Roman"/>
                <w:color w:val="auto"/>
                <w:sz w:val="24"/>
                <w:szCs w:val="24"/>
                <w:highlight w:val="none"/>
                <w:vertAlign w:val="baseline"/>
                <w:lang w:val="en-US" w:eastAsia="zh-CN"/>
              </w:rPr>
              <w:t>项目</w:t>
            </w:r>
            <w:r>
              <w:rPr>
                <w:rFonts w:hint="default" w:ascii="Times New Roman" w:hAnsi="Times New Roman" w:cs="Times New Roman"/>
                <w:color w:val="auto"/>
                <w:sz w:val="24"/>
                <w:szCs w:val="24"/>
                <w:highlight w:val="none"/>
                <w:vertAlign w:val="baseline"/>
                <w:lang w:val="en-US" w:eastAsia="zh-CN"/>
              </w:rPr>
              <w:t>施工结束</w:t>
            </w:r>
            <w:r>
              <w:rPr>
                <w:rFonts w:hint="eastAsia" w:ascii="Times New Roman" w:hAnsi="Times New Roman" w:cs="Times New Roman"/>
                <w:color w:val="auto"/>
                <w:sz w:val="24"/>
                <w:szCs w:val="24"/>
                <w:highlight w:val="none"/>
                <w:vertAlign w:val="baseline"/>
                <w:lang w:val="en-US" w:eastAsia="zh-CN"/>
              </w:rPr>
              <w:t>后，优先进行临时占地的农作物生产力恢复；项目已在设计阶段，设置专款用于生态恢复及农作物经济补偿；预计3年内，临时占地生态量及生产力可恢复至施工前水平。</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（6）</w:t>
      </w:r>
      <w:r>
        <w:rPr>
          <w:rFonts w:hint="default" w:ascii="Times New Roman" w:hAnsi="Times New Roman" w:eastAsia="宋体" w:cs="Times New Roman"/>
          <w:color w:val="auto"/>
          <w:kern w:val="0"/>
          <w:sz w:val="28"/>
          <w:szCs w:val="28"/>
          <w:highlight w:val="none"/>
          <w:lang w:val="en-US" w:eastAsia="zh-CN" w:bidi="ar"/>
        </w:rPr>
        <w:t>与《黑龙江省石油天然气勘探开发环境保护条例》（2018年修正）符合性分析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本项目与《黑龙江省石油天然气勘探开发环境保护条例》符合性分析见下表。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表1.4-3与《黑龙江省石油天然气勘探开发环境保护条例》符合性一览表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80"/>
        <w:gridCol w:w="3137"/>
        <w:gridCol w:w="3650"/>
        <w:gridCol w:w="9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3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保护条例要求</w:t>
            </w:r>
          </w:p>
        </w:tc>
        <w:tc>
          <w:tcPr>
            <w:tcW w:w="3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3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油气勘探开发单位应当对本单位排放污染物和污染防治设施运行情况进行定期监测，掌握污染动态。</w:t>
            </w:r>
          </w:p>
        </w:tc>
        <w:tc>
          <w:tcPr>
            <w:tcW w:w="3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本项目建设单位根据《排污单位自行监测技术指南 总则》（HJ819-2017）</w:t>
            </w:r>
            <w:r>
              <w:rPr>
                <w:rFonts w:hint="eastAsia" w:ascii="Times New Roman" w:hAnsi="Times New Roman" w:cs="Times New Roman"/>
                <w:color w:val="auto"/>
                <w:sz w:val="24"/>
                <w:szCs w:val="24"/>
                <w:highlight w:val="none"/>
                <w:vertAlign w:val="baseline"/>
                <w:lang w:val="en-US" w:eastAsia="zh-CN"/>
              </w:rPr>
              <w:t>及《</w:t>
            </w:r>
            <w:r>
              <w:rPr>
                <w:rFonts w:hint="default" w:ascii="Times New Roman" w:hAnsi="Times New Roman" w:cs="Times New Roman"/>
                <w:color w:val="auto"/>
                <w:sz w:val="24"/>
                <w:szCs w:val="24"/>
                <w:highlight w:val="none"/>
                <w:vertAlign w:val="baseline"/>
                <w:lang w:val="en-US" w:eastAsia="zh-CN"/>
              </w:rPr>
              <w:t>排污单位自行监测技术指南</w:t>
            </w:r>
            <w:r>
              <w:rPr>
                <w:rFonts w:hint="eastAsia" w:ascii="Times New Roman" w:hAnsi="Times New Roman" w:cs="Times New Roman"/>
                <w:color w:val="auto"/>
                <w:sz w:val="24"/>
                <w:szCs w:val="24"/>
                <w:highlight w:val="none"/>
                <w:vertAlign w:val="baseline"/>
                <w:lang w:val="en-US" w:eastAsia="zh-CN"/>
              </w:rPr>
              <w:t xml:space="preserve"> 陆上石油天然气开采工业》（HJ1248-2022）</w:t>
            </w:r>
            <w:r>
              <w:rPr>
                <w:rFonts w:hint="default" w:ascii="Times New Roman" w:hAnsi="Times New Roman" w:cs="Times New Roman"/>
                <w:color w:val="auto"/>
                <w:sz w:val="24"/>
                <w:szCs w:val="24"/>
                <w:highlight w:val="none"/>
                <w:vertAlign w:val="baseline"/>
                <w:lang w:val="en-US" w:eastAsia="zh-CN"/>
              </w:rPr>
              <w:t>制定了</w:t>
            </w:r>
            <w:r>
              <w:rPr>
                <w:rFonts w:hint="eastAsia" w:ascii="Times New Roman" w:hAnsi="Times New Roman" w:cs="Times New Roman"/>
                <w:color w:val="auto"/>
                <w:sz w:val="24"/>
                <w:szCs w:val="24"/>
                <w:highlight w:val="none"/>
                <w:vertAlign w:val="baseline"/>
                <w:lang w:val="en-US" w:eastAsia="zh-CN"/>
              </w:rPr>
              <w:t>污染物</w:t>
            </w:r>
            <w:r>
              <w:rPr>
                <w:rFonts w:hint="default" w:ascii="Times New Roman" w:hAnsi="Times New Roman" w:cs="Times New Roman"/>
                <w:color w:val="auto"/>
                <w:sz w:val="24"/>
                <w:szCs w:val="24"/>
                <w:highlight w:val="none"/>
                <w:vertAlign w:val="baseline"/>
                <w:lang w:val="en-US" w:eastAsia="zh-CN"/>
              </w:rPr>
              <w:t>监测计划</w:t>
            </w:r>
            <w:r>
              <w:rPr>
                <w:rFonts w:hint="eastAsia" w:ascii="Times New Roman" w:hAnsi="Times New Roman" w:cs="Times New Roman"/>
                <w:color w:val="auto"/>
                <w:sz w:val="24"/>
                <w:szCs w:val="24"/>
                <w:highlight w:val="none"/>
                <w:vertAlign w:val="baseline"/>
                <w:lang w:val="en-US" w:eastAsia="zh-CN"/>
              </w:rPr>
              <w:t>及环境跟踪监测计划，详见表8.2-2。</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p>
        </w:tc>
        <w:tc>
          <w:tcPr>
            <w:tcW w:w="3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油气勘探开发单位应当制订环境污染突发性事件应急预案；油气勘探开发单位发生污染事故，应当立即采取措施处理，控制事故范围。</w:t>
            </w:r>
          </w:p>
        </w:tc>
        <w:tc>
          <w:tcPr>
            <w:tcW w:w="3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大庆油田有限责任公司采气分公司按预案要求已编制完成了《突发事件总体应急预案》、《突发环境事件专项应急预案》，并报所在地生态环境主管部门备案。</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w:t>
            </w:r>
          </w:p>
        </w:tc>
        <w:tc>
          <w:tcPr>
            <w:tcW w:w="3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油气勘探开发单位进行钻井时，应当使用密闭钻井液循环罐等设备。油气勘探开发单位应当在钻井液中使用无毒化学药剂。特殊情况需要使用含毒化学药剂的，应当向所在地市级环保部门报告，环保部门应当及时向有关部门通报。废弃钻井液、废水、岩屑、污油等应当进行处理，严禁随意排放。废弃钻井液集中处理排放场所选址应当经所在地市级环保部门同意。</w:t>
            </w:r>
          </w:p>
        </w:tc>
        <w:tc>
          <w:tcPr>
            <w:tcW w:w="3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废弃水基钻井液及水基岩屑拉运至黑龙江龙之润五厂处理站处理；废弃油基钻井液及油基岩屑拉运至废弃泥浆无害化处理油基泥浆站处理。</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w:t>
            </w:r>
          </w:p>
        </w:tc>
        <w:tc>
          <w:tcPr>
            <w:tcW w:w="3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油气勘探开发单位对井下作业和测试时产生的废液、废水应当采取有效措施进行回收利用，严禁随意排放。</w:t>
            </w:r>
          </w:p>
        </w:tc>
        <w:tc>
          <w:tcPr>
            <w:tcW w:w="3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本项目施工过程中产生的钻井废水、废弃钻井液、压裂返排液及试气采出液均拉运至其他单位进行处置，均不外排。</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w:t>
            </w:r>
          </w:p>
        </w:tc>
        <w:tc>
          <w:tcPr>
            <w:tcW w:w="3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在江河、湖泊、渠道、水库等地表水体或者附近进行油气勘探开发活动的，应当采取有效措施防止污染水体和破坏水体功能。排放污水必须按照该区域水功能区划标准达标排放，严禁直接或者稀释排放。废弃钻井液、岩屑、污油及其他工业固体废物、生活垃圾必须回收，不得排放或者弃置水体。</w:t>
            </w:r>
          </w:p>
        </w:tc>
        <w:tc>
          <w:tcPr>
            <w:tcW w:w="3650"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本项目新建井场位于肇州县双发乡境内，</w:t>
            </w:r>
            <w:r>
              <w:rPr>
                <w:rFonts w:hint="eastAsia" w:ascii="Times New Roman" w:hAnsi="Times New Roman" w:cs="Times New Roman"/>
                <w:color w:val="auto"/>
                <w:sz w:val="24"/>
                <w:szCs w:val="24"/>
                <w:highlight w:val="none"/>
                <w:vertAlign w:val="baseline"/>
                <w:lang w:val="en-US" w:eastAsia="zh-CN"/>
              </w:rPr>
              <w:t>距离本项目最近地表水体为</w:t>
            </w:r>
            <w:r>
              <w:rPr>
                <w:rFonts w:hint="default" w:ascii="Times New Roman" w:hAnsi="Times New Roman" w:cs="Times New Roman"/>
                <w:color w:val="auto"/>
                <w:sz w:val="24"/>
                <w:szCs w:val="24"/>
                <w:highlight w:val="none"/>
                <w:vertAlign w:val="baseline"/>
                <w:lang w:val="en-US" w:eastAsia="zh-CN"/>
              </w:rPr>
              <w:t>北大干渠</w:t>
            </w:r>
            <w:r>
              <w:rPr>
                <w:rFonts w:hint="eastAsia" w:ascii="Times New Roman" w:hAnsi="Times New Roman" w:cs="Times New Roman"/>
                <w:color w:val="auto"/>
                <w:sz w:val="24"/>
                <w:szCs w:val="24"/>
                <w:highlight w:val="none"/>
                <w:vertAlign w:val="baseline"/>
                <w:lang w:val="en-US" w:eastAsia="zh-CN"/>
              </w:rPr>
              <w:t>，位于拟建井场东侧，</w:t>
            </w:r>
            <w:r>
              <w:rPr>
                <w:rFonts w:hint="default" w:ascii="Times New Roman" w:hAnsi="Times New Roman" w:cs="Times New Roman"/>
                <w:color w:val="auto"/>
                <w:sz w:val="24"/>
                <w:szCs w:val="24"/>
                <w:highlight w:val="none"/>
                <w:vertAlign w:val="baseline"/>
                <w:lang w:val="en-US" w:eastAsia="zh-CN"/>
              </w:rPr>
              <w:t>相对最近距离为1.8km</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由北向南流经，</w:t>
            </w:r>
            <w:r>
              <w:rPr>
                <w:rFonts w:hint="eastAsia" w:ascii="Times New Roman" w:hAnsi="Times New Roman" w:cs="Times New Roman"/>
                <w:color w:val="auto"/>
                <w:sz w:val="24"/>
                <w:szCs w:val="24"/>
                <w:highlight w:val="none"/>
                <w:vertAlign w:val="baseline"/>
                <w:lang w:val="en-US" w:eastAsia="zh-CN"/>
              </w:rPr>
              <w:t>为排水干渠，在非降雨期为干涸状态。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2.本项目施工期产生的钻井废水、压裂返排液及试气采出液均进行其他单位进行处置，不外排。</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3.水基钻井泥浆及水基岩屑拉运至</w:t>
            </w:r>
            <w:r>
              <w:rPr>
                <w:rFonts w:hint="default" w:ascii="Times New Roman" w:hAnsi="Times New Roman" w:cs="Times New Roman"/>
                <w:color w:val="auto"/>
                <w:sz w:val="24"/>
                <w:szCs w:val="24"/>
                <w:highlight w:val="none"/>
                <w:vertAlign w:val="baseline"/>
                <w:lang w:val="en-US" w:eastAsia="zh-CN"/>
              </w:rPr>
              <w:t>黑龙江龙之润环保工程有限公司处理站处理</w:t>
            </w:r>
            <w:r>
              <w:rPr>
                <w:rFonts w:hint="eastAsia" w:ascii="Times New Roman" w:hAnsi="Times New Roman" w:cs="Times New Roman"/>
                <w:color w:val="auto"/>
                <w:sz w:val="24"/>
                <w:szCs w:val="24"/>
                <w:highlight w:val="none"/>
                <w:vertAlign w:val="baseline"/>
                <w:lang w:val="en-US" w:eastAsia="zh-CN"/>
              </w:rPr>
              <w:t>；油基钻井泥浆及油基岩屑拉运至废弃泥浆无害化处理油基泥浆站处理。</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一般废弃包装袋及一般防渗布统一收集后送大庆市岗源环保科技有限责任公司工业废弃物处置中心处置；废弃过硫酸钾和氢氧化钾包装袋及含油防渗布委托有资质单位进行处置；生活垃圾统一收集后，委托大庆三联实业有限公司拉运处置。本项目产生的固体废物均不外排。</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w:t>
            </w:r>
          </w:p>
        </w:tc>
        <w:tc>
          <w:tcPr>
            <w:tcW w:w="3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油气勘探开发单位应当采取保护性措施，防止地下水污染。油气勘探开发设施在运行过程中，出现油井套管破损、气井泄漏等直接污染地下水资源的事故，油气勘探开发单位应当立即采取保护性措施，并向当地环保部门和水行政主管部门报告。</w:t>
            </w:r>
          </w:p>
        </w:tc>
        <w:tc>
          <w:tcPr>
            <w:tcW w:w="3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本项目使用三层套管，固井水泥返高至地面，确保完全封闭地下水层，以保护地下水不受污染；按照相关规范，设置井控装置，进行试压及防喷演习。</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与《石油天然气开采业污染防治技术政策》（环保部公告2012年第18号）符合性分析</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与污染防治技术符合性一览表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80"/>
        <w:gridCol w:w="2737"/>
        <w:gridCol w:w="4050"/>
        <w:gridCol w:w="9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27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保护条例要求</w:t>
            </w:r>
          </w:p>
        </w:tc>
        <w:tc>
          <w:tcPr>
            <w:tcW w:w="4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27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在井下作业过程中，酸化液和压裂液宜集中配制，酸化残液、压裂残液和返排液应回收利用或进行无害化处置，压裂放喷返排入罐率应达到100%。酸化、压裂作业和试采（气）过程应采取防喷、地面管线防刺、防漏、防溢等措施。</w:t>
            </w:r>
          </w:p>
        </w:tc>
        <w:tc>
          <w:tcPr>
            <w:tcW w:w="4050" w:type="dxa"/>
            <w:vMerge w:val="restar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钻井过程中产生的压裂返排液由罐车拉运至哈19卸液站处理</w:t>
            </w:r>
            <w:r>
              <w:rPr>
                <w:rFonts w:hint="eastAsia" w:ascii="Times New Roman" w:hAnsi="Times New Roman" w:cs="Times New Roman"/>
                <w:color w:val="auto"/>
                <w:sz w:val="24"/>
                <w:szCs w:val="24"/>
                <w:highlight w:val="none"/>
                <w:vertAlign w:val="baseline"/>
                <w:lang w:val="en-US" w:eastAsia="zh-CN"/>
              </w:rPr>
              <w:t>，处理后水质满足《大庆油田地面工程建设设计规定》（Q/SYDQ0639-2015）限值要求（含油量≤20mg/L，回注现役油层。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2.根据项目气层所在区域的地质条件，本项目压裂试气工程中不使用酸性钻井液、压裂液及射孔液。</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3.试气采出液拉运至升一联气田污水预处理站处理，处理达标后回注现役油层。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4.建设单位已制定编制应急预案，在施工前，对施工人员进行安全培训，</w:t>
            </w:r>
            <w:r>
              <w:rPr>
                <w:rFonts w:hint="default" w:ascii="Times New Roman" w:hAnsi="Times New Roman" w:cs="Times New Roman"/>
                <w:color w:val="auto"/>
                <w:sz w:val="24"/>
                <w:szCs w:val="24"/>
                <w:highlight w:val="none"/>
                <w:vertAlign w:val="baseline"/>
                <w:lang w:val="en-US" w:eastAsia="zh-CN"/>
              </w:rPr>
              <w:t>按照相关规范，设置井控装置，进行试压及防喷演习。</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p>
        </w:tc>
        <w:tc>
          <w:tcPr>
            <w:tcW w:w="27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在钻井和井下作业过程中，鼓励污油、污水进入生产流程循环利用，未进入生产流程的污油、污水应采用固液分离、废水处理一体化装置等处理后达标外排。</w:t>
            </w:r>
          </w:p>
        </w:tc>
        <w:tc>
          <w:tcPr>
            <w:tcW w:w="40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w:t>
            </w:r>
          </w:p>
        </w:tc>
        <w:tc>
          <w:tcPr>
            <w:tcW w:w="27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油气田建设宜布置丛式井组，采用多分支井、水平井、小孔钻井、空气钻井等钻井技术，以减少废物产生和占地。</w:t>
            </w:r>
          </w:p>
        </w:tc>
        <w:tc>
          <w:tcPr>
            <w:tcW w:w="4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本项目根据地下天然气能源分布及当地地质条件特征，新建2口水平井，1口定向井，本工程总体布局采用环境影响最小的布局方案，尽可能减少占地和损耗</w:t>
            </w:r>
            <w:r>
              <w:rPr>
                <w:rFonts w:hint="eastAsia" w:ascii="Times New Roman" w:hAnsi="Times New Roman" w:cs="Times New Roman"/>
                <w:color w:val="auto"/>
                <w:sz w:val="24"/>
                <w:szCs w:val="24"/>
                <w:highlight w:val="none"/>
                <w:vertAlign w:val="baseline"/>
                <w:lang w:val="en-US" w:eastAsia="zh-CN"/>
              </w:rPr>
              <w:t>；在设计及施工过程中严格按照《石油天然气工程项目用地控制指标》（国土资规【2016】14号）执行，控制施工占地。</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68" w:hRule="atLeast"/>
        </w:trPr>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w:t>
            </w:r>
          </w:p>
        </w:tc>
        <w:tc>
          <w:tcPr>
            <w:tcW w:w="27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应设立地下水水质监测井，加强对油气田地下水水质的监控，防止回注过程对地下水造成污染。</w:t>
            </w:r>
          </w:p>
        </w:tc>
        <w:tc>
          <w:tcPr>
            <w:tcW w:w="4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本项目设置了</w:t>
            </w:r>
            <w:r>
              <w:rPr>
                <w:rFonts w:hint="eastAsia" w:ascii="Times New Roman" w:hAnsi="Times New Roman" w:cs="Times New Roman"/>
                <w:color w:val="auto"/>
                <w:sz w:val="24"/>
                <w:szCs w:val="24"/>
                <w:highlight w:val="none"/>
                <w:vertAlign w:val="baseline"/>
                <w:lang w:val="en-US" w:eastAsia="zh-CN"/>
              </w:rPr>
              <w:t>3</w:t>
            </w:r>
            <w:r>
              <w:rPr>
                <w:rFonts w:hint="default" w:ascii="Times New Roman" w:hAnsi="Times New Roman" w:cs="Times New Roman"/>
                <w:color w:val="auto"/>
                <w:sz w:val="24"/>
                <w:szCs w:val="24"/>
                <w:highlight w:val="none"/>
                <w:vertAlign w:val="baseline"/>
                <w:lang w:val="en-US" w:eastAsia="zh-CN"/>
              </w:rPr>
              <w:t>口地下水监测井，分别位于井场上游和下游，李珍窝棚水井（g125.281343，45.811839</w:t>
            </w:r>
            <w:r>
              <w:rPr>
                <w:rFonts w:hint="eastAsia" w:ascii="Times New Roman" w:hAnsi="Times New Roman" w:cs="Times New Roman"/>
                <w:color w:val="auto"/>
                <w:sz w:val="24"/>
                <w:szCs w:val="24"/>
                <w:highlight w:val="none"/>
                <w:vertAlign w:val="baseline"/>
                <w:lang w:val="en-US" w:eastAsia="zh-CN"/>
              </w:rPr>
              <w:t>，上游</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三门董家水井（g125.275417，45.805872，下游），平等村水井（g125.291883，45.785324，下游），</w:t>
            </w:r>
            <w:r>
              <w:rPr>
                <w:rFonts w:hint="default" w:ascii="Times New Roman" w:hAnsi="Times New Roman" w:cs="Times New Roman"/>
                <w:color w:val="auto"/>
                <w:sz w:val="24"/>
                <w:szCs w:val="24"/>
                <w:highlight w:val="none"/>
                <w:vertAlign w:val="baseline"/>
                <w:lang w:val="en-US" w:eastAsia="zh-CN"/>
              </w:rPr>
              <w:t>定期进行监测</w:t>
            </w:r>
            <w:r>
              <w:rPr>
                <w:rFonts w:hint="eastAsia" w:ascii="Times New Roman" w:hAnsi="Times New Roman" w:cs="Times New Roman"/>
                <w:color w:val="auto"/>
                <w:sz w:val="24"/>
                <w:szCs w:val="24"/>
                <w:highlight w:val="none"/>
                <w:vertAlign w:val="baseline"/>
                <w:lang w:val="en-US" w:eastAsia="zh-CN"/>
              </w:rPr>
              <w:t>，监测频次为1次/半年。</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（8）</w:t>
      </w:r>
      <w:r>
        <w:rPr>
          <w:rFonts w:hint="default" w:ascii="Times New Roman" w:hAnsi="Times New Roman" w:eastAsia="宋体" w:cs="Times New Roman"/>
          <w:color w:val="auto"/>
          <w:kern w:val="0"/>
          <w:sz w:val="28"/>
          <w:szCs w:val="28"/>
          <w:highlight w:val="none"/>
          <w:lang w:val="en-US" w:eastAsia="zh-CN" w:bidi="ar"/>
        </w:rPr>
        <w:t>与</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水十条</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符合性判定</w:t>
      </w:r>
    </w:p>
    <w:p>
      <w:pPr>
        <w:keepNext w:val="0"/>
        <w:keepLines w:val="0"/>
        <w:widowControl/>
        <w:suppressLineNumbers w:val="0"/>
        <w:ind w:firstLine="560" w:firstLineChars="200"/>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根据《水污染防治行动计划》（国发〔2015〕17号）、《黑龙江省水污染防治实施方案》（黑政发〔2016〕3号））及《大庆市加强水污染防治工作实施方案》（庆政办发〔2015〕55号），本项目与</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水十条</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相关要求符合性分析见下表。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与“水十条”相关要求符合性一览表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55"/>
        <w:gridCol w:w="477"/>
        <w:gridCol w:w="3038"/>
        <w:gridCol w:w="43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号</w:t>
            </w:r>
          </w:p>
        </w:tc>
        <w:tc>
          <w:tcPr>
            <w:tcW w:w="4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类别</w:t>
            </w:r>
          </w:p>
        </w:tc>
        <w:tc>
          <w:tcPr>
            <w:tcW w:w="30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水十条</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的要求</w:t>
            </w:r>
          </w:p>
        </w:tc>
        <w:tc>
          <w:tcPr>
            <w:tcW w:w="43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4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国家</w:t>
            </w:r>
          </w:p>
        </w:tc>
        <w:tc>
          <w:tcPr>
            <w:tcW w:w="30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（1）狠抓工业污染防治。</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（2）推进污泥处理处置。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（3）防治地下水污染。石化生产存贮销售企业和工业园区、矿山开采区、垃圾填埋场等区域应进行必要的防渗处理。</w:t>
            </w:r>
          </w:p>
        </w:tc>
        <w:tc>
          <w:tcPr>
            <w:tcW w:w="4352" w:type="dxa"/>
            <w:vMerge w:val="restar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本项目</w:t>
            </w:r>
            <w:r>
              <w:rPr>
                <w:rFonts w:hint="eastAsia" w:ascii="Times New Roman" w:hAnsi="Times New Roman" w:cs="Times New Roman"/>
                <w:color w:val="auto"/>
                <w:sz w:val="24"/>
                <w:szCs w:val="24"/>
                <w:highlight w:val="none"/>
                <w:vertAlign w:val="baseline"/>
                <w:lang w:val="en-US" w:eastAsia="zh-CN"/>
              </w:rPr>
              <w:t>工业废水均拉运至其他单位进行处置，不外排；井场内进行分区防渗，重点防渗区域，防渗性能K≤1.0×10</w:t>
            </w:r>
            <w:r>
              <w:rPr>
                <w:rFonts w:hint="eastAsia" w:ascii="Times New Roman" w:hAnsi="Times New Roman" w:cs="Times New Roman"/>
                <w:color w:val="auto"/>
                <w:sz w:val="24"/>
                <w:szCs w:val="24"/>
                <w:highlight w:val="none"/>
                <w:vertAlign w:val="superscript"/>
                <w:lang w:val="en-US" w:eastAsia="zh-CN"/>
              </w:rPr>
              <w:t>-10</w:t>
            </w:r>
            <w:r>
              <w:rPr>
                <w:rFonts w:hint="eastAsia" w:ascii="Times New Roman" w:hAnsi="Times New Roman" w:cs="Times New Roman"/>
                <w:color w:val="auto"/>
                <w:sz w:val="24"/>
                <w:szCs w:val="24"/>
                <w:highlight w:val="none"/>
                <w:vertAlign w:val="baseline"/>
                <w:lang w:val="en-US" w:eastAsia="zh-CN"/>
              </w:rPr>
              <w:t>cm/s。</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压裂返排液</w:t>
            </w:r>
            <w:r>
              <w:rPr>
                <w:rFonts w:hint="eastAsia" w:ascii="Times New Roman" w:hAnsi="Times New Roman" w:cs="Times New Roman"/>
                <w:color w:val="auto"/>
                <w:sz w:val="24"/>
                <w:szCs w:val="24"/>
                <w:highlight w:val="none"/>
                <w:vertAlign w:val="baseline"/>
                <w:lang w:val="en-US" w:eastAsia="zh-CN"/>
              </w:rPr>
              <w:t>由罐车拉运至</w:t>
            </w:r>
            <w:r>
              <w:rPr>
                <w:rFonts w:hint="default" w:ascii="Times New Roman" w:hAnsi="Times New Roman" w:cs="Times New Roman"/>
                <w:color w:val="auto"/>
                <w:sz w:val="24"/>
                <w:szCs w:val="24"/>
                <w:highlight w:val="none"/>
                <w:vertAlign w:val="baseline"/>
                <w:lang w:val="en-US" w:eastAsia="zh-CN"/>
              </w:rPr>
              <w:t>哈19卸液站处理</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处理后水质满足《大庆油田地面工程建设设计规定》（Q/SYDQ0639-2015）限值要求（含油量≤20mg/L，悬浮固体含量≤20mg/L），回注现役油层。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3.一般</w:t>
            </w:r>
            <w:r>
              <w:rPr>
                <w:rFonts w:hint="default" w:ascii="Times New Roman" w:hAnsi="Times New Roman" w:cs="Times New Roman"/>
                <w:color w:val="auto"/>
                <w:sz w:val="24"/>
                <w:szCs w:val="24"/>
                <w:highlight w:val="none"/>
                <w:vertAlign w:val="baseline"/>
                <w:lang w:val="en-US" w:eastAsia="zh-CN"/>
              </w:rPr>
              <w:t>钻井污水</w:t>
            </w:r>
            <w:r>
              <w:rPr>
                <w:rFonts w:hint="eastAsia" w:ascii="Times New Roman" w:hAnsi="Times New Roman" w:cs="Times New Roman"/>
                <w:color w:val="auto"/>
                <w:sz w:val="24"/>
                <w:szCs w:val="24"/>
                <w:highlight w:val="none"/>
                <w:vertAlign w:val="baseline"/>
                <w:lang w:val="en-US" w:eastAsia="zh-CN"/>
              </w:rPr>
              <w:t>进入黑龙江龙之润五厂处理站处理，处理过程中产生的滤液拉运至杏十五一联合站污水处理站处理，满足《大庆油田地面工程建设设计规定》（Q/SYDQ0639-2015）限值要求“含油量≤20mg/L、悬浮固体含量≤20mg/L”，回注现役油层。</w:t>
            </w:r>
          </w:p>
          <w:p>
            <w:pPr>
              <w:pStyle w:val="2"/>
              <w:ind w:left="0" w:leftChars="0" w:firstLine="0" w:firstLineChars="0"/>
              <w:rPr>
                <w:rFonts w:hint="default"/>
                <w:color w:val="auto"/>
                <w:highlight w:val="none"/>
                <w:lang w:val="en-US" w:eastAsia="zh-CN"/>
              </w:rPr>
            </w:pPr>
            <w:r>
              <w:rPr>
                <w:rFonts w:hint="eastAsia" w:ascii="Times New Roman" w:hAnsi="Times New Roman" w:cs="Times New Roman"/>
                <w:color w:val="auto"/>
                <w:sz w:val="24"/>
                <w:szCs w:val="24"/>
                <w:highlight w:val="none"/>
                <w:vertAlign w:val="baseline"/>
                <w:lang w:val="en-US" w:eastAsia="zh-CN"/>
              </w:rPr>
              <w:t>含油钻井废水进入大庆市云泰石化产品有限公司建设的废弃泥浆无害化处理油基泥浆站处理，处理过程中产生的滤液由罐车运至龙一联含油污水站处理，处理后水质满足《大庆油田地面工程建设设计规定》（Q/SYDQ0639-2015）限值要求（含油量≤8mg/L、悬浮固体含量≤3mg/L）后回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4.试气采出液拉运至升一联气田污水预处理站处理，满足《大庆油田地面工程建设设计规定》（Q/SYDQ0639-2015）限值要求（含油量≤10mg/L，悬浮固体含量≤5mg/L）回注现役油层。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p>
        </w:tc>
        <w:tc>
          <w:tcPr>
            <w:tcW w:w="4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黑龙</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江省</w:t>
            </w:r>
          </w:p>
        </w:tc>
        <w:tc>
          <w:tcPr>
            <w:tcW w:w="30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（1）狠抓工业污染防治。</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（2）推进污泥处理处置。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（3）防治地下水污染。石化生产存贮销售企业和工业园区、矿山开采区、垃圾填埋场等区域应进行必要的防渗处理。</w:t>
            </w:r>
          </w:p>
        </w:tc>
        <w:tc>
          <w:tcPr>
            <w:tcW w:w="4352"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6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w:t>
            </w:r>
          </w:p>
        </w:tc>
        <w:tc>
          <w:tcPr>
            <w:tcW w:w="4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大庆市</w:t>
            </w:r>
          </w:p>
        </w:tc>
        <w:tc>
          <w:tcPr>
            <w:tcW w:w="30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（1）狠抓工业污染防治。</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（2）推进污泥处理处置。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（3）加强工业水循环利用。进一步加强采油废水管理，确保全部用于油田回注油层。鼓励纺织印染、造纸、石油石化、化工、制革等高耗水企业废水深度处理回用。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（4）防治地下水污染。工采区、垃圾填埋场等区域应进行必要的防渗处理。</w:t>
            </w:r>
          </w:p>
        </w:tc>
        <w:tc>
          <w:tcPr>
            <w:tcW w:w="4352"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bl>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综上，本项目建设符合</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水十条</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相关政策要求。</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（9）</w:t>
      </w:r>
      <w:r>
        <w:rPr>
          <w:rFonts w:hint="default" w:ascii="Times New Roman" w:hAnsi="Times New Roman" w:eastAsia="宋体" w:cs="Times New Roman"/>
          <w:color w:val="auto"/>
          <w:kern w:val="0"/>
          <w:sz w:val="28"/>
          <w:szCs w:val="28"/>
          <w:highlight w:val="none"/>
          <w:lang w:val="en-US" w:eastAsia="zh-CN" w:bidi="ar"/>
        </w:rPr>
        <w:t>与</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土十条</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符合性判定</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根据《土壤污染防治行动计划》（国发〔2016〕31号）、《黑龙江省土壤污染防治实施方案》（黑政发〔2016〕46号）及《大庆市土壤污染防治实施方案》（庆政规〔2017〕2号），本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与</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土十条</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相关要求符合性详见下表。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6</w:t>
      </w:r>
      <w:r>
        <w:rPr>
          <w:rFonts w:hint="default" w:ascii="Times New Roman" w:hAnsi="Times New Roman" w:eastAsia="宋体" w:cs="Times New Roman"/>
          <w:b/>
          <w:bCs/>
          <w:color w:val="auto"/>
          <w:kern w:val="0"/>
          <w:sz w:val="24"/>
          <w:szCs w:val="24"/>
          <w:highlight w:val="none"/>
          <w:lang w:val="en-US" w:eastAsia="zh-CN" w:bidi="ar"/>
        </w:rPr>
        <w:t>与“土十条”相关要求符合性一览表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2"/>
        <w:gridCol w:w="717"/>
        <w:gridCol w:w="3683"/>
        <w:gridCol w:w="36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号</w:t>
            </w:r>
          </w:p>
        </w:tc>
        <w:tc>
          <w:tcPr>
            <w:tcW w:w="7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类别</w:t>
            </w:r>
          </w:p>
        </w:tc>
        <w:tc>
          <w:tcPr>
            <w:tcW w:w="3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土十条</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的要求</w:t>
            </w:r>
          </w:p>
        </w:tc>
        <w:tc>
          <w:tcPr>
            <w:tcW w:w="3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7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国家/黑龙江省</w:t>
            </w:r>
          </w:p>
        </w:tc>
        <w:tc>
          <w:tcPr>
            <w:tcW w:w="3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369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本项目为天然气开采前期钻井项目，</w:t>
            </w:r>
            <w:r>
              <w:rPr>
                <w:rFonts w:hint="eastAsia" w:ascii="Times New Roman" w:hAnsi="Times New Roman" w:cs="Times New Roman"/>
                <w:color w:val="auto"/>
                <w:sz w:val="24"/>
                <w:szCs w:val="24"/>
                <w:highlight w:val="none"/>
                <w:vertAlign w:val="baseline"/>
                <w:lang w:val="en-US" w:eastAsia="zh-CN"/>
              </w:rPr>
              <w:t>为国家能源设施建设项目；</w:t>
            </w:r>
            <w:r>
              <w:rPr>
                <w:rFonts w:hint="default" w:ascii="Times New Roman" w:hAnsi="Times New Roman" w:cs="Times New Roman"/>
                <w:color w:val="auto"/>
                <w:sz w:val="24"/>
                <w:szCs w:val="24"/>
                <w:highlight w:val="none"/>
                <w:vertAlign w:val="baseline"/>
                <w:lang w:val="en-US" w:eastAsia="zh-CN"/>
              </w:rPr>
              <w:t>新建井场占地类型为基本农田，经地下资源勘探，本项目建设无法避开基本农田；建设单位已根据相关土地管理政策，向土地管理部门进行申报，经批准后占用。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p>
        </w:tc>
        <w:tc>
          <w:tcPr>
            <w:tcW w:w="7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3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369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根据土壤类型和土地利用情况，按照土壤导则要求，对井场占地内、周边耕地及村屯土壤进行监测，监测因子为pH、石油烃、挥发酚、铅、砷、汞、铬、六价铬、镉、铜、镍以及38项挥发性及半挥发性有机物的测定。针对在施工期间可能存在的土壤污染途径制定了相应的防范措施，提出运行期土壤跟踪监测计划，并提出三同时验收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4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w:t>
            </w:r>
          </w:p>
        </w:tc>
        <w:tc>
          <w:tcPr>
            <w:tcW w:w="7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大庆市</w:t>
            </w:r>
          </w:p>
        </w:tc>
        <w:tc>
          <w:tcPr>
            <w:tcW w:w="3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各县（区）要将符合条件的优先保护类耕地划为永久基本农田，实行严格保护，确保其面积不减少、土壤环境质量不下降，除法律规定的重点建设项目选址确实无法避让外，其他任何建设不得占用。对优先保护类耕地面积减少或土壤环境质量下降的县（区），市政府将对其进行预警提醒并依法采取环评限批等限制性措施。</w:t>
            </w:r>
          </w:p>
        </w:tc>
        <w:tc>
          <w:tcPr>
            <w:tcW w:w="3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本项目为天然气开采前期钻井项目，属于国家重点建设项目，选址无法避开基本农田。本项目新增永久用耕地面积</w:t>
            </w:r>
            <w:r>
              <w:rPr>
                <w:rFonts w:hint="eastAsia" w:ascii="Times New Roman" w:hAnsi="Times New Roman" w:cs="Times New Roman"/>
                <w:color w:val="auto"/>
                <w:sz w:val="24"/>
                <w:szCs w:val="24"/>
                <w:highlight w:val="none"/>
                <w:vertAlign w:val="baseline"/>
                <w:lang w:val="en-US" w:eastAsia="zh-CN"/>
              </w:rPr>
              <w:t>0.48</w:t>
            </w:r>
            <w:r>
              <w:rPr>
                <w:rFonts w:hint="default" w:ascii="Times New Roman" w:hAnsi="Times New Roman" w:cs="Times New Roman"/>
                <w:color w:val="auto"/>
                <w:sz w:val="24"/>
                <w:szCs w:val="24"/>
                <w:highlight w:val="none"/>
                <w:vertAlign w:val="baseli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，临时占用耕地面积</w:t>
            </w:r>
            <w:r>
              <w:rPr>
                <w:rFonts w:hint="eastAsia" w:ascii="Times New Roman" w:hAnsi="Times New Roman" w:cs="Times New Roman"/>
                <w:color w:val="auto"/>
                <w:sz w:val="24"/>
                <w:szCs w:val="24"/>
                <w:highlight w:val="none"/>
                <w:vertAlign w:val="baseline"/>
                <w:lang w:val="en-US" w:eastAsia="zh-CN"/>
              </w:rPr>
              <w:t>2.64</w:t>
            </w:r>
            <w:r>
              <w:rPr>
                <w:rFonts w:hint="default" w:ascii="Times New Roman" w:hAnsi="Times New Roman" w:cs="Times New Roman"/>
                <w:color w:val="auto"/>
                <w:sz w:val="24"/>
                <w:szCs w:val="24"/>
                <w:highlight w:val="none"/>
                <w:vertAlign w:val="baseli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，应开垦补充同等数量和质量相当的耕地，或由用地单位按有关规定标准缴纳耕地开垦费，确保做到</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占一补一</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占补平衡</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，并按要求纳入工程概算。</w:t>
            </w:r>
          </w:p>
        </w:tc>
      </w:tr>
    </w:tbl>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（10）</w:t>
      </w:r>
      <w:r>
        <w:rPr>
          <w:rFonts w:hint="default" w:ascii="Times New Roman" w:hAnsi="Times New Roman" w:eastAsia="宋体" w:cs="Times New Roman"/>
          <w:color w:val="auto"/>
          <w:kern w:val="0"/>
          <w:sz w:val="28"/>
          <w:szCs w:val="28"/>
          <w:highlight w:val="none"/>
          <w:lang w:val="en-US" w:eastAsia="zh-CN" w:bidi="ar"/>
        </w:rPr>
        <w:t>与《关于进一步加强石油天然气行业环境影响评价管理的通知》（环办环评函〔2019〕910号）符合性分析</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en-US" w:eastAsia="zh-CN" w:bidi="ar"/>
        </w:rPr>
        <w:t>与环办环评函〔2019〕910号符合性一览表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10"/>
        <w:gridCol w:w="2944"/>
        <w:gridCol w:w="3906"/>
        <w:gridCol w:w="9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29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文件要求</w:t>
            </w:r>
          </w:p>
        </w:tc>
        <w:tc>
          <w:tcPr>
            <w:tcW w:w="39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p>
        </w:tc>
        <w:tc>
          <w:tcPr>
            <w:tcW w:w="9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7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294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3906"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项目产生的钻井废水与钻井泥浆及岩屑分别拉运至黑龙江龙之润五厂处理站处理及废弃泥浆无害化处理油基泥浆站（大庆市云泰石化产品有限公司建设）处理，处理过程中产生的滤液拉运至其他单位处理，满足《大庆油田地面工程建设设计规定》（Q/SYDQ0639-2015）限值要求，回注回注现役油层，为可行性措施。</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2.压裂返排液由罐车拉运至哈19卸液站处理，处理后的水回注现役油层。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3.试气采出液拉运至升一联气田污水预处理站处理，处理达标后回注现役油层。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color w:val="auto"/>
                <w:highlight w:val="none"/>
                <w:lang w:val="en-US" w:eastAsia="zh-CN"/>
              </w:rPr>
            </w:pPr>
            <w:r>
              <w:rPr>
                <w:rFonts w:hint="eastAsia" w:ascii="Times New Roman" w:hAnsi="Times New Roman" w:cs="Times New Roman"/>
                <w:color w:val="auto"/>
                <w:sz w:val="24"/>
                <w:szCs w:val="24"/>
                <w:highlight w:val="none"/>
                <w:vertAlign w:val="baseline"/>
                <w:lang w:val="en-US" w:eastAsia="zh-CN"/>
              </w:rPr>
              <w:t>4.本项目采取分区防渗措施，其中柴油储罐、油基泥浆钢制槽及放喷池为重点防渗区，防渗系数K≤1.0×10</w:t>
            </w:r>
            <w:r>
              <w:rPr>
                <w:rFonts w:hint="eastAsia" w:ascii="Times New Roman" w:hAnsi="Times New Roman" w:cs="Times New Roman"/>
                <w:color w:val="auto"/>
                <w:sz w:val="24"/>
                <w:szCs w:val="24"/>
                <w:highlight w:val="none"/>
                <w:vertAlign w:val="superscript"/>
                <w:lang w:val="en-US" w:eastAsia="zh-CN"/>
              </w:rPr>
              <w:t>-10</w:t>
            </w:r>
            <w:r>
              <w:rPr>
                <w:rFonts w:hint="eastAsia" w:ascii="Times New Roman" w:hAnsi="Times New Roman" w:cs="Times New Roman"/>
                <w:color w:val="auto"/>
                <w:sz w:val="24"/>
                <w:szCs w:val="24"/>
                <w:highlight w:val="none"/>
                <w:vertAlign w:val="baseline"/>
                <w:lang w:val="en-US" w:eastAsia="zh-CN"/>
              </w:rPr>
              <w:t>cm/s。</w:t>
            </w:r>
          </w:p>
        </w:tc>
        <w:tc>
          <w:tcPr>
            <w:tcW w:w="9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p>
        </w:tc>
        <w:tc>
          <w:tcPr>
            <w:tcW w:w="294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39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1.项目产生的油基泥浆及油基岩屑拉运至废弃泥浆无害化处理油基泥浆站（大庆市云泰石化产品有限公司建设）处理，处理后废渣满足废弃钻井液处理规范》（DB23/T693-2000），综合利用垫井场或铺路。</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钻井过程中产生</w:t>
            </w:r>
            <w:r>
              <w:rPr>
                <w:rFonts w:hint="eastAsia" w:ascii="Times New Roman" w:hAnsi="Times New Roman" w:cs="Times New Roman"/>
                <w:color w:val="auto"/>
                <w:sz w:val="24"/>
                <w:szCs w:val="24"/>
                <w:highlight w:val="none"/>
                <w:vertAlign w:val="baseline"/>
                <w:lang w:val="en-US" w:eastAsia="zh-CN"/>
              </w:rPr>
              <w:t>废弃</w:t>
            </w:r>
            <w:r>
              <w:rPr>
                <w:rFonts w:hint="default" w:ascii="Times New Roman" w:hAnsi="Times New Roman" w:cs="Times New Roman"/>
                <w:color w:val="auto"/>
                <w:sz w:val="24"/>
                <w:szCs w:val="24"/>
                <w:highlight w:val="none"/>
                <w:vertAlign w:val="baseline"/>
                <w:lang w:val="en-US" w:eastAsia="zh-CN"/>
              </w:rPr>
              <w:t>过硫酸钾</w:t>
            </w:r>
            <w:r>
              <w:rPr>
                <w:rFonts w:hint="eastAsia" w:ascii="Times New Roman" w:hAnsi="Times New Roman" w:cs="Times New Roman"/>
                <w:color w:val="auto"/>
                <w:sz w:val="24"/>
                <w:szCs w:val="24"/>
                <w:highlight w:val="none"/>
                <w:vertAlign w:val="baseline"/>
                <w:lang w:val="en-US" w:eastAsia="zh-CN"/>
              </w:rPr>
              <w:t>和氢氧化钾</w:t>
            </w:r>
            <w:r>
              <w:rPr>
                <w:rFonts w:hint="default" w:ascii="Times New Roman" w:hAnsi="Times New Roman" w:cs="Times New Roman"/>
                <w:color w:val="auto"/>
                <w:sz w:val="24"/>
                <w:szCs w:val="24"/>
                <w:highlight w:val="none"/>
                <w:vertAlign w:val="baseline"/>
                <w:lang w:val="en-US" w:eastAsia="zh-CN"/>
              </w:rPr>
              <w:t>包装袋</w:t>
            </w:r>
            <w:r>
              <w:rPr>
                <w:rFonts w:hint="eastAsia" w:ascii="Times New Roman" w:hAnsi="Times New Roman" w:cs="Times New Roman"/>
                <w:color w:val="auto"/>
                <w:sz w:val="24"/>
                <w:szCs w:val="24"/>
                <w:highlight w:val="none"/>
                <w:vertAlign w:val="baseline"/>
                <w:lang w:val="en-US" w:eastAsia="zh-CN"/>
              </w:rPr>
              <w:t>及含油废弃防渗布</w:t>
            </w:r>
            <w:r>
              <w:rPr>
                <w:rFonts w:hint="default" w:ascii="Times New Roman" w:hAnsi="Times New Roman" w:cs="Times New Roman"/>
                <w:color w:val="auto"/>
                <w:sz w:val="24"/>
                <w:szCs w:val="24"/>
                <w:highlight w:val="none"/>
                <w:vertAlign w:val="baseline"/>
                <w:lang w:val="en-US" w:eastAsia="zh-CN"/>
              </w:rPr>
              <w:t>委托有资质单位处理。</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color w:val="auto"/>
                <w:highlight w:val="none"/>
                <w:lang w:val="en-US" w:eastAsia="zh-CN"/>
              </w:rPr>
            </w:pPr>
            <w:r>
              <w:rPr>
                <w:rFonts w:hint="eastAsia" w:ascii="Times New Roman" w:hAnsi="Times New Roman" w:cs="Times New Roman"/>
                <w:color w:val="auto"/>
                <w:sz w:val="24"/>
                <w:szCs w:val="24"/>
                <w:highlight w:val="none"/>
                <w:vertAlign w:val="baseline"/>
                <w:lang w:val="en-US" w:eastAsia="zh-CN"/>
              </w:rPr>
              <w:t>3.一般废弃包装袋及一般废弃防渗布统一收集后送大庆市岗源环保科技有限责任公司工业废弃物处置中心处置。</w:t>
            </w:r>
          </w:p>
        </w:tc>
        <w:tc>
          <w:tcPr>
            <w:tcW w:w="9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29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w:t>
            </w:r>
          </w:p>
        </w:tc>
        <w:tc>
          <w:tcPr>
            <w:tcW w:w="39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根据项目所在气田的开发勘探资料，此次滚动开发气田不属于</w:t>
            </w:r>
            <w:r>
              <w:rPr>
                <w:rFonts w:hint="default" w:ascii="Times New Roman" w:hAnsi="Times New Roman" w:cs="Times New Roman"/>
                <w:color w:val="auto"/>
                <w:sz w:val="24"/>
                <w:szCs w:val="24"/>
                <w:highlight w:val="none"/>
                <w:vertAlign w:val="baseline"/>
                <w:lang w:val="en-US" w:eastAsia="zh-CN"/>
              </w:rPr>
              <w:t>高含硫</w:t>
            </w:r>
            <w:r>
              <w:rPr>
                <w:rFonts w:hint="eastAsia" w:ascii="Times New Roman" w:hAnsi="Times New Roman" w:cs="Times New Roman"/>
                <w:color w:val="auto"/>
                <w:sz w:val="24"/>
                <w:szCs w:val="24"/>
                <w:highlight w:val="none"/>
                <w:vertAlign w:val="baseline"/>
                <w:lang w:val="en-US" w:eastAsia="zh-CN"/>
              </w:rPr>
              <w:t>气田；本项目不涉及。</w:t>
            </w:r>
          </w:p>
        </w:tc>
        <w:tc>
          <w:tcPr>
            <w:tcW w:w="9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29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39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w:t>
            </w:r>
            <w:r>
              <w:rPr>
                <w:rFonts w:hint="eastAsia" w:ascii="Times New Roman" w:hAnsi="Times New Roman" w:cs="Times New Roman"/>
                <w:color w:val="auto"/>
                <w:sz w:val="24"/>
                <w:szCs w:val="24"/>
                <w:highlight w:val="none"/>
                <w:vertAlign w:val="baseline"/>
                <w:lang w:val="en-US" w:eastAsia="zh-CN"/>
              </w:rPr>
              <w:t>项目</w:t>
            </w:r>
            <w:r>
              <w:rPr>
                <w:rFonts w:hint="default" w:ascii="Times New Roman" w:hAnsi="Times New Roman" w:cs="Times New Roman"/>
                <w:color w:val="auto"/>
                <w:sz w:val="24"/>
                <w:szCs w:val="24"/>
                <w:highlight w:val="none"/>
                <w:vertAlign w:val="baseline"/>
                <w:lang w:val="en-US" w:eastAsia="zh-CN"/>
              </w:rPr>
              <w:t>总体布局采用环境影响最小的布局方案，尽可能减少占地和损耗，在施工过程中采取了防渗、</w:t>
            </w:r>
            <w:r>
              <w:rPr>
                <w:rFonts w:hint="eastAsia" w:ascii="Times New Roman" w:hAnsi="Times New Roman" w:cs="Times New Roman"/>
                <w:color w:val="auto"/>
                <w:sz w:val="24"/>
                <w:szCs w:val="24"/>
                <w:highlight w:val="none"/>
                <w:vertAlign w:val="baseline"/>
                <w:lang w:val="en-US" w:eastAsia="zh-CN"/>
              </w:rPr>
              <w:t>防止水土流失</w:t>
            </w:r>
            <w:r>
              <w:rPr>
                <w:rFonts w:hint="default" w:ascii="Times New Roman" w:hAnsi="Times New Roman" w:cs="Times New Roman"/>
                <w:color w:val="auto"/>
                <w:sz w:val="24"/>
                <w:szCs w:val="24"/>
                <w:highlight w:val="none"/>
                <w:vertAlign w:val="baseline"/>
                <w:lang w:val="en-US" w:eastAsia="zh-CN"/>
              </w:rPr>
              <w:t>及防沙防控措施；施工期柴油机使用低标号柴油，调节好柴油机运行工况，减少柴油机烟气排放污染物的浓度。</w:t>
            </w:r>
          </w:p>
        </w:tc>
        <w:tc>
          <w:tcPr>
            <w:tcW w:w="9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29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油气企业应当加强风险防控，按规定编制突发环境事件应急预案，报所在地生态环境主管部门备案。</w:t>
            </w:r>
          </w:p>
        </w:tc>
        <w:tc>
          <w:tcPr>
            <w:tcW w:w="39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大庆油田有限责任公司采气分公司按预案要求已编制完成了《突发事件总体应急预案》、《突发环境事件专项应急预案》，并报所在地生态环境主管部门备案。</w:t>
            </w:r>
          </w:p>
        </w:tc>
        <w:tc>
          <w:tcPr>
            <w:tcW w:w="9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pPr>
        <w:keepNext w:val="0"/>
        <w:keepLines w:val="0"/>
        <w:widowControl/>
        <w:suppressLineNumbers w:val="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（11）</w:t>
      </w:r>
      <w:r>
        <w:rPr>
          <w:rFonts w:hint="default" w:ascii="Times New Roman" w:hAnsi="Times New Roman" w:eastAsia="宋体" w:cs="Times New Roman"/>
          <w:color w:val="auto"/>
          <w:kern w:val="0"/>
          <w:sz w:val="28"/>
          <w:szCs w:val="28"/>
          <w:highlight w:val="none"/>
          <w:lang w:val="en-US" w:eastAsia="zh-CN" w:bidi="ar"/>
        </w:rPr>
        <w:t>基本农田占用符合性分析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本项目建设与《黑龙江省基本农田保护条例》（2011年修正本）符合性分析见下表。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与《黑龙江省基本农田保护条例》符合性一览表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80"/>
        <w:gridCol w:w="3487"/>
        <w:gridCol w:w="3300"/>
        <w:gridCol w:w="9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34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保护条例要求</w:t>
            </w:r>
          </w:p>
        </w:tc>
        <w:tc>
          <w:tcPr>
            <w:tcW w:w="33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34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第十四条：基本农田保护区划定后，任何单位和个人不得擅自改变和占用。国家和省能源、交通、水利等建设项目，确需占用基本农田保护区内耕地的，建设项目选址时，应向所在市、县人民政府土地管理部门提出申请。</w:t>
            </w:r>
          </w:p>
        </w:tc>
        <w:tc>
          <w:tcPr>
            <w:tcW w:w="33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本项目为天然气开采前期钻井项目，为国家</w:t>
            </w:r>
            <w:r>
              <w:rPr>
                <w:rFonts w:hint="eastAsia" w:ascii="Times New Roman" w:hAnsi="Times New Roman" w:cs="Times New Roman"/>
                <w:color w:val="auto"/>
                <w:sz w:val="24"/>
                <w:szCs w:val="24"/>
                <w:highlight w:val="none"/>
                <w:vertAlign w:val="baseline"/>
                <w:lang w:val="en-US" w:eastAsia="zh-CN"/>
              </w:rPr>
              <w:t>能源设施</w:t>
            </w:r>
            <w:r>
              <w:rPr>
                <w:rFonts w:hint="default" w:ascii="Times New Roman" w:hAnsi="Times New Roman" w:cs="Times New Roman"/>
                <w:color w:val="auto"/>
                <w:sz w:val="24"/>
                <w:szCs w:val="24"/>
                <w:highlight w:val="none"/>
                <w:vertAlign w:val="baseline"/>
                <w:lang w:val="en-US" w:eastAsia="zh-CN"/>
              </w:rPr>
              <w:t>建设项目</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新建井场占地类型为基本农田；经地下资源勘探，本项目建设无法避开基本农田；本项目建设单位已根据相关土地管理政策，向土地管理部门进行申报，经批准后占用。</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p>
        </w:tc>
        <w:tc>
          <w:tcPr>
            <w:tcW w:w="34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第十六条：非农业建设经批准占用基本农田保护区内耕地，除按照国家和省规定缴纳有关税费外，由用地的单位或个人负责开垦与所占耕地数量和质量相当的耕地；没有条件开垦的，应在同类土地补偿费总额的基础上提高1.5倍，缴纳基本农田保护区耕地造地费。占用基本农田保护区内菜地，已按照规定缴纳新菜田建设基金的，免缴耕地造地费。</w:t>
            </w:r>
          </w:p>
        </w:tc>
        <w:tc>
          <w:tcPr>
            <w:tcW w:w="3300"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本</w:t>
            </w:r>
            <w:r>
              <w:rPr>
                <w:rFonts w:hint="eastAsia" w:ascii="Times New Roman" w:hAnsi="Times New Roman" w:cs="Times New Roman"/>
                <w:color w:val="auto"/>
                <w:sz w:val="24"/>
                <w:szCs w:val="24"/>
                <w:highlight w:val="none"/>
                <w:vertAlign w:val="baseline"/>
                <w:lang w:val="en-US" w:eastAsia="zh-CN"/>
              </w:rPr>
              <w:t>项目</w:t>
            </w:r>
            <w:r>
              <w:rPr>
                <w:rFonts w:hint="default" w:ascii="Times New Roman" w:hAnsi="Times New Roman" w:cs="Times New Roman"/>
                <w:color w:val="auto"/>
                <w:sz w:val="24"/>
                <w:szCs w:val="24"/>
                <w:highlight w:val="none"/>
                <w:vertAlign w:val="baseline"/>
                <w:lang w:val="en-US" w:eastAsia="zh-CN"/>
              </w:rPr>
              <w:t>总体布局采用环境影响最小的布局方案，</w:t>
            </w:r>
            <w:r>
              <w:rPr>
                <w:rFonts w:hint="eastAsia" w:ascii="Times New Roman" w:hAnsi="Times New Roman" w:cs="Times New Roman"/>
                <w:color w:val="auto"/>
                <w:sz w:val="24"/>
                <w:szCs w:val="24"/>
                <w:highlight w:val="none"/>
                <w:vertAlign w:val="baseline"/>
                <w:lang w:val="en-US" w:eastAsia="zh-CN"/>
              </w:rPr>
              <w:t>设计及施工过程中，严格按照《石油天然气工程项目用地控制指标》（国土资规【2016】14号）执行，控制施工占地，</w:t>
            </w:r>
            <w:r>
              <w:rPr>
                <w:rFonts w:hint="default" w:ascii="Times New Roman" w:hAnsi="Times New Roman" w:cs="Times New Roman"/>
                <w:color w:val="auto"/>
                <w:sz w:val="24"/>
                <w:szCs w:val="24"/>
                <w:highlight w:val="none"/>
                <w:vertAlign w:val="baseline"/>
                <w:lang w:val="en-US" w:eastAsia="zh-CN"/>
              </w:rPr>
              <w:t>尽可能减少占地和损耗</w:t>
            </w:r>
            <w:r>
              <w:rPr>
                <w:rFonts w:hint="eastAsia" w:ascii="Times New Roman" w:hAnsi="Times New Roman" w:cs="Times New Roman"/>
                <w:color w:val="auto"/>
                <w:sz w:val="24"/>
                <w:szCs w:val="24"/>
                <w:highlight w:val="none"/>
                <w:vertAlign w:val="baseli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对占用的耕地按照</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占多少，垦多少</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的原则，由建设单位负责开垦与所占用耕地的数量和质量相当的耕地，如果没有条件开垦时，按黑龙江省的规定缴纳耕地开垦费，用于开垦新的耕地。</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（12）与《黑龙江省“十四五”生态环境保护规划》符合性分析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本项目建设与《</w:t>
      </w:r>
      <w:r>
        <w:rPr>
          <w:rFonts w:hint="eastAsia" w:ascii="Times New Roman" w:hAnsi="Times New Roman" w:eastAsia="宋体" w:cs="Times New Roman"/>
          <w:color w:val="auto"/>
          <w:kern w:val="0"/>
          <w:sz w:val="28"/>
          <w:szCs w:val="28"/>
          <w:highlight w:val="none"/>
          <w:lang w:val="en-US" w:eastAsia="zh-CN" w:bidi="ar"/>
        </w:rPr>
        <w:t>黑龙江省“十四五”生态环境保护规划</w:t>
      </w:r>
      <w:r>
        <w:rPr>
          <w:rFonts w:hint="default" w:ascii="Times New Roman" w:hAnsi="Times New Roman" w:eastAsia="宋体" w:cs="Times New Roman"/>
          <w:color w:val="auto"/>
          <w:kern w:val="0"/>
          <w:sz w:val="28"/>
          <w:szCs w:val="28"/>
          <w:highlight w:val="none"/>
          <w:lang w:val="en-US" w:eastAsia="zh-CN" w:bidi="ar"/>
        </w:rPr>
        <w:t>》（黑政规〔2021〕18号）符合性分析见下表。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9</w:t>
      </w:r>
      <w:r>
        <w:rPr>
          <w:rFonts w:hint="default" w:ascii="Times New Roman" w:hAnsi="Times New Roman" w:eastAsia="宋体" w:cs="Times New Roman"/>
          <w:b/>
          <w:bCs/>
          <w:color w:val="auto"/>
          <w:kern w:val="0"/>
          <w:sz w:val="24"/>
          <w:szCs w:val="24"/>
          <w:highlight w:val="none"/>
          <w:lang w:val="en-US" w:eastAsia="zh-CN" w:bidi="ar"/>
        </w:rPr>
        <w:t>与《黑龙江省“十四五”生态环境保护规划》符合性一览表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08"/>
        <w:gridCol w:w="3323"/>
        <w:gridCol w:w="3634"/>
        <w:gridCol w:w="9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3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Times New Roman"/>
                <w:color w:val="auto"/>
                <w:kern w:val="0"/>
                <w:sz w:val="24"/>
                <w:szCs w:val="24"/>
                <w:highlight w:val="none"/>
                <w:lang w:val="en-US" w:eastAsia="zh-CN" w:bidi="ar"/>
              </w:rPr>
              <w:t>保护规划要求</w:t>
            </w:r>
          </w:p>
        </w:tc>
        <w:tc>
          <w:tcPr>
            <w:tcW w:w="36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3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w:t>
            </w:r>
          </w:p>
        </w:tc>
        <w:tc>
          <w:tcPr>
            <w:tcW w:w="36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1.运输道路、施工场地定时洒水抑尘，定期清扫散落在施工场地的泥土。</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2.运料车辆在运输时采取全密闭措施，需要在运料顶部加盖篷布，严禁敞开式、半敞开式运输，不得装载过满，以防洒落在地，形成二次扬尘。</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3.土方开挖采取围挡、洒水等防尘措施。临时堆放土堆采取覆盖措施。</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4.合理规划施工进度，表土剥离及时开挖，及时回填，防止弃土风化失水而起沙起尘；遇大风天气应停止土方工程施工作业。</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3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制定实施噪声污染防治行动计划。因特殊需要必须连续作业的，必须有县级以上政府或者其有关主管部门的证明，并公告附近居民。鼓励采用低噪声施工设备和工艺。依法将工业企业噪声纳入排污许可管理，严厉查处工业企业噪声排放超标扰民行为。</w:t>
            </w:r>
          </w:p>
        </w:tc>
        <w:tc>
          <w:tcPr>
            <w:tcW w:w="36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对钻井井场进行合理布局，井场高噪音设备分散放置，并远离有人居的方向，避免噪声叠加造成对周围声环境的影响。</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施工中加强管理，避免不合理噪声，文明施工，合理安排施工进度，调整同时作业的施工机械数量，降低对周围环境的影响。</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r>
              <w:rPr>
                <w:rFonts w:hint="default" w:ascii="Times New Roman" w:hAnsi="Times New Roman" w:cs="Times New Roman"/>
                <w:color w:val="auto"/>
                <w:sz w:val="24"/>
                <w:szCs w:val="24"/>
                <w:highlight w:val="none"/>
                <w:vertAlign w:val="baseline"/>
                <w:lang w:val="en-US" w:eastAsia="zh-CN"/>
              </w:rPr>
              <w:t>降低设备噪声。注意对设备的维护和保养，合理操作，保证施工机械保持在最佳状态，降低噪声源强度。</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3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加强地下水生态环境保护和污染防治。加强防渗、地下水环境监测、执法检查。加强污染源头预防与风险管控</w:t>
            </w:r>
          </w:p>
        </w:tc>
        <w:tc>
          <w:tcPr>
            <w:tcW w:w="36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1.本项目产生的工业废水均拉运至其他单位进行处置，不外排；</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2.生活污水排入井场防渗生活污水池内，施工结束后进行卫生处理，场地进行平整。</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3.本项目使用三层套管，固井水泥返高至地面，确保完全封闭地下水层，以保护地下水不受污染。</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4.本项目拟建井场内进行分区防渗，其中油基泥浆钢制槽、柴油储罐区及放喷池为重点防渗区，防渗系数K≤1.0×10</w:t>
            </w:r>
            <w:r>
              <w:rPr>
                <w:rFonts w:hint="eastAsia" w:ascii="Times New Roman" w:hAnsi="Times New Roman" w:cs="Times New Roman"/>
                <w:color w:val="auto"/>
                <w:sz w:val="24"/>
                <w:szCs w:val="24"/>
                <w:highlight w:val="none"/>
                <w:vertAlign w:val="superscript"/>
                <w:lang w:val="en-US" w:eastAsia="zh-CN"/>
              </w:rPr>
              <w:t>-10</w:t>
            </w:r>
            <w:r>
              <w:rPr>
                <w:rFonts w:hint="eastAsia" w:ascii="Times New Roman" w:hAnsi="Times New Roman" w:cs="Times New Roman"/>
                <w:color w:val="auto"/>
                <w:sz w:val="24"/>
                <w:szCs w:val="24"/>
                <w:highlight w:val="none"/>
                <w:vertAlign w:val="baseline"/>
                <w:lang w:val="en-US" w:eastAsia="zh-CN"/>
              </w:rPr>
              <w:t>cm/s。</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color w:val="auto"/>
                <w:highlight w:val="none"/>
                <w:lang w:val="en-US" w:eastAsia="zh-CN"/>
              </w:rPr>
            </w:pPr>
            <w:r>
              <w:rPr>
                <w:rFonts w:hint="eastAsia" w:ascii="Times New Roman" w:hAnsi="Times New Roman" w:cs="Times New Roman"/>
                <w:color w:val="auto"/>
                <w:sz w:val="24"/>
                <w:szCs w:val="24"/>
                <w:highlight w:val="none"/>
                <w:vertAlign w:val="baseline"/>
                <w:lang w:val="en-US" w:eastAsia="zh-CN"/>
              </w:rPr>
              <w:t>5.制定地下水监测计划，分别位于拟建井场上游和下游，监测频次为1次/半年。</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33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强化土壤污染源系统防控。永久基本农田集中区禁止规划建设可能造成土壤污染的建设项目。对涉及有毒有害物质可能造成土壤污染的建设项目，依法进行环境影响评价，按规划定提出并落实防腐蚀、防渗漏、防遗撒等土壤污染防治具体措施。各地定期组织开展土壤污染重点监管单位和地下水重点污染源周边土壤、地下水环境监测，督促企业定期开展土壤和地下水环境自行监测、污染隐患排查治理。防控矿产资源开发污染土壤。</w:t>
            </w:r>
          </w:p>
        </w:tc>
        <w:tc>
          <w:tcPr>
            <w:tcW w:w="36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本项目为天然气开采前期钻井项目，为国家源设施建设项目，经地下资源勘探，本项目建设无法避开基本农田；建设单位已根据相关土地管理政策，向土地管理部门进行申报，经批准后占用。2.本项目产生的固体废物均拉运至其他单位进行处置，处置率为100%；在钻井施工阶段，采取分区防渗措施，且采取洒水抑尘、调控设备状态等措施，减缓大气污染物通过降尘方式污染周围土壤；制定测井及固井施工环节，强化施工质量。制定土壤环境监测计划，</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bl>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（13）与《黑龙江省耕地保护条例》符合性分析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本项目与《黑龙江省耕地保护条例》相关要求符合性分析详见表1.4-</w:t>
      </w:r>
      <w:r>
        <w:rPr>
          <w:rFonts w:hint="eastAsia" w:ascii="Times New Roman" w:hAnsi="Times New Roman" w:eastAsia="宋体" w:cs="Times New Roman"/>
          <w:color w:val="auto"/>
          <w:kern w:val="0"/>
          <w:sz w:val="28"/>
          <w:szCs w:val="28"/>
          <w:highlight w:val="none"/>
          <w:lang w:val="en-US" w:eastAsia="zh-CN" w:bidi="ar"/>
        </w:rPr>
        <w:t>10</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color w:val="auto"/>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10</w:t>
      </w:r>
      <w:r>
        <w:rPr>
          <w:rFonts w:hint="default" w:ascii="Times New Roman" w:hAnsi="Times New Roman" w:eastAsia="宋体" w:cs="Times New Roman"/>
          <w:b/>
          <w:bCs/>
          <w:color w:val="auto"/>
          <w:kern w:val="0"/>
          <w:sz w:val="24"/>
          <w:szCs w:val="24"/>
          <w:highlight w:val="none"/>
          <w:lang w:val="en-US" w:eastAsia="zh-CN" w:bidi="ar"/>
        </w:rPr>
        <w:t>与《黑龙江省耕地保护条例》符合性一览表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19"/>
        <w:gridCol w:w="2814"/>
        <w:gridCol w:w="4132"/>
        <w:gridCol w:w="9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28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保护条例相关要求</w:t>
            </w:r>
          </w:p>
        </w:tc>
        <w:tc>
          <w:tcPr>
            <w:tcW w:w="4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28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非农业建设可以利用非耕地的，不得占用耕地。经依法批准占用耕地的，用地单位应当负责开垦与所占用耕地数量、质量相当的耕地；没有条件开垦或者开垦的耕地不符合要求的，应当向县以上自然资源行政主管部门缴纳耕地开垦费,专款用于开垦新的耕地；耕地后备资源不足的，依法实行易地占补。</w:t>
            </w:r>
          </w:p>
        </w:tc>
        <w:tc>
          <w:tcPr>
            <w:tcW w:w="4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本项目为天然气开采前期钻井项目，为国家源设施建设项目，经地下资源勘探，本项目建设无法避开基本农田；建设单位已根据相关土地管理政策，向土地管理部门进行申报，经批准后占用。2.在项目设计阶段，建设单位设置专款用于占地的生态恢复及农作物经济赔偿。</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28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耕地的耕作层土壤剥离按照国家和省有关规定执行</w:t>
            </w:r>
            <w:r>
              <w:rPr>
                <w:rFonts w:hint="eastAsia" w:ascii="Times New Roman" w:hAnsi="Times New Roman" w:cs="Times New Roman"/>
                <w:color w:val="auto"/>
                <w:sz w:val="24"/>
                <w:szCs w:val="24"/>
                <w:highlight w:val="none"/>
                <w:vertAlign w:val="baseline"/>
                <w:lang w:val="en-US" w:eastAsia="zh-CN"/>
              </w:rPr>
              <w:t>。</w:t>
            </w:r>
          </w:p>
        </w:tc>
        <w:tc>
          <w:tcPr>
            <w:tcW w:w="4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实施前编制建设项目占用耕地耕作层土壤剥离利用方案，统筹安排剥离、储存和再利用。表土剥离和利用严格执行《建设占用耕地耕作层土壤剥离利用技术规范》（DB23/T2913-2021）及《黑龙江省人民政府办公厅关于建设占用耕地耕作层土壤剥离利用工作的指导意见》。本项目井场生活污水池及放喷池等挖方施工剥离表土厚度为0.3m，采用分层开挖，分层堆放，剥离的表土耕地土推放在井场临时占地范围内的存储区，堆土表面设纱网或草栅覆盖，防止出现水土流失，并定期采取洒水抑尘措施，待工程施工结束后运回原位分层回填，并及时恢复地表植被。</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28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经批准占用耕地的非农业建设项目施工时，施工单位应当减少地表扰动范围，避免损坏周边耕地的耕作层。无法避免的，由建设单位及时进行整理、修复或者依法补偿。</w:t>
            </w:r>
          </w:p>
        </w:tc>
        <w:tc>
          <w:tcPr>
            <w:tcW w:w="4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1.本项目为天然气</w:t>
            </w:r>
            <w:r>
              <w:rPr>
                <w:rFonts w:hint="eastAsia" w:ascii="Times New Roman" w:hAnsi="Times New Roman" w:cs="Times New Roman"/>
                <w:color w:val="auto"/>
                <w:sz w:val="24"/>
                <w:szCs w:val="24"/>
                <w:highlight w:val="none"/>
                <w:vertAlign w:val="baseline"/>
                <w:lang w:val="en-US" w:eastAsia="zh-CN"/>
              </w:rPr>
              <w:t>开采前期钻井项目</w:t>
            </w:r>
            <w:r>
              <w:rPr>
                <w:rFonts w:hint="default" w:ascii="Times New Roman" w:hAnsi="Times New Roman" w:cs="Times New Roman"/>
                <w:color w:val="auto"/>
                <w:sz w:val="24"/>
                <w:szCs w:val="24"/>
                <w:highlight w:val="none"/>
                <w:vertAlign w:val="baseline"/>
                <w:lang w:val="en-US" w:eastAsia="zh-CN"/>
              </w:rPr>
              <w:t>，为国家源设施建设项目，经地下资源勘探，本项目建设无法避开基本农田；建设单位已根据相关土地管理政策，向土地管理部门进行申报，经批准后占用。2.在项目设计阶段，建设单位设置专款用于占地的生态恢复及农作物经济赔偿</w:t>
            </w:r>
            <w:r>
              <w:rPr>
                <w:rFonts w:hint="eastAsia" w:ascii="Times New Roman" w:hAnsi="Times New Roman" w:cs="Times New Roman"/>
                <w:color w:val="auto"/>
                <w:sz w:val="24"/>
                <w:szCs w:val="24"/>
                <w:highlight w:val="none"/>
                <w:vertAlign w:val="baseline"/>
                <w:lang w:val="en-US" w:eastAsia="zh-CN"/>
              </w:rPr>
              <w:t>；按照“占多少，垦多少”的原则，由建设单位负责开垦与所占用耕地的数量和质量相当的耕地，如果没有条件开垦时，按黑龙江省的规定缴纳耕地开垦费，用于开垦新的耕地。</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28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因事故或者其他突发事件，造成耕地环境污染的，当事人应当立即采取补救措施，并向当地县级农业农村或者生态环境行政主管部门报告。相关行政主管部门接到报告后，应当及时启动应急预案，并按照规定处理。</w:t>
            </w:r>
          </w:p>
        </w:tc>
        <w:tc>
          <w:tcPr>
            <w:tcW w:w="4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庆油田有限责任公司采气分公司按预案要求已编制完成了《突发事件总体应急预案》、《突发环境事件专项应急预案》，并报所在地生态环境主管部门备案。在施工前，对施工人员进行安全培训，按照相关规范，设置井控装置，进行试压及防喷演习。</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bl>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1.4.3</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三线一单</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根据《黑龙江省人民政府关于实施</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三线一单</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生态环境分区管控的意见》（黑政发﹝2020﹞14号）及《大庆市人民政府关于实施</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三线一单</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生态环境分区管控的意见》（庆政规﹝2021﹞3号），本项目新建井场位于一般管控单元内。</w:t>
      </w:r>
    </w:p>
    <w:p>
      <w:pPr>
        <w:keepNext w:val="0"/>
        <w:keepLines w:val="0"/>
        <w:widowControl/>
        <w:suppressLineNumbers w:val="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生态保护红线</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黑龙江省生态保护红线划定实施方案》，生态保护红线主要包括：水源涵养功能区、水土保持功能区、防风固沙功能区、生物多样性维护区、重要生态敏感区、重要生态脆弱区、关键生态系统保护区、重点森林保护区、重点湿地保护区、重点草原保护区、国土安全保护区、重点水域保护区。</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本项目位于黑龙江省大庆市肇州县双发乡境内，位于一般管控单元内，不在生态保护红线内。因此，项目建设符合生态红线要求。</w:t>
      </w:r>
    </w:p>
    <w:p>
      <w:pPr>
        <w:keepNext w:val="0"/>
        <w:keepLines w:val="0"/>
        <w:widowControl/>
        <w:suppressLineNumbers w:val="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环境质量底线</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根据《黑龙江省区域空间生态环境评价报告（大庆市部分）》（征求意见稿）中</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环境质量底线及分区管控</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，本项目位于大气环境一般管控区、水环境一般管控区及土壤环境一般管控区。本项目建设与大气环境、水环境及土壤环境分区管控要求符合性分析分别见表1.4-</w:t>
      </w:r>
      <w:r>
        <w:rPr>
          <w:rFonts w:hint="eastAsia" w:ascii="Times New Roman" w:hAnsi="Times New Roman" w:eastAsia="宋体" w:cs="Times New Roman"/>
          <w:color w:val="auto"/>
          <w:kern w:val="0"/>
          <w:sz w:val="28"/>
          <w:szCs w:val="28"/>
          <w:highlight w:val="none"/>
          <w:lang w:val="en-US" w:eastAsia="zh-CN" w:bidi="ar"/>
        </w:rPr>
        <w:t>11</w:t>
      </w:r>
      <w:r>
        <w:rPr>
          <w:rFonts w:hint="default" w:ascii="Times New Roman" w:hAnsi="Times New Roman" w:eastAsia="宋体" w:cs="Times New Roman"/>
          <w:color w:val="auto"/>
          <w:kern w:val="0"/>
          <w:sz w:val="28"/>
          <w:szCs w:val="28"/>
          <w:highlight w:val="none"/>
          <w:lang w:val="en-US" w:eastAsia="zh-CN" w:bidi="ar"/>
        </w:rPr>
        <w:t>～表1.4-</w:t>
      </w:r>
      <w:r>
        <w:rPr>
          <w:rFonts w:hint="eastAsia" w:ascii="Times New Roman" w:hAnsi="Times New Roman" w:eastAsia="宋体" w:cs="Times New Roman"/>
          <w:color w:val="auto"/>
          <w:kern w:val="0"/>
          <w:sz w:val="28"/>
          <w:szCs w:val="28"/>
          <w:highlight w:val="none"/>
          <w:lang w:val="en-US" w:eastAsia="zh-CN" w:bidi="ar"/>
        </w:rPr>
        <w:t>13</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资源利用上线</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根据《黑龙江省区域空间生态环境评价报告（大庆市部分）》中资源利用上线及管控分区要求，本项目资源利用上线符合性分析见表1.4-</w:t>
      </w:r>
      <w:r>
        <w:rPr>
          <w:rFonts w:hint="eastAsia" w:ascii="Times New Roman" w:hAnsi="Times New Roman" w:eastAsia="宋体" w:cs="Times New Roman"/>
          <w:color w:val="auto"/>
          <w:kern w:val="0"/>
          <w:sz w:val="28"/>
          <w:szCs w:val="28"/>
          <w:highlight w:val="none"/>
          <w:lang w:val="en-US" w:eastAsia="zh-CN" w:bidi="ar"/>
        </w:rPr>
        <w:t>14</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生态环境准入清单</w:t>
      </w:r>
    </w:p>
    <w:p>
      <w:pPr>
        <w:pStyle w:val="8"/>
        <w:ind w:firstLine="560" w:firstLineChars="200"/>
        <w:rPr>
          <w:rFonts w:hint="default" w:ascii="Times New Roman" w:hAnsi="Times New Roman" w:eastAsia="宋体" w:cs="Times New Roman"/>
          <w:b w:val="0"/>
          <w:color w:val="auto"/>
          <w:kern w:val="0"/>
          <w:sz w:val="28"/>
          <w:szCs w:val="28"/>
          <w:highlight w:val="none"/>
          <w:lang w:val="en-US" w:eastAsia="zh-CN" w:bidi="ar"/>
        </w:rPr>
      </w:pPr>
      <w:r>
        <w:rPr>
          <w:rFonts w:hint="default" w:ascii="Times New Roman" w:hAnsi="Times New Roman" w:eastAsia="宋体" w:cs="Times New Roman"/>
          <w:b w:val="0"/>
          <w:color w:val="auto"/>
          <w:kern w:val="0"/>
          <w:sz w:val="28"/>
          <w:szCs w:val="28"/>
          <w:highlight w:val="none"/>
          <w:lang w:val="en-US" w:eastAsia="zh-CN" w:bidi="ar"/>
        </w:rPr>
        <w:t>本项目位于大庆市肇州县</w:t>
      </w:r>
      <w:r>
        <w:rPr>
          <w:rFonts w:hint="eastAsia" w:ascii="Times New Roman" w:hAnsi="Times New Roman" w:eastAsia="宋体" w:cs="Times New Roman"/>
          <w:b w:val="0"/>
          <w:color w:val="auto"/>
          <w:kern w:val="0"/>
          <w:sz w:val="28"/>
          <w:szCs w:val="28"/>
          <w:highlight w:val="none"/>
          <w:lang w:val="en-US" w:eastAsia="zh-CN" w:bidi="ar"/>
        </w:rPr>
        <w:t>双发乡</w:t>
      </w:r>
      <w:r>
        <w:rPr>
          <w:rFonts w:hint="default" w:ascii="Times New Roman" w:hAnsi="Times New Roman" w:eastAsia="宋体" w:cs="Times New Roman"/>
          <w:b w:val="0"/>
          <w:color w:val="auto"/>
          <w:kern w:val="0"/>
          <w:sz w:val="28"/>
          <w:szCs w:val="28"/>
          <w:highlight w:val="none"/>
          <w:lang w:val="en-US" w:eastAsia="zh-CN" w:bidi="ar"/>
        </w:rPr>
        <w:t>境内，占地类型为基本农田，对照《大庆市生态环境准入清单》中肇州县永久基本农田环境管控单元管控要求，本项目建设与肇州县永久基本农田管控符合性分析见表1.4-</w:t>
      </w:r>
      <w:r>
        <w:rPr>
          <w:rFonts w:hint="eastAsia" w:ascii="Times New Roman" w:hAnsi="Times New Roman" w:eastAsia="宋体" w:cs="Times New Roman"/>
          <w:b w:val="0"/>
          <w:color w:val="auto"/>
          <w:kern w:val="0"/>
          <w:sz w:val="28"/>
          <w:szCs w:val="28"/>
          <w:highlight w:val="none"/>
          <w:lang w:val="en-US" w:eastAsia="zh-CN" w:bidi="ar"/>
        </w:rPr>
        <w:t>15</w:t>
      </w:r>
      <w:r>
        <w:rPr>
          <w:rFonts w:hint="default" w:ascii="Times New Roman" w:hAnsi="Times New Roman" w:eastAsia="宋体" w:cs="Times New Roman"/>
          <w:b w:val="0"/>
          <w:color w:val="auto"/>
          <w:kern w:val="0"/>
          <w:sz w:val="28"/>
          <w:szCs w:val="28"/>
          <w:highlight w:val="none"/>
          <w:lang w:val="en-US" w:eastAsia="zh-CN" w:bidi="ar"/>
        </w:rPr>
        <w:t>。</w:t>
      </w:r>
    </w:p>
    <w:p>
      <w:pPr>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br w:type="page"/>
      </w:r>
    </w:p>
    <w:p>
      <w:pPr>
        <w:pStyle w:val="8"/>
        <w:rPr>
          <w:rFonts w:hint="default" w:ascii="Times New Roman" w:hAnsi="Times New Roman" w:cs="Times New Roman"/>
          <w:color w:val="auto"/>
          <w:highlight w:val="none"/>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11</w:t>
      </w:r>
      <w:r>
        <w:rPr>
          <w:rFonts w:hint="default" w:ascii="Times New Roman" w:hAnsi="Times New Roman" w:eastAsia="宋体" w:cs="Times New Roman"/>
          <w:b/>
          <w:bCs/>
          <w:color w:val="auto"/>
          <w:kern w:val="0"/>
          <w:sz w:val="24"/>
          <w:szCs w:val="24"/>
          <w:highlight w:val="none"/>
          <w:lang w:val="en-US" w:eastAsia="zh-CN" w:bidi="ar"/>
        </w:rPr>
        <w:t>与大气环境分区管控要求符合性一览表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07"/>
        <w:gridCol w:w="1211"/>
        <w:gridCol w:w="4634"/>
        <w:gridCol w:w="5941"/>
        <w:gridCol w:w="10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管控单元类别</w:t>
            </w:r>
          </w:p>
        </w:tc>
        <w:tc>
          <w:tcPr>
            <w:tcW w:w="5845"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大气</w:t>
            </w:r>
            <w:r>
              <w:rPr>
                <w:rFonts w:hint="default" w:ascii="Times New Roman" w:hAnsi="Times New Roman" w:cs="Times New Roman"/>
                <w:color w:val="auto"/>
                <w:sz w:val="24"/>
                <w:szCs w:val="24"/>
                <w:highlight w:val="none"/>
                <w:vertAlign w:val="baseline"/>
                <w:lang w:eastAsia="zh-CN"/>
              </w:rPr>
              <w:t>环境</w:t>
            </w:r>
            <w:r>
              <w:rPr>
                <w:rFonts w:hint="default" w:ascii="Times New Roman" w:hAnsi="Times New Roman" w:cs="Times New Roman"/>
                <w:color w:val="auto"/>
                <w:sz w:val="24"/>
                <w:szCs w:val="24"/>
                <w:highlight w:val="none"/>
                <w:vertAlign w:val="baseline"/>
                <w:lang w:val="en-US" w:eastAsia="zh-CN"/>
              </w:rPr>
              <w:t>（一般管控区）</w:t>
            </w:r>
          </w:p>
        </w:tc>
        <w:tc>
          <w:tcPr>
            <w:tcW w:w="59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管控要求</w:t>
            </w:r>
          </w:p>
        </w:tc>
        <w:tc>
          <w:tcPr>
            <w:tcW w:w="12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空间布局约束</w:t>
            </w:r>
          </w:p>
        </w:tc>
        <w:tc>
          <w:tcPr>
            <w:tcW w:w="46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减少新增化工园区，除符合省政府产业布局调整政策外，减少新增钢铁、电解铝、水泥和平板玻璃等产能。减少建设生产和使用高VOCs含量的溶剂型涂料、油墨、胶粘剂等项目。</w:t>
            </w:r>
          </w:p>
        </w:tc>
        <w:tc>
          <w:tcPr>
            <w:tcW w:w="59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本项目为天然气开采项目，钻井期使用</w:t>
            </w:r>
            <w:r>
              <w:rPr>
                <w:rFonts w:hint="eastAsia" w:ascii="Times New Roman" w:hAnsi="Times New Roman" w:cs="Times New Roman"/>
                <w:color w:val="auto"/>
                <w:sz w:val="24"/>
                <w:szCs w:val="24"/>
                <w:highlight w:val="none"/>
                <w:vertAlign w:val="baseline"/>
                <w:lang w:val="en-US" w:eastAsia="zh-CN"/>
              </w:rPr>
              <w:t>柴油作为发电机的燃料；施工过程中，柴油存储在卧式储罐中；本项目施工期较短，且位于空旷地带，储罐产生的挥发性气体飘散至大气环境中稀释，对周围村屯影响较小。</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污染物排放管控</w:t>
            </w:r>
          </w:p>
        </w:tc>
        <w:tc>
          <w:tcPr>
            <w:tcW w:w="46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二氧化硫、氮氧化物、颗粒物、VOCs全面执行国家、省及各市下达的大气污染防治要求。新建钢铁、焦化等高污染项目要同时配置最先进的生产工艺和污染治理装备。</w:t>
            </w:r>
          </w:p>
        </w:tc>
        <w:tc>
          <w:tcPr>
            <w:tcW w:w="59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本项目仅为天然气开发井钻井工程，仅在施工期产生少量的施工扬尘、</w:t>
            </w:r>
            <w:r>
              <w:rPr>
                <w:rFonts w:hint="eastAsia" w:ascii="Times New Roman" w:hAnsi="Times New Roman" w:cs="Times New Roman"/>
                <w:color w:val="auto"/>
                <w:sz w:val="24"/>
                <w:szCs w:val="24"/>
                <w:highlight w:val="none"/>
                <w:vertAlign w:val="baseline"/>
                <w:lang w:val="en-US" w:eastAsia="zh-CN"/>
              </w:rPr>
              <w:t>固井扬尘、</w:t>
            </w:r>
            <w:r>
              <w:rPr>
                <w:rFonts w:hint="default" w:ascii="Times New Roman" w:hAnsi="Times New Roman" w:cs="Times New Roman"/>
                <w:color w:val="auto"/>
                <w:sz w:val="24"/>
                <w:szCs w:val="24"/>
                <w:highlight w:val="none"/>
                <w:vertAlign w:val="baseline"/>
                <w:lang w:val="en-US" w:eastAsia="zh-CN"/>
              </w:rPr>
              <w:t>车辆尾气、柴油机烟气和放空火炬燃烧烟气。由于这些影响都是暂时性的，施工一结束就随之消失，本项目施工期采取柴油发电机使用低标号柴油，调节好柴油机运行工况，减少柴油机烟气排放污染物的浓度；在施工场界设置围挡，施工场地适当洒水抑尘；放空火炬燃烧原料为天然气，为清洁能源，且仅在试气阶段产生，产生量较少。施工期间采取以上措施，可降低废气对周围环境的影响。</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环境风险防范</w:t>
            </w:r>
          </w:p>
        </w:tc>
        <w:tc>
          <w:tcPr>
            <w:tcW w:w="46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编制区域内大气污染应急减排项目清单，做到可操作、可核查、可监测，当预测到区域将出现重污染天气时，根据预警发布，按级别启动应急响应措施。</w:t>
            </w:r>
          </w:p>
        </w:tc>
        <w:tc>
          <w:tcPr>
            <w:tcW w:w="59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本项目为天然气开采前期钻井项目，根据本项目实际情况，在钻井施工过程中，为防止发生井喷等环境突发事件，安装井控设施，同时设置测井和固井等流程，降低突发环境事件发生的概率。</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资源开发率要求</w:t>
            </w:r>
          </w:p>
        </w:tc>
        <w:tc>
          <w:tcPr>
            <w:tcW w:w="46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禁燃区禁止新建、扩建燃用高污染燃料的项目和设施，已建成的应逐步或依法限期改用天然气、电或者其他清洁能源。新上耗煤项目实施煤炭减量替代，单位产品（产值）能耗要达到国内先进水平。</w:t>
            </w:r>
          </w:p>
        </w:tc>
        <w:tc>
          <w:tcPr>
            <w:tcW w:w="59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本项目位于肇州县境内，不属于禁燃区；项目施工期使用低标号柴油作为柴油发动机原料，降低柴油机烟气排放污染物的浓度，且施工一结束就废气影响随之消失。</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12</w:t>
      </w:r>
      <w:r>
        <w:rPr>
          <w:rFonts w:hint="default" w:ascii="Times New Roman" w:hAnsi="Times New Roman" w:eastAsia="宋体" w:cs="Times New Roman"/>
          <w:b/>
          <w:bCs/>
          <w:color w:val="auto"/>
          <w:kern w:val="0"/>
          <w:sz w:val="24"/>
          <w:szCs w:val="24"/>
          <w:highlight w:val="none"/>
          <w:lang w:val="en-US" w:eastAsia="zh-CN" w:bidi="ar"/>
        </w:rPr>
        <w:t>与水环境分区管控要求符合性一览表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07"/>
        <w:gridCol w:w="1211"/>
        <w:gridCol w:w="4245"/>
        <w:gridCol w:w="6330"/>
        <w:gridCol w:w="10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管控单元类别</w:t>
            </w:r>
          </w:p>
        </w:tc>
        <w:tc>
          <w:tcPr>
            <w:tcW w:w="545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eastAsia="zh-CN"/>
              </w:rPr>
              <w:t>水环境</w:t>
            </w:r>
            <w:r>
              <w:rPr>
                <w:rFonts w:hint="default" w:ascii="Times New Roman" w:hAnsi="Times New Roman" w:cs="Times New Roman"/>
                <w:color w:val="auto"/>
                <w:sz w:val="24"/>
                <w:szCs w:val="24"/>
                <w:highlight w:val="none"/>
                <w:vertAlign w:val="baseline"/>
                <w:lang w:val="en-US" w:eastAsia="zh-CN"/>
              </w:rPr>
              <w:t>（一般管控区）</w:t>
            </w:r>
          </w:p>
        </w:tc>
        <w:tc>
          <w:tcPr>
            <w:tcW w:w="63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管控要求</w:t>
            </w:r>
          </w:p>
        </w:tc>
        <w:tc>
          <w:tcPr>
            <w:tcW w:w="12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空间布局约束</w:t>
            </w:r>
          </w:p>
        </w:tc>
        <w:tc>
          <w:tcPr>
            <w:tcW w:w="42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提高规模化养殖占比，禁养区外新建、扩建和改建规模化畜禽养殖场（小区），要配套建设粪便污水贮存、处理、利用设施。</w:t>
            </w:r>
          </w:p>
        </w:tc>
        <w:tc>
          <w:tcPr>
            <w:tcW w:w="63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本项目为天然气开采前期钻井项目，</w:t>
            </w:r>
            <w:r>
              <w:rPr>
                <w:rFonts w:hint="default" w:ascii="Times New Roman" w:hAnsi="Times New Roman" w:cs="Times New Roman"/>
                <w:color w:val="auto"/>
                <w:sz w:val="24"/>
                <w:szCs w:val="24"/>
                <w:highlight w:val="none"/>
                <w:vertAlign w:val="baseline"/>
                <w:lang w:eastAsia="zh-CN"/>
              </w:rPr>
              <w:t>不涉及养殖工艺。</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污染物排放管控</w:t>
            </w:r>
          </w:p>
        </w:tc>
        <w:tc>
          <w:tcPr>
            <w:tcW w:w="42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加强畜禽养殖污染管控。加大涉水企业治污设施升级改造力度，提高污染治理水平。</w:t>
            </w:r>
          </w:p>
        </w:tc>
        <w:tc>
          <w:tcPr>
            <w:tcW w:w="63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本项目为天然气开采前期钻井项目；压裂返排液由罐车拉运至哈19卸液站处理，处理后水质满足《大庆油田地面工程建设设计规定》（Q/SYDQ0639-2015）限值要求（含油量≤20mg/L，悬浮固体含量≤20mg/L），回注现役油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2.一般</w:t>
            </w:r>
            <w:r>
              <w:rPr>
                <w:rFonts w:hint="default" w:ascii="Times New Roman" w:hAnsi="Times New Roman" w:cs="Times New Roman"/>
                <w:color w:val="auto"/>
                <w:sz w:val="24"/>
                <w:szCs w:val="24"/>
                <w:highlight w:val="none"/>
                <w:vertAlign w:val="baseline"/>
                <w:lang w:val="en-US" w:eastAsia="zh-CN"/>
              </w:rPr>
              <w:t>钻井</w:t>
            </w:r>
            <w:r>
              <w:rPr>
                <w:rFonts w:hint="eastAsia" w:ascii="Times New Roman" w:hAnsi="Times New Roman" w:cs="Times New Roman"/>
                <w:color w:val="auto"/>
                <w:sz w:val="24"/>
                <w:szCs w:val="24"/>
                <w:highlight w:val="none"/>
                <w:vertAlign w:val="baseline"/>
                <w:lang w:val="en-US" w:eastAsia="zh-CN"/>
              </w:rPr>
              <w:t>废水</w:t>
            </w:r>
            <w:r>
              <w:rPr>
                <w:rFonts w:hint="default" w:ascii="Times New Roman" w:hAnsi="Times New Roman" w:cs="Times New Roman"/>
                <w:color w:val="auto"/>
                <w:sz w:val="24"/>
                <w:szCs w:val="24"/>
                <w:highlight w:val="none"/>
                <w:vertAlign w:val="baseline"/>
                <w:lang w:val="en-US" w:eastAsia="zh-CN"/>
              </w:rPr>
              <w:t>运输至</w:t>
            </w:r>
            <w:r>
              <w:rPr>
                <w:rFonts w:hint="eastAsia" w:ascii="Times New Roman" w:hAnsi="Times New Roman" w:cs="Times New Roman"/>
                <w:color w:val="auto"/>
                <w:sz w:val="24"/>
                <w:szCs w:val="24"/>
                <w:highlight w:val="none"/>
                <w:vertAlign w:val="baseline"/>
                <w:lang w:val="en-US" w:eastAsia="zh-CN"/>
              </w:rPr>
              <w:t>黑龙江</w:t>
            </w:r>
            <w:r>
              <w:rPr>
                <w:rFonts w:hint="default" w:ascii="Times New Roman" w:hAnsi="Times New Roman" w:cs="Times New Roman"/>
                <w:color w:val="auto"/>
                <w:sz w:val="24"/>
                <w:szCs w:val="24"/>
                <w:highlight w:val="none"/>
                <w:vertAlign w:val="baseline"/>
                <w:lang w:val="en-US" w:eastAsia="zh-CN"/>
              </w:rPr>
              <w:t>龙之润五厂处理站处理，</w:t>
            </w:r>
            <w:r>
              <w:rPr>
                <w:rFonts w:hint="eastAsia" w:ascii="Times New Roman" w:hAnsi="Times New Roman" w:cs="Times New Roman"/>
                <w:color w:val="auto"/>
                <w:sz w:val="24"/>
                <w:szCs w:val="24"/>
                <w:highlight w:val="none"/>
                <w:vertAlign w:val="baseline"/>
                <w:lang w:val="en-US" w:eastAsia="zh-CN"/>
              </w:rPr>
              <w:t>处理过程中产生的滤液由罐车送至杏十五一联合站污水处理站处理，满足《大庆油田地面工程建设设计规定》（Q/SYDQ0639-2015）限值要求“含油量≤20mg/L、悬浮固体含量≤20mg/L”，回注现役油层。</w:t>
            </w:r>
          </w:p>
          <w:p>
            <w:pPr>
              <w:pStyle w:val="2"/>
              <w:ind w:left="0" w:leftChars="0" w:firstLine="0" w:firstLineChars="0"/>
              <w:rPr>
                <w:rFonts w:hint="default"/>
                <w:color w:val="auto"/>
                <w:highlight w:val="none"/>
                <w:lang w:val="en-US" w:eastAsia="zh-CN"/>
              </w:rPr>
            </w:pPr>
            <w:r>
              <w:rPr>
                <w:rFonts w:hint="eastAsia" w:ascii="Times New Roman" w:hAnsi="Times New Roman" w:cs="Times New Roman"/>
                <w:color w:val="auto"/>
                <w:sz w:val="24"/>
                <w:szCs w:val="24"/>
                <w:highlight w:val="none"/>
                <w:vertAlign w:val="baseline"/>
                <w:lang w:val="en-US" w:eastAsia="zh-CN"/>
              </w:rPr>
              <w:t>含油钻井废水进入大庆市云泰石化产品有限公司建设的废弃泥浆无害化处理油基泥浆站处理，处理过程中产生的滤液由罐车运至龙一联含油污水站处理，处理后水质满足《大庆油田地面工程建设设计规定》（Q/SYDQ0639-2015）限值要求（含油量≤8mg/L、悬浮固体含量≤3mg/L）后回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color w:val="auto"/>
                <w:highlight w:val="none"/>
                <w:lang w:val="en-US" w:eastAsia="zh-CN"/>
              </w:rPr>
            </w:pPr>
            <w:r>
              <w:rPr>
                <w:rFonts w:hint="eastAsia" w:ascii="Times New Roman" w:hAnsi="Times New Roman" w:cs="Times New Roman"/>
                <w:color w:val="auto"/>
                <w:sz w:val="24"/>
                <w:szCs w:val="24"/>
                <w:highlight w:val="none"/>
                <w:vertAlign w:val="baseline"/>
                <w:lang w:val="en-US" w:eastAsia="zh-CN"/>
              </w:rPr>
              <w:t>3.试气采出液拉运至升一联气田污水预处理站处理，满足《大庆油田地面工程建设设计规定》（Q/SYDQ0639-2015）限值要求（含油量≤10mg/L，悬浮固体含量≤5mg/L）回注现役油层。</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环境风险防范</w:t>
            </w:r>
          </w:p>
        </w:tc>
        <w:tc>
          <w:tcPr>
            <w:tcW w:w="42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采取措施防止事故过程中产生的废水直接排入水体。</w:t>
            </w:r>
          </w:p>
        </w:tc>
        <w:tc>
          <w:tcPr>
            <w:tcW w:w="6330"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本项目</w:t>
            </w:r>
            <w:r>
              <w:rPr>
                <w:rFonts w:hint="eastAsia" w:ascii="Times New Roman" w:hAnsi="Times New Roman" w:cs="Times New Roman"/>
                <w:color w:val="auto"/>
                <w:sz w:val="24"/>
                <w:szCs w:val="24"/>
                <w:highlight w:val="none"/>
                <w:vertAlign w:val="baseline"/>
                <w:lang w:val="en-US" w:eastAsia="zh-CN"/>
              </w:rPr>
              <w:t>设有钢制泥浆槽，若发生事故时，可临时存放事故废水，本项目拟建井场周围交通便利，若发生事故，救援车辆可及时达到现场，进行拉运处置。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2.本项目在井场四周、井架、储罐及泥浆槽周围均设置排水沟，可及时收集事故废水，防止废水直接进入外环境。</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资源开发率要求</w:t>
            </w:r>
          </w:p>
        </w:tc>
        <w:tc>
          <w:tcPr>
            <w:tcW w:w="42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提高畜禽粪便等资源综合利用水平。建议实施清洁化改造，加强节水管理，提高中水回用率。</w:t>
            </w:r>
          </w:p>
        </w:tc>
        <w:tc>
          <w:tcPr>
            <w:tcW w:w="63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本项目为天然气开采前期钻井项目，</w:t>
            </w:r>
            <w:r>
              <w:rPr>
                <w:rFonts w:hint="default" w:ascii="Times New Roman" w:hAnsi="Times New Roman" w:cs="Times New Roman"/>
                <w:color w:val="auto"/>
                <w:sz w:val="24"/>
                <w:szCs w:val="24"/>
                <w:highlight w:val="none"/>
                <w:vertAlign w:val="baseline"/>
                <w:lang w:eastAsia="zh-CN"/>
              </w:rPr>
              <w:t>不涉及养殖工艺；</w:t>
            </w:r>
            <w:r>
              <w:rPr>
                <w:rFonts w:hint="default" w:ascii="Times New Roman" w:hAnsi="Times New Roman" w:cs="Times New Roman"/>
                <w:color w:val="auto"/>
                <w:sz w:val="24"/>
                <w:szCs w:val="24"/>
                <w:highlight w:val="none"/>
                <w:vertAlign w:val="baseline"/>
                <w:lang w:val="en-US" w:eastAsia="zh-CN"/>
              </w:rPr>
              <w:t>施工过程产生的废水均拉至有资质单位处置，处置后达标回用</w:t>
            </w:r>
            <w:r>
              <w:rPr>
                <w:rFonts w:hint="eastAsia" w:ascii="Times New Roman" w:hAnsi="Times New Roman" w:cs="Times New Roman"/>
                <w:color w:val="auto"/>
                <w:sz w:val="24"/>
                <w:szCs w:val="24"/>
                <w:highlight w:val="none"/>
                <w:vertAlign w:val="baseline"/>
                <w:lang w:val="en-US" w:eastAsia="zh-CN"/>
              </w:rPr>
              <w:t>或进入其他单位</w:t>
            </w:r>
            <w:r>
              <w:rPr>
                <w:rFonts w:hint="default" w:ascii="Times New Roman" w:hAnsi="Times New Roman" w:cs="Times New Roman"/>
                <w:color w:val="auto"/>
                <w:sz w:val="24"/>
                <w:szCs w:val="24"/>
                <w:highlight w:val="none"/>
                <w:vertAlign w:val="baseline"/>
                <w:lang w:val="en-US" w:eastAsia="zh-CN"/>
              </w:rPr>
              <w:t>。</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13</w:t>
      </w:r>
      <w:r>
        <w:rPr>
          <w:rFonts w:hint="default" w:ascii="Times New Roman" w:hAnsi="Times New Roman" w:eastAsia="宋体" w:cs="Times New Roman"/>
          <w:b/>
          <w:bCs/>
          <w:color w:val="auto"/>
          <w:kern w:val="0"/>
          <w:sz w:val="24"/>
          <w:szCs w:val="24"/>
          <w:highlight w:val="none"/>
          <w:lang w:val="en-US" w:eastAsia="zh-CN" w:bidi="ar"/>
        </w:rPr>
        <w:t>与土壤环境分区管控要求符合性一览表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07"/>
        <w:gridCol w:w="802"/>
        <w:gridCol w:w="4987"/>
        <w:gridCol w:w="5997"/>
        <w:gridCol w:w="10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管控单元类别</w:t>
            </w:r>
          </w:p>
        </w:tc>
        <w:tc>
          <w:tcPr>
            <w:tcW w:w="578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w:t>
            </w:r>
            <w:r>
              <w:rPr>
                <w:rFonts w:hint="default" w:ascii="Times New Roman" w:hAnsi="Times New Roman" w:cs="Times New Roman"/>
                <w:color w:val="auto"/>
                <w:sz w:val="24"/>
                <w:szCs w:val="24"/>
                <w:highlight w:val="none"/>
                <w:vertAlign w:val="baseline"/>
                <w:lang w:eastAsia="zh-CN"/>
              </w:rPr>
              <w:t>环境</w:t>
            </w:r>
            <w:r>
              <w:rPr>
                <w:rFonts w:hint="default" w:ascii="Times New Roman" w:hAnsi="Times New Roman" w:cs="Times New Roman"/>
                <w:color w:val="auto"/>
                <w:sz w:val="24"/>
                <w:szCs w:val="24"/>
                <w:highlight w:val="none"/>
                <w:vertAlign w:val="baseline"/>
                <w:lang w:val="en-US" w:eastAsia="zh-CN"/>
              </w:rPr>
              <w:t>（一般管控区）</w:t>
            </w:r>
          </w:p>
        </w:tc>
        <w:tc>
          <w:tcPr>
            <w:tcW w:w="59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管控要求</w:t>
            </w:r>
          </w:p>
        </w:tc>
        <w:tc>
          <w:tcPr>
            <w:tcW w:w="8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空间布局约束</w:t>
            </w:r>
          </w:p>
        </w:tc>
        <w:tc>
          <w:tcPr>
            <w:tcW w:w="4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1.严格建设项目环境准入。在规划和建设项目环评中，强化土壤环境调查，增加对土壤环境影响评价内容，明确防范土壤污染具体措施，纳入环保“三同时”管理。</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加强未利用地环境管理。未利用地的开发应符合土地整治规划，经科学论证与评估，依法批准后方可进行。拟开发为农用地的，有关县（市、区）政府要组织开展土壤环境质量状况评估，达不到相关标准的，不得种植食用农产品和饲草。拟开发为建设用地的未利用地，符合土壤环境质量要求的地块，方可进入用地程序。</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3.结合区域功能定位和土壤污染防治需要，科学布局城乡生活垃圾处理、危险废物处置、废旧资源再生利用等设施和场所，合理确定畜禽养殖布局和规模。</w:t>
            </w:r>
          </w:p>
        </w:tc>
        <w:tc>
          <w:tcPr>
            <w:tcW w:w="59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1.本项目为天然气开采前期钻井项目，为国家</w:t>
            </w:r>
            <w:r>
              <w:rPr>
                <w:rFonts w:hint="eastAsia" w:ascii="Times New Roman" w:hAnsi="Times New Roman" w:cs="Times New Roman"/>
                <w:color w:val="auto"/>
                <w:sz w:val="24"/>
                <w:szCs w:val="24"/>
                <w:highlight w:val="none"/>
                <w:vertAlign w:val="baseline"/>
                <w:lang w:val="en-US" w:eastAsia="zh-CN"/>
              </w:rPr>
              <w:t>能源设施</w:t>
            </w:r>
            <w:r>
              <w:rPr>
                <w:rFonts w:hint="default" w:ascii="Times New Roman" w:hAnsi="Times New Roman" w:cs="Times New Roman"/>
                <w:color w:val="auto"/>
                <w:sz w:val="24"/>
                <w:szCs w:val="24"/>
                <w:highlight w:val="none"/>
                <w:vertAlign w:val="baseline"/>
                <w:lang w:val="en-US" w:eastAsia="zh-CN"/>
              </w:rPr>
              <w:t>建设项目，本项目土壤环境评价等级为二级，对土壤现状进行监测，针对在施工期间可能存在的土壤污染途径制定了相应的防范措施，提出运行期土壤跟踪监测计划，并提出三同时验收要求。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2.本项目为大庆油田天然气开采前期钻井项目，在已开发区块内；项目用地属于大庆油田已规划的用地内。</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3.项目施工过程中产生</w:t>
            </w:r>
            <w:r>
              <w:rPr>
                <w:rFonts w:hint="eastAsia" w:ascii="Times New Roman" w:hAnsi="Times New Roman" w:cs="Times New Roman"/>
                <w:color w:val="auto"/>
                <w:sz w:val="24"/>
                <w:szCs w:val="24"/>
                <w:highlight w:val="none"/>
                <w:vertAlign w:val="baseline"/>
                <w:lang w:val="en-US" w:eastAsia="zh-CN"/>
              </w:rPr>
              <w:t>水基泥浆</w:t>
            </w:r>
            <w:r>
              <w:rPr>
                <w:rFonts w:hint="default" w:ascii="Times New Roman" w:hAnsi="Times New Roman" w:cs="Times New Roman"/>
                <w:color w:val="auto"/>
                <w:sz w:val="24"/>
                <w:szCs w:val="24"/>
                <w:highlight w:val="none"/>
                <w:vertAlign w:val="baseline"/>
                <w:lang w:val="en-US" w:eastAsia="zh-CN"/>
              </w:rPr>
              <w:t>拉运至</w:t>
            </w:r>
            <w:r>
              <w:rPr>
                <w:rFonts w:hint="eastAsia" w:ascii="Times New Roman" w:hAnsi="Times New Roman" w:cs="Times New Roman"/>
                <w:color w:val="auto"/>
                <w:sz w:val="24"/>
                <w:szCs w:val="24"/>
                <w:highlight w:val="none"/>
                <w:vertAlign w:val="baseline"/>
                <w:lang w:val="en-US" w:eastAsia="zh-CN"/>
              </w:rPr>
              <w:t>黑龙江</w:t>
            </w:r>
            <w:r>
              <w:rPr>
                <w:rFonts w:hint="default" w:ascii="Times New Roman" w:hAnsi="Times New Roman" w:cs="Times New Roman"/>
                <w:color w:val="auto"/>
                <w:sz w:val="24"/>
                <w:szCs w:val="24"/>
                <w:highlight w:val="none"/>
                <w:vertAlign w:val="baseline"/>
                <w:lang w:val="en-US" w:eastAsia="zh-CN"/>
              </w:rPr>
              <w:t>龙之润五厂处理站处理</w:t>
            </w:r>
            <w:r>
              <w:rPr>
                <w:rFonts w:hint="eastAsia" w:ascii="Times New Roman" w:hAnsi="Times New Roman" w:cs="Times New Roman"/>
                <w:color w:val="auto"/>
                <w:sz w:val="24"/>
                <w:szCs w:val="24"/>
                <w:highlight w:val="none"/>
                <w:vertAlign w:val="baseline"/>
                <w:lang w:val="en-US" w:eastAsia="zh-CN"/>
              </w:rPr>
              <w:t>；油基泥浆进入废弃泥浆无害化处理油基泥浆站处理；一般废弃包装袋及一般防渗布统一收集后送大庆市岗源环保科技有限责任公司工业废弃物处置中心处置；废弃过硫酸钾和氢氧化钾包装袋及含油防渗布委托有资质单位进行处置；4.活垃圾统一收集后，委托大庆三联实业有限公司拉运处置。</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8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污染物排放管控</w:t>
            </w:r>
          </w:p>
        </w:tc>
        <w:tc>
          <w:tcPr>
            <w:tcW w:w="49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1.各类涉及土地利用的规划和可能造成土壤污染的建设项目，应当依法进行环评。环评文件应当包括对土壤可能造成的不良影响及应当采取的相应预防措施等内容。</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2.生产、使用、贮存、运输、回收、处置、排放有毒有害物质的单位和个人，应当采取有效措施，防止有毒有害物质渗漏、流失、扬散，避免土壤受到污染。</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3.开展建设用地调查评估。对已搬迁、关闭企业原址场地土壤污染状况进行排查，建立已搬迁、关闭企业原址场地的潜在污染地块清单，并及时更新。</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4.健全垃圾处理处置体系。</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5.加强对尾矿坝安全监控及对其周边地下水水质监测。</w:t>
            </w:r>
          </w:p>
        </w:tc>
        <w:tc>
          <w:tcPr>
            <w:tcW w:w="59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1.根据本项目实际建设情况，在本环评报告中提出了具体的具有针对性的防范及治理措施。</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2.项目产生的</w:t>
            </w:r>
            <w:r>
              <w:rPr>
                <w:rFonts w:hint="eastAsia" w:ascii="Times New Roman" w:hAnsi="Times New Roman" w:cs="Times New Roman"/>
                <w:color w:val="auto"/>
                <w:sz w:val="24"/>
                <w:szCs w:val="24"/>
                <w:highlight w:val="none"/>
                <w:vertAlign w:val="baseline"/>
                <w:lang w:val="en-US" w:eastAsia="zh-CN"/>
              </w:rPr>
              <w:t>废弃</w:t>
            </w:r>
            <w:r>
              <w:rPr>
                <w:rFonts w:hint="default" w:ascii="Times New Roman" w:hAnsi="Times New Roman" w:cs="Times New Roman"/>
                <w:color w:val="auto"/>
                <w:sz w:val="24"/>
                <w:szCs w:val="24"/>
                <w:highlight w:val="none"/>
                <w:vertAlign w:val="baseline"/>
                <w:lang w:val="en-US" w:eastAsia="zh-CN"/>
              </w:rPr>
              <w:t>过硫酸钾</w:t>
            </w:r>
            <w:r>
              <w:rPr>
                <w:rFonts w:hint="eastAsia" w:ascii="Times New Roman" w:hAnsi="Times New Roman" w:cs="Times New Roman"/>
                <w:color w:val="auto"/>
                <w:sz w:val="24"/>
                <w:szCs w:val="24"/>
                <w:highlight w:val="none"/>
                <w:vertAlign w:val="baseline"/>
                <w:lang w:val="en-US" w:eastAsia="zh-CN"/>
              </w:rPr>
              <w:t>和氢氧化钾</w:t>
            </w:r>
            <w:r>
              <w:rPr>
                <w:rFonts w:hint="default" w:ascii="Times New Roman" w:hAnsi="Times New Roman" w:cs="Times New Roman"/>
                <w:color w:val="auto"/>
                <w:sz w:val="24"/>
                <w:szCs w:val="24"/>
                <w:highlight w:val="none"/>
                <w:vertAlign w:val="baseline"/>
                <w:lang w:val="en-US" w:eastAsia="zh-CN"/>
              </w:rPr>
              <w:t>包装袋</w:t>
            </w:r>
            <w:r>
              <w:rPr>
                <w:rFonts w:hint="eastAsia" w:ascii="Times New Roman" w:hAnsi="Times New Roman" w:cs="Times New Roman"/>
                <w:color w:val="auto"/>
                <w:sz w:val="24"/>
                <w:szCs w:val="24"/>
                <w:highlight w:val="none"/>
                <w:vertAlign w:val="baseline"/>
                <w:lang w:val="en-US" w:eastAsia="zh-CN"/>
              </w:rPr>
              <w:t>及含油防渗布</w:t>
            </w:r>
            <w:r>
              <w:rPr>
                <w:rFonts w:hint="default" w:ascii="Times New Roman" w:hAnsi="Times New Roman" w:cs="Times New Roman"/>
                <w:color w:val="auto"/>
                <w:sz w:val="24"/>
                <w:szCs w:val="24"/>
                <w:highlight w:val="none"/>
                <w:vertAlign w:val="baseline"/>
                <w:lang w:val="en-US" w:eastAsia="zh-CN"/>
              </w:rPr>
              <w:t>危险废物委托有资质单位处理。</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3.本项目所在区域为土壤一般管控区，</w:t>
            </w:r>
            <w:r>
              <w:rPr>
                <w:rFonts w:hint="eastAsia" w:ascii="Times New Roman" w:hAnsi="Times New Roman" w:cs="Times New Roman"/>
                <w:color w:val="auto"/>
                <w:sz w:val="24"/>
                <w:szCs w:val="24"/>
                <w:highlight w:val="none"/>
                <w:vertAlign w:val="baseline"/>
                <w:lang w:val="en-US" w:eastAsia="zh-CN"/>
              </w:rPr>
              <w:t>占地类型为基本农田，</w:t>
            </w:r>
            <w:r>
              <w:rPr>
                <w:rFonts w:hint="default" w:ascii="Times New Roman" w:hAnsi="Times New Roman" w:cs="Times New Roman"/>
                <w:color w:val="auto"/>
                <w:sz w:val="24"/>
                <w:szCs w:val="24"/>
                <w:highlight w:val="none"/>
                <w:vertAlign w:val="baseline"/>
                <w:lang w:val="en-US" w:eastAsia="zh-CN"/>
              </w:rPr>
              <w:t>不涉及建设用地场地调查评估</w:t>
            </w:r>
            <w:r>
              <w:rPr>
                <w:rFonts w:hint="eastAsia" w:ascii="Times New Roman" w:hAnsi="Times New Roman" w:cs="Times New Roman"/>
                <w:color w:val="auto"/>
                <w:sz w:val="24"/>
                <w:szCs w:val="24"/>
                <w:highlight w:val="none"/>
                <w:vertAlign w:val="baseline"/>
                <w:lang w:val="en-US" w:eastAsia="zh-CN"/>
              </w:rPr>
              <w:t>；根据本次土壤环境现状监测，拟建井场占地内土壤、周围耕地和附近村屯土壤均满足相应土壤环境质量标准污染风险筛选值。</w:t>
            </w:r>
          </w:p>
          <w:p>
            <w:pPr>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4.项目产生的的生活垃圾统一收集后，委托大庆三联实业有限公司拉运处置。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5.本项目为天然气开发井钻井项目，不涉及尾矿坝工程。</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14</w:t>
      </w:r>
      <w:r>
        <w:rPr>
          <w:rFonts w:hint="default" w:ascii="Times New Roman" w:hAnsi="Times New Roman" w:eastAsia="宋体" w:cs="Times New Roman"/>
          <w:b/>
          <w:bCs/>
          <w:color w:val="auto"/>
          <w:kern w:val="0"/>
          <w:sz w:val="24"/>
          <w:szCs w:val="24"/>
          <w:highlight w:val="none"/>
          <w:lang w:val="en-US" w:eastAsia="zh-CN" w:bidi="ar"/>
        </w:rPr>
        <w:t>资源利用上线分区管控要求符合性分析一览表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36"/>
        <w:gridCol w:w="8932"/>
        <w:gridCol w:w="39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管控单元类别</w:t>
            </w:r>
          </w:p>
        </w:tc>
        <w:tc>
          <w:tcPr>
            <w:tcW w:w="8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管控要求</w:t>
            </w:r>
          </w:p>
        </w:tc>
        <w:tc>
          <w:tcPr>
            <w:tcW w:w="39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水资源一般管控区</w:t>
            </w:r>
          </w:p>
        </w:tc>
        <w:tc>
          <w:tcPr>
            <w:tcW w:w="8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（1）严格控制水资源消耗总量和强度，加快完成江河流域水量分配、生态流量保障实施方案工作，推进水权确权。</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（2）积极推进节水型社会达标建设，限制高耗水工业项目建设和高耗水服务业发展，遏制农业粗放用水，强化用水定额管理，加大农业节水力度，加大工业节水技术改造。</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（3）各级水行政主管部门要按照确定的地下水水位控制指标，加强水位动态监控。</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（4）建立用水单位重点监控名录，实施计划用水管理。</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建立健全规划和建设项目水资源论证制度，完善规划水资源论证相关政策措施。市县重点推进重大产业布局和各类开发区规划水资源论证，严格建设项目水资源论证，对未依法完成水资源论证工作的建设项目，建设单位不得擅自开工建设和投产使用。</w:t>
            </w:r>
          </w:p>
        </w:tc>
        <w:tc>
          <w:tcPr>
            <w:tcW w:w="39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本项目生产用水由罐车拉运至现场，存储在水罐内，项目不无新建水源井，不开采地下水，符合水资源一般管控区要求。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土地资源一般管控区</w:t>
            </w:r>
          </w:p>
        </w:tc>
        <w:tc>
          <w:tcPr>
            <w:tcW w:w="89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坚持最严格的节约用地制度，提高土地利用节约集约水平。优化建设用地布局，严格划定城市开发边界，统筹区域发展、统筹城乡发展，统筹安排生产、生活、生态用地，引导形成合理的空间开发格局。</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黑土地。一是重点保护类黑土地应保持和提高土壤肥力，通过土壤改良、地力培肥和治理修复，有效遏制黑土地退化，持续提升黑土耕地质量，改善黑土区生态环境；二是质量严重退化或者污染严重的黑土地，应当实行轮耕、休耕或者退耕还林、还草、还湿以及采取土壤工程技术等污染防治措施推进连片治理；三是整合黑土保护技术，分类推广成熟黑土耕地保护模式，针对不同类型区域，开展差异化的黑土耕地保护治理工作；四是加快农村土地流转，促进适度规模经营及黑土地的集中连片治理，提升修复治理效率。</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永久基本农田。一是永久基本农田一经划定，任何单位和个人不得擅自占用或改变用途。二是一般建设项目不得占用永久基本农田；在永久基本农田集中区域，不得新建可能造成土壤污染的建设项目；已经建成的，应当限期关闭拆除。三是禁止任何单位和个人在基本农田保护区内建窑、建房、建坟、挖砂、采石、采矿、取土、堆放固体废弃物或者进行其他破坏基本农田的活动。四是禁止任何单位和个人占用基本农田发展林果业和挖塘养鱼。五是永久基本农田内不得种植破坏耕作层难以恢复的杨树、桉树、构树等林木，不得种植草坪、草皮等用于绿化装饰的植物，不得种植其他破坏耕作层的植物。六是禁</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止任何单位和个人破坏永久基本农田耕作层。七是禁止以设施农用地为名违规占用永久基本农田建设休闲旅游、仓储厂房等设施。八是禁止向农用地排放重金属或者其他有毒有害物质含量超标的污水、污泥，以及可能造成土壤污染的清淤底泥、尾矿、矿渣等。以及法律、法规禁止的其他行为。</w:t>
            </w:r>
          </w:p>
        </w:tc>
        <w:tc>
          <w:tcPr>
            <w:tcW w:w="39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1.本</w:t>
            </w:r>
            <w:r>
              <w:rPr>
                <w:rFonts w:hint="eastAsia" w:ascii="Times New Roman" w:hAnsi="Times New Roman" w:cs="Times New Roman"/>
                <w:color w:val="auto"/>
                <w:sz w:val="24"/>
                <w:szCs w:val="24"/>
                <w:highlight w:val="none"/>
                <w:vertAlign w:val="baseline"/>
                <w:lang w:val="en-US" w:eastAsia="zh-CN"/>
              </w:rPr>
              <w:t>项目</w:t>
            </w:r>
            <w:r>
              <w:rPr>
                <w:rFonts w:hint="default" w:ascii="Times New Roman" w:hAnsi="Times New Roman" w:cs="Times New Roman"/>
                <w:color w:val="auto"/>
                <w:sz w:val="24"/>
                <w:szCs w:val="24"/>
                <w:highlight w:val="none"/>
                <w:vertAlign w:val="baseline"/>
                <w:lang w:val="en-US" w:eastAsia="zh-CN"/>
              </w:rPr>
              <w:t>总体布局采用环境影响最小的布局方案，尽可能减少占地和损耗</w:t>
            </w:r>
            <w:r>
              <w:rPr>
                <w:rFonts w:hint="eastAsia" w:ascii="Times New Roman" w:hAnsi="Times New Roman" w:cs="Times New Roman"/>
                <w:color w:val="auto"/>
                <w:sz w:val="24"/>
                <w:szCs w:val="24"/>
                <w:highlight w:val="none"/>
                <w:vertAlign w:val="baseline"/>
                <w:lang w:val="en-US" w:eastAsia="zh-CN"/>
              </w:rPr>
              <w:t>，本项目工程设计及施工阶段，严格按照《石油天然气工程项目用地控制指标》（国土资规【2016】14号）执行，控制施工占地。</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2.本项目为天然气开采前期钻井项目，</w:t>
            </w:r>
            <w:r>
              <w:rPr>
                <w:rFonts w:hint="eastAsia" w:ascii="Times New Roman" w:hAnsi="Times New Roman" w:cs="Times New Roman"/>
                <w:color w:val="auto"/>
                <w:sz w:val="24"/>
                <w:szCs w:val="24"/>
                <w:highlight w:val="none"/>
                <w:vertAlign w:val="baseline"/>
                <w:lang w:val="en-US" w:eastAsia="zh-CN"/>
              </w:rPr>
              <w:t>为国家能源设施建设项目；</w:t>
            </w:r>
            <w:r>
              <w:rPr>
                <w:rFonts w:hint="default" w:ascii="Times New Roman" w:hAnsi="Times New Roman" w:cs="Times New Roman"/>
                <w:color w:val="auto"/>
                <w:sz w:val="24"/>
                <w:szCs w:val="24"/>
                <w:highlight w:val="none"/>
                <w:vertAlign w:val="baseline"/>
                <w:lang w:val="en-US" w:eastAsia="zh-CN"/>
              </w:rPr>
              <w:t>新建井场占地类型为基本农田，经地下资源勘探，本项目建设无法避开基本农田；本项目建设单位已根据相关土地管理政策，向土地管理部门进行申报，经批准后占用。对占用的耕地按照</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占多少，垦多少</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的原则，由建设单位负责开垦与所占用耕地的数量和质量相当的耕地，如果没有条件开垦时，按黑龙江省的规定缴纳耕地开垦费，用于开垦新的耕地。</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15</w:t>
      </w:r>
      <w:r>
        <w:rPr>
          <w:rFonts w:hint="default" w:ascii="Times New Roman" w:hAnsi="Times New Roman" w:eastAsia="宋体" w:cs="Times New Roman"/>
          <w:b/>
          <w:bCs/>
          <w:color w:val="auto"/>
          <w:kern w:val="0"/>
          <w:sz w:val="24"/>
          <w:szCs w:val="24"/>
          <w:highlight w:val="none"/>
          <w:lang w:val="en-US" w:eastAsia="zh-CN" w:bidi="ar"/>
        </w:rPr>
        <w:t>与肇州县生态环境准入清单符合性一览表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07"/>
        <w:gridCol w:w="802"/>
        <w:gridCol w:w="5723"/>
        <w:gridCol w:w="5261"/>
        <w:gridCol w:w="10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管控单元</w:t>
            </w:r>
          </w:p>
        </w:tc>
        <w:tc>
          <w:tcPr>
            <w:tcW w:w="6525"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管控要求</w:t>
            </w:r>
          </w:p>
        </w:tc>
        <w:tc>
          <w:tcPr>
            <w:tcW w:w="52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肇州县永久基本农田</w:t>
            </w:r>
          </w:p>
        </w:tc>
        <w:tc>
          <w:tcPr>
            <w:tcW w:w="8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资源利用效率要求</w:t>
            </w:r>
          </w:p>
        </w:tc>
        <w:tc>
          <w:tcPr>
            <w:tcW w:w="57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1.永久基本农田一经划定，任何单位和个人不得擅自占用或改变用途。一般建设项目不得占用永久基本农田。</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2.在永久基本农田集中区域，不得新建可能造成土壤污染的建设项目；已经建成的，应当限期关闭拆除。</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3.禁止任何单位和个人在基本农田保护区内建窑、建房、建坟、挖砂、采石、采矿、取土、堆放固体废弃物或者进行其他破坏基本农田的活动。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4.禁止任何单位和个人占用基本农田发展林果业和挖塘养鱼。</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5.永久基本农田内不得种植破坏耕作层难以恢复的杨树、桉树、构树等林木，不得种植草坪、草皮等用于绿化装饰的植物，不得种植其他破坏耕作层的植物。</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6.禁止任何单位和个人破坏永久基本农田耕作层。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7.禁止以设施农用地为名违规占用永久基本农田建设休闲旅游、仓储厂房等设施。</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8.禁止向农用地排放重金属或者其他有毒有害物质含量超标的污水、污泥，以及可能造成土壤污染的清淤底泥、尾矿、矿渣等。</w:t>
            </w:r>
          </w:p>
        </w:tc>
        <w:tc>
          <w:tcPr>
            <w:tcW w:w="52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1.本项目为天然气开采前期钻井项目，新建井场占地类型为基本农田，经地下资源勘探，本项目建设无法避开基本农田；</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2.本项目建设单位已根据相关土地管理政策，向土地管理部门进行申报，经批准后占用。对占用的耕地按照</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占多少，垦多少</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的原则，由建设单位负责开垦与所占用耕地的数量和质量相当的耕地，如果没有条件开垦时，按黑龙江省的规定缴纳耕地开垦费，用于开垦新的耕地。</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3.合理规划道路运输路线，尽量利用现有公路网络，对临时占用的耕地进行复垦。</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4.本项目产生的废水及固体废物均送至其他单位进行处置，均不外排。</w:t>
            </w:r>
          </w:p>
        </w:tc>
        <w:tc>
          <w:tcPr>
            <w:tcW w:w="1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符合</w:t>
            </w:r>
          </w:p>
        </w:tc>
      </w:tr>
    </w:tbl>
    <w:p>
      <w:pPr>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br w:type="page"/>
      </w:r>
    </w:p>
    <w:p>
      <w:pPr>
        <w:pStyle w:val="8"/>
        <w:rPr>
          <w:rFonts w:hint="default" w:ascii="Times New Roman" w:hAnsi="Times New Roman" w:cs="Times New Roman"/>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1.4.</w:t>
      </w: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选址合理性分析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本项目在已开发</w:t>
      </w:r>
      <w:r>
        <w:rPr>
          <w:rFonts w:hint="eastAsia" w:ascii="Times New Roman" w:hAnsi="Times New Roman" w:eastAsia="宋体" w:cs="Times New Roman"/>
          <w:color w:val="auto"/>
          <w:kern w:val="0"/>
          <w:sz w:val="28"/>
          <w:szCs w:val="28"/>
          <w:highlight w:val="none"/>
          <w:lang w:val="en-US" w:eastAsia="zh-CN" w:bidi="ar"/>
        </w:rPr>
        <w:t>气</w:t>
      </w:r>
      <w:r>
        <w:rPr>
          <w:rFonts w:hint="default" w:ascii="Times New Roman" w:hAnsi="Times New Roman" w:eastAsia="宋体" w:cs="Times New Roman"/>
          <w:color w:val="auto"/>
          <w:kern w:val="0"/>
          <w:sz w:val="28"/>
          <w:szCs w:val="28"/>
          <w:highlight w:val="none"/>
          <w:lang w:val="en-US" w:eastAsia="zh-CN" w:bidi="ar"/>
        </w:rPr>
        <w:t>田区块内新建天然气开采井3口，项目为钻井工程，工程内容包括钻井成套设备搬运、安装、调试、钻进、录井、测井、固井、完井及压裂试气。施工区域周围敏感点主要为村屯、耕地和</w:t>
      </w:r>
      <w:r>
        <w:rPr>
          <w:rFonts w:hint="eastAsia" w:ascii="Times New Roman" w:hAnsi="Times New Roman" w:eastAsia="宋体" w:cs="Times New Roman"/>
          <w:color w:val="auto"/>
          <w:kern w:val="0"/>
          <w:sz w:val="28"/>
          <w:szCs w:val="28"/>
          <w:highlight w:val="none"/>
          <w:lang w:val="en-US" w:eastAsia="zh-CN" w:bidi="ar"/>
        </w:rPr>
        <w:t>北大排水干渠</w:t>
      </w:r>
      <w:r>
        <w:rPr>
          <w:rFonts w:hint="default" w:ascii="Times New Roman" w:hAnsi="Times New Roman" w:eastAsia="宋体" w:cs="Times New Roman"/>
          <w:color w:val="auto"/>
          <w:kern w:val="0"/>
          <w:sz w:val="28"/>
          <w:szCs w:val="28"/>
          <w:highlight w:val="none"/>
          <w:lang w:val="en-US" w:eastAsia="zh-CN" w:bidi="ar"/>
        </w:rPr>
        <w:t>，本项目评价范围内无国家、省、市级自然保护区、文物古迹名胜等重要保护目标。</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本项目属于国家能源设施重点建设项目，根据</w:t>
      </w:r>
      <w:r>
        <w:rPr>
          <w:rFonts w:hint="eastAsia" w:ascii="Times New Roman" w:hAnsi="Times New Roman" w:eastAsia="宋体" w:cs="Times New Roman"/>
          <w:color w:val="auto"/>
          <w:kern w:val="0"/>
          <w:sz w:val="28"/>
          <w:szCs w:val="28"/>
          <w:highlight w:val="none"/>
          <w:lang w:val="en-US" w:eastAsia="zh-CN" w:bidi="ar"/>
        </w:rPr>
        <w:t>工程勘测和</w:t>
      </w:r>
      <w:r>
        <w:rPr>
          <w:rFonts w:hint="default" w:ascii="Times New Roman" w:hAnsi="Times New Roman" w:eastAsia="宋体" w:cs="Times New Roman"/>
          <w:color w:val="auto"/>
          <w:kern w:val="0"/>
          <w:sz w:val="28"/>
          <w:szCs w:val="28"/>
          <w:highlight w:val="none"/>
          <w:lang w:val="en-US" w:eastAsia="zh-CN" w:bidi="ar"/>
        </w:rPr>
        <w:t>设计要求，项目选址无法避让基本农田，因此应按有关土地管理办法的要求，逐级上报土地管理部门批准，对于永久占地，应纳入省土地利用规划，按有关土地管理部门要求认真执行。对占用的耕地，应当按照省的规定缴纳耕地开垦费，专款用于开垦新的耕地，基本农田的耕地恢复由当地政府负责开垦相应数量的耕地，进行耕地保护。</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在选址时充分考虑了</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地下决定地上，地下顾及地上</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的原则，区域内无文物古迹、风景名胜区、自然保护区和珍稀濒危野生动植物分布，不在生态红线内，项目井场建设采用环境影响最小的布局方案，减少占地和损耗，节约资源可行，距离国道相对最远距离为</w:t>
      </w:r>
      <w:r>
        <w:rPr>
          <w:rFonts w:hint="eastAsia" w:ascii="Times New Roman" w:hAnsi="Times New Roman" w:eastAsia="宋体" w:cs="Times New Roman"/>
          <w:color w:val="auto"/>
          <w:kern w:val="0"/>
          <w:sz w:val="28"/>
          <w:szCs w:val="28"/>
          <w:highlight w:val="none"/>
          <w:lang w:val="en-US" w:eastAsia="zh-CN" w:bidi="ar"/>
        </w:rPr>
        <w:t>2.1</w:t>
      </w:r>
      <w:r>
        <w:rPr>
          <w:rFonts w:hint="default" w:ascii="Times New Roman" w:hAnsi="Times New Roman" w:eastAsia="宋体" w:cs="Times New Roman"/>
          <w:color w:val="auto"/>
          <w:kern w:val="0"/>
          <w:sz w:val="28"/>
          <w:szCs w:val="28"/>
          <w:highlight w:val="none"/>
          <w:lang w:val="en-US" w:eastAsia="zh-CN" w:bidi="ar"/>
        </w:rPr>
        <w:t>km，若发生不可控突发环境事件，救援队可迅速进入现场进行处置。</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项目施工过程严格执行占地标准，尽量减少对耕地的占用，并对占地进行了补偿。项目建设对周围的主要环境影响为生态环境影响、大气环境影响、地下水环境影响、声环境影响和固废对周围的环境影响。通过环境影响预测与环境影响分析，工程建设实施后，通过采取相应的污染控制措施，周围的环境质量均能满足相关标准要求，项目建设对周围的环境影响均在可接受的范围，项目选址在环境保护方面较合理。</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5" w:name="_Toc2464"/>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1.5关注的主要环境问题及环境影响</w:t>
      </w:r>
      <w:bookmarkEnd w:id="5"/>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本项目为天然气开采前期钻井</w:t>
      </w:r>
      <w:r>
        <w:rPr>
          <w:rFonts w:hint="eastAsia" w:ascii="Times New Roman" w:hAnsi="Times New Roman" w:eastAsia="宋体" w:cs="Times New Roman"/>
          <w:color w:val="auto"/>
          <w:kern w:val="0"/>
          <w:sz w:val="28"/>
          <w:szCs w:val="28"/>
          <w:highlight w:val="none"/>
          <w:lang w:val="en-US" w:eastAsia="zh-CN" w:bidi="ar"/>
        </w:rPr>
        <w:t>工程</w:t>
      </w:r>
      <w:r>
        <w:rPr>
          <w:rFonts w:hint="default" w:ascii="Times New Roman" w:hAnsi="Times New Roman" w:eastAsia="宋体" w:cs="Times New Roman"/>
          <w:color w:val="auto"/>
          <w:kern w:val="0"/>
          <w:sz w:val="28"/>
          <w:szCs w:val="28"/>
          <w:highlight w:val="none"/>
          <w:lang w:val="en-US" w:eastAsia="zh-CN" w:bidi="ar"/>
        </w:rPr>
        <w:t>，环境影响主要来源于施工期钻井、射孔、压裂</w:t>
      </w:r>
      <w:r>
        <w:rPr>
          <w:rFonts w:hint="eastAsia" w:ascii="Times New Roman" w:hAnsi="Times New Roman" w:eastAsia="宋体" w:cs="Times New Roman"/>
          <w:color w:val="auto"/>
          <w:kern w:val="0"/>
          <w:sz w:val="28"/>
          <w:szCs w:val="28"/>
          <w:highlight w:val="none"/>
          <w:lang w:val="en-US" w:eastAsia="zh-CN" w:bidi="ar"/>
        </w:rPr>
        <w:t>及试气</w:t>
      </w:r>
      <w:r>
        <w:rPr>
          <w:rFonts w:hint="default" w:ascii="Times New Roman" w:hAnsi="Times New Roman" w:eastAsia="宋体" w:cs="Times New Roman"/>
          <w:color w:val="auto"/>
          <w:kern w:val="0"/>
          <w:sz w:val="28"/>
          <w:szCs w:val="28"/>
          <w:highlight w:val="none"/>
          <w:lang w:val="en-US" w:eastAsia="zh-CN" w:bidi="ar"/>
        </w:rPr>
        <w:t>等工艺过程，环境影响包括施工期污染物排放造成的环境污染影响和占地及施工造成的生态影响。</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现状调查，本项目未在自然保护区、风景名胜区、饮用水水源保护区、水土流失重点预防区和重点治理区等敏感区域内，主要环境敏感保护目标为评价范围内的基本农田、井场周边分布的农村居民点。重点关注钻井施工过程的各项污染物产生以及可能发生的风险对区域环境产生的影响、施工过程中产生的生态环境问题以及生态恢复措施。</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（1）环境空气</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本项目对大气环境的影响主要为是施工扬尘、固井扬尘、车辆尾气、柴油机烟气和放空火炬燃烧烟气。</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项目钻井时柴油发动机产生的烟气量为307.2×10</w:t>
      </w:r>
      <w:r>
        <w:rPr>
          <w:rFonts w:hint="eastAsia" w:ascii="Times New Roman" w:hAnsi="Times New Roman" w:eastAsia="宋体" w:cs="Times New Roman"/>
          <w:color w:val="auto"/>
          <w:kern w:val="0"/>
          <w:sz w:val="28"/>
          <w:szCs w:val="28"/>
          <w:highlight w:val="none"/>
          <w:vertAlign w:val="superscript"/>
          <w:lang w:val="en-US" w:eastAsia="zh-CN" w:bidi="ar"/>
        </w:rPr>
        <w:t>4</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，主要污染物为NOx、CO、HC和烟尘。颗粒物排放量为0.218t，CO产生量为0.463t，HC+NO</w:t>
      </w:r>
      <w:r>
        <w:rPr>
          <w:rFonts w:hint="eastAsia" w:ascii="Times New Roman" w:hAnsi="Times New Roman" w:eastAsia="宋体" w:cs="Times New Roman"/>
          <w:color w:val="auto"/>
          <w:kern w:val="0"/>
          <w:sz w:val="28"/>
          <w:szCs w:val="28"/>
          <w:highlight w:val="none"/>
          <w:vertAlign w:val="subscript"/>
          <w:lang w:val="en-US" w:eastAsia="zh-CN" w:bidi="ar"/>
        </w:rPr>
        <w:t>X</w:t>
      </w:r>
      <w:r>
        <w:rPr>
          <w:rFonts w:hint="eastAsia" w:ascii="Times New Roman" w:hAnsi="Times New Roman" w:eastAsia="宋体" w:cs="Times New Roman"/>
          <w:color w:val="auto"/>
          <w:kern w:val="0"/>
          <w:sz w:val="28"/>
          <w:szCs w:val="28"/>
          <w:highlight w:val="none"/>
          <w:lang w:val="en-US" w:eastAsia="zh-CN" w:bidi="ar"/>
        </w:rPr>
        <w:t>产生量为1.23t，柴油机标定功率为895-1000kw，则单位柴油机污染物排放速率满足《非道路移动机械用柴油机排气污染物排放限值及测量方法》（GB20891-2014）第三阶段排放标准限值要求。</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本项目天然气试气量约为85万m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，燃烧烟气量为893万m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，污染物主要有SO</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NOx及颗粒物，根据《社会区域类环境影响评价》，颗粒物产生量0.12t，二氧化硫产生量0.15t，氮氧化物产生量1.5t。天然气属于清洁能源，且试气时间短，当天试气结束后，烟气在空旷地带逸散，对环境影响持续影响较小。</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固井水泥浆配置过程产生粉尘，参照《逸散性工业粉尘控制技术》，</w:t>
      </w:r>
      <w:r>
        <w:rPr>
          <w:rFonts w:hint="eastAsia" w:ascii="Times New Roman" w:hAnsi="Times New Roman" w:eastAsia="宋体" w:cs="Times New Roman"/>
          <w:color w:val="auto"/>
          <w:kern w:val="0"/>
          <w:sz w:val="28"/>
          <w:szCs w:val="28"/>
          <w:highlight w:val="none"/>
          <w:lang w:val="en-US" w:eastAsia="zh-CN" w:bidi="ar"/>
        </w:rPr>
        <w:t>产污系数以</w:t>
      </w:r>
      <w:r>
        <w:rPr>
          <w:rFonts w:hint="default" w:ascii="Times New Roman" w:hAnsi="Times New Roman" w:eastAsia="宋体" w:cs="Times New Roman"/>
          <w:color w:val="auto"/>
          <w:kern w:val="0"/>
          <w:sz w:val="28"/>
          <w:szCs w:val="28"/>
          <w:highlight w:val="none"/>
          <w:lang w:val="en-US" w:eastAsia="zh-CN" w:bidi="ar"/>
        </w:rPr>
        <w:t>0.02kg/t物料量</w:t>
      </w:r>
      <w:r>
        <w:rPr>
          <w:rFonts w:hint="eastAsia" w:ascii="Times New Roman" w:hAnsi="Times New Roman" w:eastAsia="宋体" w:cs="Times New Roman"/>
          <w:color w:val="auto"/>
          <w:kern w:val="0"/>
          <w:sz w:val="28"/>
          <w:szCs w:val="28"/>
          <w:highlight w:val="none"/>
          <w:lang w:val="en-US" w:eastAsia="zh-CN" w:bidi="ar"/>
        </w:rPr>
        <w:t>计，则固井粉尘产生量为0.02t，采取洒水抑尘措施，根据《固体物料堆存颗粒物产排污核算系数手册》，洒水抑尘粉尘治理效率可达74%，则本项目无组织颗粒物排放量为0.005t/a。</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施工扬尘采取施工现场洒水抑尘、运输运输车辆及物料加盖防尘布等方式降低扬尘污染，采取措施后施工场界颗粒物可以满足《大气污染物综合排放标准》（GB 16297-1996）表2中的无组织排放监控浓度限值；柴油机废气采取施工时使用低标号柴油，调节好柴油机运行工况等措施。采取以上措施后对环境空气影响较小。</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（2）水环境</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可能对水环境的影响主要为生活污水、钻井</w:t>
      </w:r>
      <w:r>
        <w:rPr>
          <w:rFonts w:hint="eastAsia" w:ascii="Times New Roman" w:hAnsi="Times New Roman" w:eastAsia="宋体" w:cs="Times New Roman"/>
          <w:color w:val="auto"/>
          <w:kern w:val="0"/>
          <w:sz w:val="28"/>
          <w:szCs w:val="28"/>
          <w:highlight w:val="none"/>
          <w:lang w:val="en-US" w:eastAsia="zh-CN" w:bidi="ar"/>
        </w:rPr>
        <w:t>污</w:t>
      </w:r>
      <w:r>
        <w:rPr>
          <w:rFonts w:hint="default" w:ascii="Times New Roman" w:hAnsi="Times New Roman" w:eastAsia="宋体" w:cs="Times New Roman"/>
          <w:color w:val="auto"/>
          <w:kern w:val="0"/>
          <w:sz w:val="28"/>
          <w:szCs w:val="28"/>
          <w:highlight w:val="none"/>
          <w:lang w:val="en-US" w:eastAsia="zh-CN" w:bidi="ar"/>
        </w:rPr>
        <w:t>水</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压裂返排液</w:t>
      </w:r>
      <w:r>
        <w:rPr>
          <w:rFonts w:hint="eastAsia" w:ascii="Times New Roman" w:hAnsi="Times New Roman" w:eastAsia="宋体" w:cs="Times New Roman"/>
          <w:color w:val="auto"/>
          <w:kern w:val="0"/>
          <w:sz w:val="28"/>
          <w:szCs w:val="28"/>
          <w:highlight w:val="none"/>
          <w:lang w:val="en-US" w:eastAsia="zh-CN" w:bidi="ar"/>
        </w:rPr>
        <w:t>及试气采出液</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生活污水进入施工营地设置的</w:t>
      </w:r>
      <w:r>
        <w:rPr>
          <w:rFonts w:hint="eastAsia" w:ascii="Times New Roman" w:hAnsi="Times New Roman" w:eastAsia="宋体" w:cs="Times New Roman"/>
          <w:color w:val="auto"/>
          <w:kern w:val="0"/>
          <w:sz w:val="28"/>
          <w:szCs w:val="28"/>
          <w:highlight w:val="none"/>
          <w:lang w:val="en-US" w:eastAsia="zh-CN" w:bidi="ar"/>
        </w:rPr>
        <w:t>生活</w:t>
      </w:r>
      <w:r>
        <w:rPr>
          <w:rFonts w:hint="default" w:ascii="Times New Roman" w:hAnsi="Times New Roman" w:eastAsia="宋体" w:cs="Times New Roman"/>
          <w:color w:val="auto"/>
          <w:kern w:val="0"/>
          <w:sz w:val="28"/>
          <w:szCs w:val="28"/>
          <w:highlight w:val="none"/>
          <w:lang w:val="en-US" w:eastAsia="zh-CN" w:bidi="ar"/>
        </w:rPr>
        <w:t>污水池，施工结束后进行卫生处理，场地进行平整。</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一般钻井废水产生量为1947t，与水基泥浆、水基岩屑拉运至黑龙江</w:t>
      </w:r>
      <w:r>
        <w:rPr>
          <w:rFonts w:hint="default" w:ascii="Times New Roman" w:hAnsi="Times New Roman" w:eastAsia="宋体" w:cs="Times New Roman"/>
          <w:color w:val="auto"/>
          <w:kern w:val="0"/>
          <w:sz w:val="28"/>
          <w:szCs w:val="28"/>
          <w:highlight w:val="none"/>
          <w:lang w:val="en-US" w:eastAsia="zh-CN" w:bidi="ar"/>
        </w:rPr>
        <w:t>龙之润五厂处理站处理，处理过程中产生的滤液由罐车送至杏十五一联合站污水处理站处理，满足《大庆油田地面工程建设设计规定》（Q/SYDQ0639-2015）限值要求</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含油量≤20mg/L、悬浮固体含量≤20mg/L</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，回注现役油层。</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本项目产生的一般钻井废水、水基岩屑、废弃水基钻井液及废射孔液共3156m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vertAlign w:val="baseline"/>
          <w:lang w:val="en-US" w:eastAsia="zh-CN" w:bidi="ar"/>
        </w:rPr>
        <w:t>，</w:t>
      </w:r>
      <w:r>
        <w:rPr>
          <w:rFonts w:hint="eastAsia" w:ascii="Times New Roman" w:hAnsi="Times New Roman" w:eastAsia="宋体" w:cs="Times New Roman"/>
          <w:color w:val="auto"/>
          <w:kern w:val="0"/>
          <w:sz w:val="28"/>
          <w:szCs w:val="28"/>
          <w:highlight w:val="none"/>
          <w:lang w:val="en-US" w:eastAsia="zh-CN" w:bidi="ar"/>
        </w:rPr>
        <w:t>黑龙江</w:t>
      </w:r>
      <w:r>
        <w:rPr>
          <w:rFonts w:hint="default" w:ascii="Times New Roman" w:hAnsi="Times New Roman" w:eastAsia="宋体" w:cs="Times New Roman"/>
          <w:color w:val="auto"/>
          <w:kern w:val="0"/>
          <w:sz w:val="28"/>
          <w:szCs w:val="28"/>
          <w:highlight w:val="none"/>
          <w:lang w:val="en-US" w:eastAsia="zh-CN" w:bidi="ar"/>
        </w:rPr>
        <w:t>龙之润五厂处理站</w:t>
      </w:r>
      <w:r>
        <w:rPr>
          <w:rFonts w:hint="eastAsia" w:ascii="Times New Roman" w:hAnsi="Times New Roman" w:eastAsia="宋体" w:cs="Times New Roman"/>
          <w:color w:val="auto"/>
          <w:kern w:val="0"/>
          <w:sz w:val="28"/>
          <w:szCs w:val="28"/>
          <w:highlight w:val="none"/>
          <w:lang w:val="en-US" w:eastAsia="zh-CN" w:bidi="ar"/>
        </w:rPr>
        <w:t>目前剩余处理能力为55032m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/a，能满足本项目处理需要。</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含油钻井废水产生量为5118t，与油基岩屑、油基泥浆一起拉运至大庆市云泰石化产品有限公司建设的废弃泥浆无害化处理油基泥浆站处理，处理过程中产生的滤液由罐车运至龙一联含油污水站处理，处理后水质满足《大庆油田地面工程建设设计规定》（Q/SYDQ0639-2015）限值要求（含油量≤8mg/L、悬浮固体含量≤3mg/L）后回注。</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本项目产生的含油钻井废水及油基岩屑</w:t>
      </w:r>
      <w:r>
        <w:rPr>
          <w:rFonts w:hint="eastAsia" w:ascii="Times New Roman" w:hAnsi="Times New Roman" w:eastAsia="宋体" w:cs="Times New Roman"/>
          <w:color w:val="auto"/>
          <w:kern w:val="0"/>
          <w:sz w:val="28"/>
          <w:szCs w:val="28"/>
          <w:highlight w:val="none"/>
          <w:lang w:val="en-US" w:eastAsia="zh-CN" w:bidi="ar"/>
        </w:rPr>
        <w:t>5458</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废弃油基钻井液5118t，</w:t>
      </w:r>
      <w:r>
        <w:rPr>
          <w:rFonts w:hint="default" w:ascii="Times New Roman" w:hAnsi="Times New Roman" w:eastAsia="宋体" w:cs="Times New Roman"/>
          <w:color w:val="auto"/>
          <w:kern w:val="0"/>
          <w:sz w:val="28"/>
          <w:szCs w:val="28"/>
          <w:highlight w:val="none"/>
          <w:lang w:val="en-US" w:eastAsia="zh-CN" w:bidi="ar"/>
        </w:rPr>
        <w:t>根据油田单位多年生产经验，液固混合物质密度以2.8g/cm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计，折算后液固混合物质产生量为</w:t>
      </w:r>
      <w:r>
        <w:rPr>
          <w:rFonts w:hint="eastAsia" w:ascii="Times New Roman" w:hAnsi="Times New Roman" w:eastAsia="宋体" w:cs="Times New Roman"/>
          <w:color w:val="auto"/>
          <w:kern w:val="0"/>
          <w:sz w:val="28"/>
          <w:szCs w:val="28"/>
          <w:highlight w:val="none"/>
          <w:lang w:val="en-US" w:eastAsia="zh-CN" w:bidi="ar"/>
        </w:rPr>
        <w:t>20400</w:t>
      </w:r>
      <w:r>
        <w:rPr>
          <w:rFonts w:hint="default" w:ascii="Times New Roman" w:hAnsi="Times New Roman" w:eastAsia="宋体" w:cs="Times New Roman"/>
          <w:color w:val="auto"/>
          <w:kern w:val="0"/>
          <w:sz w:val="28"/>
          <w:szCs w:val="28"/>
          <w:highlight w:val="none"/>
          <w:lang w:val="en-US" w:eastAsia="zh-CN" w:bidi="ar"/>
        </w:rPr>
        <w:t>t，废弃泥浆无害化处理油基泥浆站</w:t>
      </w:r>
      <w:r>
        <w:rPr>
          <w:rFonts w:hint="eastAsia" w:ascii="Times New Roman" w:hAnsi="Times New Roman" w:eastAsia="宋体" w:cs="Times New Roman"/>
          <w:color w:val="auto"/>
          <w:kern w:val="0"/>
          <w:sz w:val="28"/>
          <w:szCs w:val="28"/>
          <w:highlight w:val="none"/>
          <w:lang w:val="en-US" w:eastAsia="zh-CN" w:bidi="ar"/>
        </w:rPr>
        <w:t>剩余处理能力为90000t/a，能满足本项目处理需要。</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压裂返排液</w:t>
      </w:r>
      <w:r>
        <w:rPr>
          <w:rFonts w:hint="eastAsia" w:ascii="Times New Roman" w:hAnsi="Times New Roman" w:eastAsia="宋体" w:cs="Times New Roman"/>
          <w:color w:val="auto"/>
          <w:kern w:val="0"/>
          <w:sz w:val="28"/>
          <w:szCs w:val="28"/>
          <w:highlight w:val="none"/>
          <w:lang w:val="en-US" w:eastAsia="zh-CN" w:bidi="ar"/>
        </w:rPr>
        <w:t>产生量为17100m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由罐车拉运至哈19卸液站处理，处理后水质满足《大庆油田地面工程建设设计规定》（Q/SYDQ0639-2015）限值要求（含油量≤20mg/L，悬浮固体含量≤20mg/L），回注现役油层。</w:t>
      </w:r>
    </w:p>
    <w:p>
      <w:pPr>
        <w:pStyle w:val="2"/>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哈19卸液站</w:t>
      </w:r>
      <w:r>
        <w:rPr>
          <w:rFonts w:hint="eastAsia" w:ascii="Times New Roman" w:hAnsi="Times New Roman" w:eastAsia="宋体" w:cs="Times New Roman"/>
          <w:color w:val="auto"/>
          <w:kern w:val="0"/>
          <w:sz w:val="28"/>
          <w:szCs w:val="28"/>
          <w:highlight w:val="none"/>
          <w:lang w:val="en-US" w:eastAsia="zh-CN" w:bidi="ar"/>
        </w:rPr>
        <w:t>现剩余处理能力为1342m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/d，本项目压裂返排液产生量为570m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/d（压裂试气施工30天），能满足本项目处理需要。</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试气采出液</w:t>
      </w:r>
      <w:r>
        <w:rPr>
          <w:rFonts w:hint="eastAsia" w:ascii="Times New Roman" w:hAnsi="Times New Roman" w:eastAsia="宋体" w:cs="Times New Roman"/>
          <w:color w:val="auto"/>
          <w:kern w:val="0"/>
          <w:sz w:val="28"/>
          <w:szCs w:val="28"/>
          <w:highlight w:val="none"/>
          <w:lang w:val="en-US" w:eastAsia="zh-CN" w:bidi="ar"/>
        </w:rPr>
        <w:t>产生量为31m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拉运至升一联气田污水预处理站处理，满足《大庆油田地面工程建设设计规定》（Q/SYDQ0639-2015）限值要求（含油量≤10mg/L，悬浮固体含量≤5mg/L）回注现役油层。</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升一联实际处理量为240m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/d，现运行负荷率为17%，处理站剩余处理能力满足本项目处理需求。</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本项目采取分区防渗措施，其中柴油储罐、油基钢制泥浆槽及放喷池为重点防渗区，防渗系数K≤1.0×10</w:t>
      </w:r>
      <w:r>
        <w:rPr>
          <w:rFonts w:hint="eastAsia" w:ascii="Times New Roman" w:hAnsi="Times New Roman" w:eastAsia="宋体" w:cs="Times New Roman"/>
          <w:color w:val="auto"/>
          <w:kern w:val="0"/>
          <w:sz w:val="28"/>
          <w:szCs w:val="28"/>
          <w:highlight w:val="none"/>
          <w:vertAlign w:val="superscript"/>
          <w:lang w:val="en-US" w:eastAsia="zh-CN" w:bidi="ar"/>
        </w:rPr>
        <w:t>-10</w:t>
      </w:r>
      <w:r>
        <w:rPr>
          <w:rFonts w:hint="eastAsia" w:ascii="Times New Roman" w:hAnsi="Times New Roman" w:eastAsia="宋体" w:cs="Times New Roman"/>
          <w:color w:val="auto"/>
          <w:kern w:val="0"/>
          <w:sz w:val="28"/>
          <w:szCs w:val="28"/>
          <w:highlight w:val="none"/>
          <w:lang w:val="en-US" w:eastAsia="zh-CN" w:bidi="ar"/>
        </w:rPr>
        <w:t>cm/s；生活污水池、水基钢制泥浆槽、材料房、计量池、储液罐、压裂液罐为一般防渗区，防渗性能等效Mb≥1.5m、K≤1.0×10</w:t>
      </w:r>
      <w:r>
        <w:rPr>
          <w:rFonts w:hint="eastAsia" w:ascii="Times New Roman" w:hAnsi="Times New Roman" w:eastAsia="宋体" w:cs="Times New Roman"/>
          <w:color w:val="auto"/>
          <w:kern w:val="0"/>
          <w:sz w:val="28"/>
          <w:szCs w:val="28"/>
          <w:highlight w:val="none"/>
          <w:vertAlign w:val="superscript"/>
          <w:lang w:val="en-US" w:eastAsia="zh-CN" w:bidi="ar"/>
        </w:rPr>
        <w:t>-7</w:t>
      </w:r>
      <w:r>
        <w:rPr>
          <w:rFonts w:hint="eastAsia" w:ascii="Times New Roman" w:hAnsi="Times New Roman" w:eastAsia="宋体" w:cs="Times New Roman"/>
          <w:color w:val="auto"/>
          <w:kern w:val="0"/>
          <w:sz w:val="28"/>
          <w:szCs w:val="28"/>
          <w:highlight w:val="none"/>
          <w:lang w:val="en-US" w:eastAsia="zh-CN" w:bidi="ar"/>
        </w:rPr>
        <w:t>cm/s黏土防渗层。井场四周、井架、储罐及泥浆槽周围均设置排水沟，可及时收集事故废水，防止废水直接下渗，污染地下水及土壤环境。</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本项目各类废水均能得到合理妥善处置，</w:t>
      </w:r>
      <w:r>
        <w:rPr>
          <w:rFonts w:hint="eastAsia" w:ascii="Times New Roman" w:hAnsi="Times New Roman" w:eastAsia="宋体" w:cs="Times New Roman"/>
          <w:color w:val="auto"/>
          <w:kern w:val="0"/>
          <w:sz w:val="28"/>
          <w:szCs w:val="28"/>
          <w:highlight w:val="none"/>
          <w:lang w:val="en-US" w:eastAsia="zh-CN" w:bidi="ar"/>
        </w:rPr>
        <w:t>正常工况下</w:t>
      </w:r>
      <w:r>
        <w:rPr>
          <w:rFonts w:hint="default" w:ascii="Times New Roman" w:hAnsi="Times New Roman" w:eastAsia="宋体" w:cs="Times New Roman"/>
          <w:color w:val="auto"/>
          <w:kern w:val="0"/>
          <w:sz w:val="28"/>
          <w:szCs w:val="28"/>
          <w:highlight w:val="none"/>
          <w:lang w:val="en-US" w:eastAsia="zh-CN" w:bidi="ar"/>
        </w:rPr>
        <w:t>对区域地表水环境基本不产生影响。</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同时</w:t>
      </w:r>
      <w:r>
        <w:rPr>
          <w:rFonts w:hint="default" w:ascii="Times New Roman" w:hAnsi="Times New Roman" w:eastAsia="宋体" w:cs="Times New Roman"/>
          <w:color w:val="auto"/>
          <w:kern w:val="0"/>
          <w:sz w:val="28"/>
          <w:szCs w:val="28"/>
          <w:highlight w:val="none"/>
          <w:lang w:val="en-US" w:eastAsia="zh-CN" w:bidi="ar"/>
        </w:rPr>
        <w:t>本项目</w:t>
      </w:r>
      <w:r>
        <w:rPr>
          <w:rFonts w:hint="eastAsia" w:ascii="Times New Roman" w:hAnsi="Times New Roman" w:eastAsia="宋体" w:cs="Times New Roman"/>
          <w:color w:val="auto"/>
          <w:kern w:val="0"/>
          <w:sz w:val="28"/>
          <w:szCs w:val="28"/>
          <w:highlight w:val="none"/>
          <w:lang w:val="en-US" w:eastAsia="zh-CN" w:bidi="ar"/>
        </w:rPr>
        <w:t>执行地下水跟踪监测井，</w:t>
      </w:r>
      <w:r>
        <w:rPr>
          <w:rFonts w:hint="default" w:ascii="Times New Roman" w:hAnsi="Times New Roman" w:eastAsia="宋体" w:cs="Times New Roman"/>
          <w:color w:val="auto"/>
          <w:kern w:val="0"/>
          <w:sz w:val="28"/>
          <w:szCs w:val="28"/>
          <w:highlight w:val="none"/>
          <w:lang w:val="en-US" w:eastAsia="zh-CN" w:bidi="ar"/>
        </w:rPr>
        <w:t>定期</w:t>
      </w:r>
      <w:r>
        <w:rPr>
          <w:rFonts w:hint="eastAsia" w:ascii="Times New Roman" w:hAnsi="Times New Roman" w:eastAsia="宋体" w:cs="Times New Roman"/>
          <w:color w:val="auto"/>
          <w:kern w:val="0"/>
          <w:sz w:val="28"/>
          <w:szCs w:val="28"/>
          <w:highlight w:val="none"/>
          <w:lang w:val="en-US" w:eastAsia="zh-CN" w:bidi="ar"/>
        </w:rPr>
        <w:t>进行监测。</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正常状况下污染物下渗的可能性较小，不会对地下水环境产生污染影响。非正常状况下，根据影响分析结果可知，钻井液漏失及柴油储罐泄漏不会对下游居民点水井造成影响，本项目对地下水环境影响可以接受。</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（3）声环境</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本项目施工期产生的噪声主要为施工机械、车辆运行产生的噪声。本项目采取对井场合理布局，合理安排施工进度，采用低噪声设备，施工</w:t>
      </w:r>
      <w:r>
        <w:rPr>
          <w:rFonts w:hint="eastAsia" w:ascii="Times New Roman" w:hAnsi="Times New Roman" w:eastAsia="宋体" w:cs="Times New Roman"/>
          <w:color w:val="auto"/>
          <w:kern w:val="0"/>
          <w:sz w:val="28"/>
          <w:szCs w:val="28"/>
          <w:highlight w:val="none"/>
          <w:lang w:val="en-US" w:eastAsia="zh-CN" w:bidi="ar"/>
        </w:rPr>
        <w:t>期间加强</w:t>
      </w:r>
      <w:r>
        <w:rPr>
          <w:rFonts w:hint="default" w:ascii="Times New Roman" w:hAnsi="Times New Roman" w:eastAsia="宋体" w:cs="Times New Roman"/>
          <w:color w:val="auto"/>
          <w:kern w:val="0"/>
          <w:sz w:val="28"/>
          <w:szCs w:val="28"/>
          <w:highlight w:val="none"/>
          <w:lang w:val="en-US" w:eastAsia="zh-CN" w:bidi="ar"/>
        </w:rPr>
        <w:t>对设备的维护和保养，加强施工管理等措施，能够确保施工场界噪声满足《建筑施工场界环境噪声排放标准》（GB12523-2011）要求。</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（4）生态环境</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井场施工对基本农田的永久占用及部分耕地的临时占用，及因机械设备、车辆的碾压、人员的践踏等活动将会对井场周围环境的地表植被造成一定程度的破坏。临时占地暂时改变了土地利用形式，使区域的生产能力受到暂时性影响。</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严格执行占地标准，严格规范在占地内的施工建设，限制施工、作业范围和时限，尽量减少对耕地的占用，并对占地进行了补偿，将项目对基本农田损失降至最小。</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施工造成对附近野生动物及植物造成影响，根据现场勘查，本项目所在区域不存在重点保护野生动植物及特有种，野生动物主要为田鼠、燕子、麻雀和乌鸦等，主要经济农作物为玉米、水稻、谷子、绿豆，田垄间含有芦苇、三棱草、蒲草等植被；项目施工期间可能会鸟类野生动物繁殖，但施工期施工时常较短，施工结束后，建于建设单位采取封禁等生态保护措施，将临时占地内现有生态种类的生态量及生产力恢复至施工前原有水平，再进行气井产能地面建设工程，在生态恢复期间可进行生态监测。</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（5）土壤环境</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本项目对土壤环境的影响主要表现在钻井过程中发生的井口溢流</w:t>
      </w:r>
      <w:r>
        <w:rPr>
          <w:rFonts w:hint="eastAsia" w:ascii="Times New Roman" w:hAnsi="Times New Roman" w:eastAsia="宋体" w:cs="Times New Roman"/>
          <w:color w:val="auto"/>
          <w:kern w:val="0"/>
          <w:sz w:val="28"/>
          <w:szCs w:val="28"/>
          <w:highlight w:val="none"/>
          <w:lang w:val="en-US" w:eastAsia="zh-CN" w:bidi="ar"/>
        </w:rPr>
        <w:t>或套管破损，</w:t>
      </w:r>
      <w:r>
        <w:rPr>
          <w:rFonts w:hint="default" w:ascii="Times New Roman" w:hAnsi="Times New Roman" w:eastAsia="宋体" w:cs="Times New Roman"/>
          <w:color w:val="auto"/>
          <w:kern w:val="0"/>
          <w:sz w:val="28"/>
          <w:szCs w:val="28"/>
          <w:highlight w:val="none"/>
          <w:lang w:val="en-US" w:eastAsia="zh-CN" w:bidi="ar"/>
        </w:rPr>
        <w:t>导致钻井液外泄，钻井液中化学成分污染周围土壤环境。</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柴油罐泄漏，柴油对土壤环境造成污染，柴油中饱和烃及芳香烃成分改变土壤中有机质的组成及结构，柴油有较强的疏水性，附着在土壤颗粒上，堵塞土壤孔隙，是土壤透水性受到抑制，柴油中的沥青质和胶质难讲解，使土壤硬化结块，改变土壤的理化性质。</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钻井过程发生井喷</w:t>
      </w:r>
      <w:r>
        <w:rPr>
          <w:rFonts w:hint="eastAsia" w:ascii="Times New Roman" w:hAnsi="Times New Roman" w:eastAsia="宋体" w:cs="Times New Roman"/>
          <w:color w:val="auto"/>
          <w:kern w:val="0"/>
          <w:sz w:val="28"/>
          <w:szCs w:val="28"/>
          <w:highlight w:val="none"/>
          <w:lang w:val="en-US" w:eastAsia="zh-CN" w:bidi="ar"/>
        </w:rPr>
        <w:t>或试气期间发生天然气泄露，导致大量天然气从地下储层涌入井筒喷出地面，根据气田探勘资料，本区域气田不属于高含硫气田，天然气中硫化氢含量极低，若发生井喷或试气期间天然气泄露，不会造成土壤酸化；项目施工期间不使用酸化液进行压裂。项目施工建设不会造成土壤酸化。</w:t>
      </w:r>
    </w:p>
    <w:p>
      <w:pPr>
        <w:pStyle w:val="17"/>
        <w:ind w:left="0" w:leftChars="0" w:firstLine="560" w:firstLineChars="200"/>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在钻井施工阶段，采取分区防渗措施，且采取洒水抑尘、调控设备状态等措施，减缓大气污染物通过降尘方式污染周围土壤；制定测井及固井施工环节，强化施工质量。制定土壤环境监测计划，采取以上土壤污染治理措施，可减少项目建设对周围土壤环境的影响。</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（6）固体废物</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本项目施工期产生的固体废物为废钻井液、岩屑、废射孔液、废</w:t>
      </w:r>
      <w:r>
        <w:rPr>
          <w:rFonts w:hint="eastAsia" w:ascii="Times New Roman" w:hAnsi="Times New Roman" w:eastAsia="宋体" w:cs="Times New Roman"/>
          <w:color w:val="auto"/>
          <w:kern w:val="0"/>
          <w:sz w:val="28"/>
          <w:szCs w:val="28"/>
          <w:highlight w:val="none"/>
          <w:lang w:val="en-US" w:eastAsia="zh-CN" w:bidi="ar"/>
        </w:rPr>
        <w:t>弃</w:t>
      </w:r>
      <w:r>
        <w:rPr>
          <w:rFonts w:hint="default" w:ascii="Times New Roman" w:hAnsi="Times New Roman" w:eastAsia="宋体" w:cs="Times New Roman"/>
          <w:color w:val="auto"/>
          <w:kern w:val="0"/>
          <w:sz w:val="28"/>
          <w:szCs w:val="28"/>
          <w:highlight w:val="none"/>
          <w:lang w:val="en-US" w:eastAsia="zh-CN" w:bidi="ar"/>
        </w:rPr>
        <w:t>包装袋、废防渗布及生活垃圾等。</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废弃水基钻井液产生量为879t，水基岩屑产生量为222m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废射孔液</w:t>
      </w:r>
      <w:r>
        <w:rPr>
          <w:rFonts w:hint="eastAsia" w:ascii="Times New Roman" w:hAnsi="Times New Roman" w:eastAsia="宋体" w:cs="Times New Roman"/>
          <w:color w:val="auto"/>
          <w:kern w:val="0"/>
          <w:sz w:val="28"/>
          <w:szCs w:val="28"/>
          <w:highlight w:val="none"/>
          <w:lang w:val="en-US" w:eastAsia="zh-CN" w:bidi="ar"/>
        </w:rPr>
        <w:t>产生量为108m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，由</w:t>
      </w:r>
      <w:r>
        <w:rPr>
          <w:rFonts w:hint="default" w:ascii="Times New Roman" w:hAnsi="Times New Roman" w:eastAsia="宋体" w:cs="Times New Roman"/>
          <w:color w:val="auto"/>
          <w:kern w:val="0"/>
          <w:sz w:val="28"/>
          <w:szCs w:val="28"/>
          <w:highlight w:val="none"/>
          <w:lang w:val="en-US" w:eastAsia="zh-CN" w:bidi="ar"/>
        </w:rPr>
        <w:t>罐车拉运至黑龙江龙之润五厂处理站处理，</w:t>
      </w:r>
      <w:r>
        <w:rPr>
          <w:rFonts w:hint="eastAsia" w:ascii="Times New Roman" w:hAnsi="Times New Roman" w:eastAsia="宋体" w:cs="Times New Roman"/>
          <w:color w:val="auto"/>
          <w:kern w:val="0"/>
          <w:sz w:val="28"/>
          <w:szCs w:val="28"/>
          <w:highlight w:val="none"/>
          <w:lang w:val="en-US" w:eastAsia="zh-CN" w:bidi="ar"/>
        </w:rPr>
        <w:t>处理后的废渣满足《废弃钻井液处理规范》（DB23/T693-2000）及《一般工业固体废物贮存和填埋污染控制标准》（GB18599-2020）中第Ⅰ类一般工业固体废物标准要求，用作油田垫井场和通井路。</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废弃油基钻井液产生量为4484t，油基岩屑产生量为86m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，由</w:t>
      </w:r>
      <w:r>
        <w:rPr>
          <w:rFonts w:hint="default" w:ascii="Times New Roman" w:hAnsi="Times New Roman" w:eastAsia="宋体" w:cs="Times New Roman"/>
          <w:color w:val="auto"/>
          <w:kern w:val="0"/>
          <w:sz w:val="28"/>
          <w:szCs w:val="28"/>
          <w:highlight w:val="none"/>
          <w:lang w:val="en-US" w:eastAsia="zh-CN" w:bidi="ar"/>
        </w:rPr>
        <w:t>罐车拉运至大庆市云泰石化产品有限公司建设的废弃泥浆无害化处理油基泥浆站处理，废渣满足《废弃钻井液处理规范》（DB23/T693-2000）及《一般工业固体废物贮存和填埋污染控制标准》（GB18599-2020）中第Ⅰ类一般工业固体废物标准要求，用作油田垫井场和通井路。</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废弃</w:t>
      </w:r>
      <w:r>
        <w:rPr>
          <w:rFonts w:hint="default" w:ascii="Times New Roman" w:hAnsi="Times New Roman" w:eastAsia="宋体" w:cs="Times New Roman"/>
          <w:color w:val="auto"/>
          <w:kern w:val="0"/>
          <w:sz w:val="28"/>
          <w:szCs w:val="28"/>
          <w:highlight w:val="none"/>
          <w:lang w:val="en-US" w:eastAsia="zh-CN" w:bidi="ar"/>
        </w:rPr>
        <w:t>过硫酸钾</w:t>
      </w:r>
      <w:r>
        <w:rPr>
          <w:rFonts w:hint="eastAsia" w:ascii="Times New Roman" w:hAnsi="Times New Roman" w:eastAsia="宋体" w:cs="Times New Roman"/>
          <w:color w:val="auto"/>
          <w:kern w:val="0"/>
          <w:sz w:val="28"/>
          <w:szCs w:val="28"/>
          <w:highlight w:val="none"/>
          <w:lang w:val="en-US" w:eastAsia="zh-CN" w:bidi="ar"/>
        </w:rPr>
        <w:t>和氢氧化钾</w:t>
      </w:r>
      <w:r>
        <w:rPr>
          <w:rFonts w:hint="default" w:ascii="Times New Roman" w:hAnsi="Times New Roman" w:eastAsia="宋体" w:cs="Times New Roman"/>
          <w:color w:val="auto"/>
          <w:kern w:val="0"/>
          <w:sz w:val="28"/>
          <w:szCs w:val="28"/>
          <w:highlight w:val="none"/>
          <w:lang w:val="en-US" w:eastAsia="zh-CN" w:bidi="ar"/>
        </w:rPr>
        <w:t>包装袋</w:t>
      </w:r>
      <w:r>
        <w:rPr>
          <w:rFonts w:hint="eastAsia" w:ascii="Times New Roman" w:hAnsi="Times New Roman" w:eastAsia="宋体" w:cs="Times New Roman"/>
          <w:color w:val="auto"/>
          <w:kern w:val="0"/>
          <w:sz w:val="28"/>
          <w:szCs w:val="28"/>
          <w:highlight w:val="none"/>
          <w:lang w:val="en-US" w:eastAsia="zh-CN" w:bidi="ar"/>
        </w:rPr>
        <w:t>及废弃含油防渗布</w:t>
      </w:r>
      <w:r>
        <w:rPr>
          <w:rFonts w:hint="default" w:ascii="Times New Roman" w:hAnsi="Times New Roman" w:eastAsia="宋体" w:cs="Times New Roman"/>
          <w:color w:val="auto"/>
          <w:kern w:val="0"/>
          <w:sz w:val="28"/>
          <w:szCs w:val="28"/>
          <w:highlight w:val="none"/>
          <w:lang w:val="en-US" w:eastAsia="zh-CN" w:bidi="ar"/>
        </w:rPr>
        <w:t>委托有资质的单位处理</w:t>
      </w:r>
      <w:r>
        <w:rPr>
          <w:rFonts w:hint="eastAsia" w:ascii="Times New Roman" w:hAnsi="Times New Roman" w:eastAsia="宋体" w:cs="Times New Roman"/>
          <w:color w:val="auto"/>
          <w:kern w:val="0"/>
          <w:sz w:val="28"/>
          <w:szCs w:val="28"/>
          <w:highlight w:val="none"/>
          <w:lang w:val="en-US" w:eastAsia="zh-CN" w:bidi="ar"/>
        </w:rPr>
        <w:t>，废弃危险包装袋产生量为0.131t，废弃含油防渗布产生量为0.05t。</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一般</w:t>
      </w:r>
      <w:r>
        <w:rPr>
          <w:rFonts w:hint="default" w:ascii="Times New Roman" w:hAnsi="Times New Roman" w:eastAsia="宋体" w:cs="Times New Roman"/>
          <w:color w:val="auto"/>
          <w:kern w:val="0"/>
          <w:sz w:val="28"/>
          <w:szCs w:val="28"/>
          <w:highlight w:val="none"/>
          <w:lang w:val="en-US" w:eastAsia="zh-CN" w:bidi="ar"/>
        </w:rPr>
        <w:t>废弃防渗布及一般固废包装袋统一收集后送大庆市岗源环保科技有限责任公司工业废弃物处置中心处置。</w:t>
      </w:r>
      <w:r>
        <w:rPr>
          <w:rFonts w:hint="eastAsia" w:ascii="Times New Roman" w:hAnsi="Times New Roman" w:eastAsia="宋体" w:cs="Times New Roman"/>
          <w:color w:val="auto"/>
          <w:kern w:val="0"/>
          <w:sz w:val="28"/>
          <w:szCs w:val="28"/>
          <w:highlight w:val="none"/>
          <w:lang w:val="en-US" w:eastAsia="zh-CN" w:bidi="ar"/>
        </w:rPr>
        <w:t>一般</w:t>
      </w:r>
      <w:r>
        <w:rPr>
          <w:rFonts w:hint="default" w:ascii="Times New Roman" w:hAnsi="Times New Roman" w:eastAsia="宋体" w:cs="Times New Roman"/>
          <w:color w:val="auto"/>
          <w:kern w:val="0"/>
          <w:sz w:val="28"/>
          <w:szCs w:val="28"/>
          <w:highlight w:val="none"/>
          <w:lang w:val="en-US" w:eastAsia="zh-CN" w:bidi="ar"/>
        </w:rPr>
        <w:t>废弃防渗布</w:t>
      </w:r>
      <w:r>
        <w:rPr>
          <w:rFonts w:hint="eastAsia" w:ascii="Times New Roman" w:hAnsi="Times New Roman" w:eastAsia="宋体" w:cs="Times New Roman"/>
          <w:color w:val="auto"/>
          <w:kern w:val="0"/>
          <w:sz w:val="28"/>
          <w:szCs w:val="28"/>
          <w:highlight w:val="none"/>
          <w:lang w:val="en-US" w:eastAsia="zh-CN" w:bidi="ar"/>
        </w:rPr>
        <w:t>产生量为0.025t，</w:t>
      </w:r>
      <w:r>
        <w:rPr>
          <w:rFonts w:hint="default" w:ascii="Times New Roman" w:hAnsi="Times New Roman" w:eastAsia="宋体" w:cs="Times New Roman"/>
          <w:color w:val="auto"/>
          <w:kern w:val="0"/>
          <w:sz w:val="28"/>
          <w:szCs w:val="28"/>
          <w:highlight w:val="none"/>
          <w:lang w:val="en-US" w:eastAsia="zh-CN" w:bidi="ar"/>
        </w:rPr>
        <w:t>一般固废包装袋</w:t>
      </w:r>
      <w:r>
        <w:rPr>
          <w:rFonts w:hint="eastAsia" w:ascii="Times New Roman" w:hAnsi="Times New Roman" w:eastAsia="宋体" w:cs="Times New Roman"/>
          <w:color w:val="auto"/>
          <w:kern w:val="0"/>
          <w:sz w:val="28"/>
          <w:szCs w:val="28"/>
          <w:highlight w:val="none"/>
          <w:lang w:val="en-US" w:eastAsia="zh-CN" w:bidi="ar"/>
        </w:rPr>
        <w:t>产生量为0.45t。</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生活垃圾统一收集</w:t>
      </w:r>
      <w:r>
        <w:rPr>
          <w:rFonts w:hint="eastAsia" w:ascii="Times New Roman" w:hAnsi="Times New Roman" w:eastAsia="宋体" w:cs="Times New Roman"/>
          <w:color w:val="auto"/>
          <w:kern w:val="0"/>
          <w:sz w:val="28"/>
          <w:szCs w:val="28"/>
          <w:highlight w:val="none"/>
          <w:lang w:val="en-US" w:eastAsia="zh-CN" w:bidi="ar"/>
        </w:rPr>
        <w:t>后，委托大庆三联实业有限公司拉运处置。</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本项目产生的固体废物均不外排，对周围环境影响可被接受。</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（7）环境风险</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的主要环境风险是柴油储罐泄漏和火灾爆炸，对区域内的环境空气和生态环境等有潜在危害性，本项目每座井场设置柴油储罐2座，防止一座储罐泄露，另一座储罐可做应急处置容器。储罐为撬装式结构，容积为40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/座，占地面积40m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，柴油储罐区外设置围堰，若发生储罐柴油泄露，泄露的柴油可截留在围堰内，及时收集并转移。储罐区进行重点防渗处置，防渗</w:t>
      </w:r>
      <w:r>
        <w:rPr>
          <w:rFonts w:hint="eastAsia" w:ascii="Times New Roman" w:hAnsi="Times New Roman" w:eastAsia="宋体" w:cs="Times New Roman"/>
          <w:color w:val="auto"/>
          <w:kern w:val="0"/>
          <w:sz w:val="28"/>
          <w:szCs w:val="28"/>
          <w:highlight w:val="none"/>
          <w:lang w:val="en-US" w:eastAsia="zh-CN" w:bidi="ar"/>
        </w:rPr>
        <w:t>系数</w:t>
      </w:r>
      <w:r>
        <w:rPr>
          <w:rFonts w:hint="default" w:ascii="Times New Roman" w:hAnsi="Times New Roman" w:eastAsia="宋体" w:cs="Times New Roman"/>
          <w:color w:val="auto"/>
          <w:kern w:val="0"/>
          <w:sz w:val="28"/>
          <w:szCs w:val="28"/>
          <w:highlight w:val="none"/>
          <w:lang w:val="en-US" w:eastAsia="zh-CN" w:bidi="ar"/>
        </w:rPr>
        <w:t>K≤1.0×10</w:t>
      </w:r>
      <w:r>
        <w:rPr>
          <w:rFonts w:hint="default" w:ascii="Times New Roman" w:hAnsi="Times New Roman" w:eastAsia="宋体" w:cs="Times New Roman"/>
          <w:color w:val="auto"/>
          <w:kern w:val="0"/>
          <w:sz w:val="28"/>
          <w:szCs w:val="28"/>
          <w:highlight w:val="none"/>
          <w:vertAlign w:val="superscript"/>
          <w:lang w:val="en-US" w:eastAsia="zh-CN" w:bidi="ar"/>
        </w:rPr>
        <w:t>-</w:t>
      </w:r>
      <w:r>
        <w:rPr>
          <w:rFonts w:hint="eastAsia" w:ascii="Times New Roman" w:hAnsi="Times New Roman" w:eastAsia="宋体" w:cs="Times New Roman"/>
          <w:color w:val="auto"/>
          <w:kern w:val="0"/>
          <w:sz w:val="28"/>
          <w:szCs w:val="28"/>
          <w:highlight w:val="none"/>
          <w:vertAlign w:val="superscript"/>
          <w:lang w:val="en-US" w:eastAsia="zh-CN" w:bidi="ar"/>
        </w:rPr>
        <w:t>10</w:t>
      </w:r>
      <w:r>
        <w:rPr>
          <w:rFonts w:hint="default" w:ascii="Times New Roman" w:hAnsi="Times New Roman" w:eastAsia="宋体" w:cs="Times New Roman"/>
          <w:color w:val="auto"/>
          <w:kern w:val="0"/>
          <w:sz w:val="28"/>
          <w:szCs w:val="28"/>
          <w:highlight w:val="none"/>
          <w:lang w:val="en-US" w:eastAsia="zh-CN" w:bidi="ar"/>
        </w:rPr>
        <w:t>cm/s黏土防渗层。</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天然气井井喷及井口溢流对周围环境的影响，在钻井过程中，井口安装井控设备，进行试压及防喷演习。同时，大庆油田有限责任公司采气分公司已制定《突发事件总体应急预案》及《突发环境事件专项应急预案》，落实套损、井漏、防火、防爆、防油气泄漏等风险防范措施；项目钻井期间加强井控管理，加强管理和生产组织协调，避免环境风险事件发生。</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6" w:name="_Toc11937"/>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1.6环境影响评价的主要结论</w:t>
      </w:r>
      <w:bookmarkEnd w:id="6"/>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肇深19</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斜1等3口井钻井工程项目属于《产业结构调整指导目录（2019年本）》中鼓励类</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七、石油、天然气</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中</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1、常规石油、天然气勘探与开采</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，建设符合国家的产业政策。符合《关于进一步加强石油天然气行业环境影响评价管理的通知》（环办环评函〔2019〕910 号）、《大庆市水土保持规划（2015~2030）》等相关规划及相关政策要求，符合</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三线一单</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相关要求。在按照</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三同时</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制度认真落实工程设计、本报告提出的措施并强化环境管理后，各项污染防治、生态保护及环境风险防范及应急措施基本可行，项目建设对环境的污染较小，</w:t>
      </w:r>
      <w:r>
        <w:rPr>
          <w:rFonts w:hint="eastAsia" w:ascii="Times New Roman" w:hAnsi="Times New Roman" w:eastAsia="宋体" w:cs="Times New Roman"/>
          <w:color w:val="auto"/>
          <w:kern w:val="0"/>
          <w:sz w:val="28"/>
          <w:szCs w:val="28"/>
          <w:highlight w:val="none"/>
          <w:lang w:val="en-US" w:eastAsia="zh-CN" w:bidi="ar"/>
        </w:rPr>
        <w:t>采取生态恢复、防止水土流失及防沙治沙等措施，</w:t>
      </w:r>
      <w:r>
        <w:rPr>
          <w:rFonts w:hint="default" w:ascii="Times New Roman" w:hAnsi="Times New Roman" w:eastAsia="宋体" w:cs="Times New Roman"/>
          <w:color w:val="auto"/>
          <w:kern w:val="0"/>
          <w:sz w:val="28"/>
          <w:szCs w:val="28"/>
          <w:highlight w:val="none"/>
          <w:lang w:val="en-US" w:eastAsia="zh-CN" w:bidi="ar"/>
        </w:rPr>
        <w:t>生态环境影响得到有效控制、恢复、补偿，可以实现生态系统结构功能不降低的生态环境保护目标；环境风险可降低到当地环境能够容许的程度。从生态环境保护要求的角度，项目建设可行。</w:t>
      </w:r>
    </w:p>
    <w:p>
      <w:pPr>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br w:type="page"/>
      </w:r>
    </w:p>
    <w:p>
      <w:pPr>
        <w:pStyle w:val="2"/>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本项目环评进行的过程中建设单位开展了公众参与工作，无单位和个人提出意见，公众参与具体内见《肇深19</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斜1等3口井钻井工程项目环境影响评价公众参与说明》。</w:t>
      </w:r>
    </w:p>
    <w:p>
      <w:pPr>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br w:type="page"/>
      </w:r>
    </w:p>
    <w:p>
      <w:pPr>
        <w:pStyle w:val="5"/>
        <w:pageBreakBefore w:val="0"/>
        <w:numPr>
          <w:ilvl w:val="0"/>
          <w:numId w:val="0"/>
        </w:numPr>
        <w:bidi w:val="0"/>
        <w:spacing w:before="120" w:after="120" w:line="360" w:lineRule="auto"/>
        <w:ind w:left="0" w:firstLine="0" w:firstLineChars="0"/>
        <w:jc w:val="center"/>
        <w:rPr>
          <w:rFonts w:hint="default" w:ascii="Times New Roman" w:hAnsi="Times New Roman" w:eastAsia="宋体" w:cs="Times New Roman"/>
          <w:b/>
          <w:bCs/>
          <w:caps w:val="0"/>
          <w:smallCaps w:val="0"/>
          <w:color w:val="auto"/>
          <w:spacing w:val="0"/>
          <w:w w:val="100"/>
          <w:sz w:val="32"/>
          <w:highlight w:val="none"/>
          <w:lang w:val="en-US" w:eastAsia="zh-CN"/>
        </w:rPr>
      </w:pPr>
      <w:bookmarkStart w:id="7" w:name="_Toc14371"/>
      <w:r>
        <w:rPr>
          <w:rFonts w:hint="default" w:ascii="Times New Roman" w:hAnsi="Times New Roman" w:eastAsia="宋体" w:cs="Times New Roman"/>
          <w:b/>
          <w:bCs/>
          <w:caps w:val="0"/>
          <w:smallCaps w:val="0"/>
          <w:color w:val="auto"/>
          <w:spacing w:val="0"/>
          <w:w w:val="100"/>
          <w:sz w:val="32"/>
          <w:highlight w:val="none"/>
          <w:lang w:val="en-US" w:eastAsia="zh-CN"/>
        </w:rPr>
        <w:t>第二章</w:t>
      </w:r>
      <w:r>
        <w:rPr>
          <w:rFonts w:hint="eastAsia" w:ascii="Times New Roman" w:hAnsi="Times New Roman" w:eastAsia="宋体" w:cs="Times New Roman"/>
          <w:b/>
          <w:bCs/>
          <w:caps w:val="0"/>
          <w:smallCaps w:val="0"/>
          <w:color w:val="auto"/>
          <w:spacing w:val="0"/>
          <w:w w:val="100"/>
          <w:sz w:val="32"/>
          <w:highlight w:val="none"/>
          <w:lang w:val="en-US" w:eastAsia="zh-CN"/>
        </w:rPr>
        <w:t xml:space="preserve">   </w:t>
      </w:r>
      <w:r>
        <w:rPr>
          <w:rFonts w:hint="default" w:ascii="Times New Roman" w:hAnsi="Times New Roman" w:eastAsia="宋体" w:cs="Times New Roman"/>
          <w:b/>
          <w:bCs/>
          <w:caps w:val="0"/>
          <w:smallCaps w:val="0"/>
          <w:color w:val="auto"/>
          <w:spacing w:val="0"/>
          <w:w w:val="100"/>
          <w:sz w:val="32"/>
          <w:highlight w:val="none"/>
          <w:lang w:val="en-US" w:eastAsia="zh-CN"/>
        </w:rPr>
        <w:t>总则</w:t>
      </w:r>
      <w:bookmarkEnd w:id="7"/>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8" w:name="_Toc9149"/>
      <w:bookmarkStart w:id="9" w:name="_Toc49174601"/>
      <w:bookmarkStart w:id="10" w:name="_Toc9512"/>
      <w:bookmarkStart w:id="11" w:name="_Toc23099"/>
      <w:bookmarkStart w:id="12" w:name="_Toc49174710"/>
      <w:bookmarkStart w:id="13" w:name="_Toc49174391"/>
      <w:bookmarkStart w:id="14" w:name="_Toc49174772"/>
      <w:bookmarkStart w:id="15" w:name="_Toc32316"/>
      <w:bookmarkStart w:id="16" w:name="_Toc6239"/>
      <w:bookmarkStart w:id="17" w:name="_Toc26182"/>
      <w:bookmarkStart w:id="18" w:name="_Toc3832"/>
      <w:bookmarkStart w:id="19" w:name="_Toc49174947"/>
      <w:bookmarkStart w:id="20" w:name="_Toc77923714"/>
      <w:bookmarkStart w:id="21" w:name="_Toc78774981"/>
      <w:bookmarkStart w:id="22" w:name="_Toc89160754"/>
      <w:bookmarkStart w:id="23" w:name="_Toc87277992"/>
      <w:bookmarkStart w:id="24" w:name="_Toc92810066"/>
      <w:bookmarkStart w:id="25" w:name="_Toc92780866"/>
      <w:bookmarkStart w:id="26" w:name="_Toc86985559"/>
      <w:bookmarkStart w:id="27" w:name="_Toc104003461"/>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2.1编制依据</w:t>
      </w:r>
      <w:bookmarkEnd w:id="8"/>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bookmarkEnd w:id="24"/>
    <w:bookmarkEnd w:id="25"/>
    <w:bookmarkEnd w:id="26"/>
    <w:bookmarkEnd w:id="27"/>
    <w:p>
      <w:pPr>
        <w:pageBreakBefore w:val="0"/>
        <w:widowControl w:val="0"/>
        <w:bidi w:val="0"/>
        <w:adjustRightInd w:val="0"/>
        <w:snapToGrid w:val="0"/>
        <w:spacing w:before="31" w:beforeLines="10" w:after="31" w:afterLines="10" w:line="360" w:lineRule="auto"/>
        <w:ind w:firstLine="0" w:firstLineChars="0"/>
        <w:jc w:val="left"/>
        <w:outlineLvl w:val="2"/>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pPr>
      <w:bookmarkStart w:id="28" w:name="_Toc16333"/>
      <w:bookmarkStart w:id="29" w:name="_Toc2356"/>
      <w:bookmarkStart w:id="30" w:name="_Toc24450"/>
      <w:bookmarkStart w:id="31" w:name="_Toc49174948"/>
      <w:bookmarkStart w:id="32" w:name="_Toc49174773"/>
      <w:r>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t>2.1.1环境保护相关法律、法规及规章</w:t>
      </w:r>
      <w:bookmarkEnd w:id="28"/>
      <w:bookmarkEnd w:id="29"/>
      <w:bookmarkEnd w:id="30"/>
      <w:bookmarkEnd w:id="31"/>
      <w:bookmarkEnd w:id="32"/>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（1）《中华人民共和国环境保护法》（2015年1月1日修订施行）；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（2）《中华人民共和国环境影响评价法》（2018年12月29日修正施行）；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（3）《中华人民共和国大气污染防治法》（2018年10月26日修正施行）；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（4）《中华人民共和国水污染防治法》（2018年1月1日修正施行）；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（5）《中华人民共和国土壤污染防治法》（2019年1月1日起施行）；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（6）《中华人民共和国噪声污染防治法》（2022年6月5日施行）；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（7）《中华人民共和国固体废物污染环境防治法》（2020年9月1日起施行）；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（8）《中华人民共和国草原法》（2021年4月29日修订施行）；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（9）《中华人民共和国水土保持法》（2011年3月1日修订施行）</w:t>
      </w:r>
      <w:r>
        <w:rPr>
          <w:rFonts w:hint="eastAsia" w:ascii="Times New Roman" w:hAnsi="Times New Roman" w:eastAsia="宋体" w:cs="Times New Roman"/>
          <w:color w:val="auto"/>
          <w:kern w:val="0"/>
          <w:sz w:val="28"/>
          <w:szCs w:val="28"/>
          <w:highlight w:val="none"/>
          <w:lang w:val="en-US" w:eastAsia="zh-CN" w:bidi="ar"/>
        </w:rPr>
        <w:t>；</w:t>
      </w:r>
    </w:p>
    <w:p>
      <w:pPr>
        <w:pStyle w:val="2"/>
        <w:rPr>
          <w:rFonts w:hint="default"/>
          <w:color w:val="auto"/>
          <w:highlight w:val="none"/>
          <w:lang w:val="en-US" w:eastAsia="zh-CN"/>
        </w:rPr>
      </w:pPr>
      <w:r>
        <w:rPr>
          <w:rFonts w:hint="eastAsia" w:ascii="Times New Roman" w:hAnsi="Times New Roman" w:eastAsia="宋体" w:cs="Times New Roman"/>
          <w:color w:val="auto"/>
          <w:kern w:val="0"/>
          <w:sz w:val="28"/>
          <w:szCs w:val="28"/>
          <w:highlight w:val="none"/>
          <w:lang w:val="en-US" w:eastAsia="zh-CN" w:bidi="ar"/>
        </w:rPr>
        <w:t>（10）《中华人民共和国黑土地保护法》（2022年8月1号施行）。</w:t>
      </w:r>
    </w:p>
    <w:p>
      <w:pPr>
        <w:pageBreakBefore w:val="0"/>
        <w:widowControl w:val="0"/>
        <w:bidi w:val="0"/>
        <w:adjustRightInd w:val="0"/>
        <w:snapToGrid w:val="0"/>
        <w:spacing w:before="31" w:beforeLines="10" w:after="31" w:afterLines="10" w:line="360" w:lineRule="auto"/>
        <w:ind w:firstLine="0" w:firstLineChars="0"/>
        <w:jc w:val="left"/>
        <w:outlineLvl w:val="2"/>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pPr>
      <w:bookmarkStart w:id="33" w:name="_Toc24891"/>
      <w:bookmarkStart w:id="34" w:name="_Toc29754"/>
      <w:bookmarkStart w:id="35" w:name="_Toc20144"/>
      <w:r>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t>2.1.2环境保护相关法规</w:t>
      </w:r>
      <w:bookmarkEnd w:id="33"/>
      <w:bookmarkEnd w:id="34"/>
      <w:bookmarkEnd w:id="35"/>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（1）《建设项目环境影响评价分类管理名录》（2021年版）；</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（2）《产业结构调整指导目录（2019年本）》（2021年12月30日）；</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（3）《黑龙江省草原条例》（2018年6月28日修订施行）；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（4）《基本农田保护条例》（2011年修正）；</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（5）《黑龙江省基本农田保护条例》（2011年修正）；</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（6）《土地复垦条例》（中华人民共和国国务院令第592号，2011年3月5施行）；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（7）《黑龙江省石油天然气勘探开发环境保护条例》（2018年4月26日）修订施行；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（8）《黑龙江省大气污染防治条例》（2018修订）；</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（9）《黑龙江省防沙治沙条例》（2018年6月28日修订施行）；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（10）《地下水管理条例》（国令第748号，2021年12月1施行）；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（11）《关于强化管控落实最严格耕地保护制度的通知》（国土资发〔2014〕18号，2014年2月13日施行）；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（12）《黑龙江省十四五黑土地保护规划》（黑政办规〔2021〕48号，2021年12月31日施行）；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（13）《黑龙江省耕地保护条例》（2022年1月1日修订施行）；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（14）《黑龙江省</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十四五</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生态环境保护规划》（黑政规〔2021〕18号，2021年12月29日施行）；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（15）《大气污染防治行动计划》（国发〔2013〕37号，2013年9月10日施行）；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（16）《水污染防治行动计划》（国发〔2015〕17号，2015年4月2日施行）；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（17）《土壤污染防治行动计划》（国发〔2016〕31号，2016年5月28日施行）；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（18）《关于进一步加强石油天然气行业环境影响评价管理的通知》（环办环评函〔2019〕910号，2019年12月13日施行）；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（19）《关于加强工业危险废物转移管理的通知》（环办[2006]34号，2006年3月17日施行）；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（20）《黑龙江省水污染防治工作方案》（黑政发〔2016〕3号，2016年1月10日施行）；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（21）《黑龙江省土壤污染防治实施方案》（黑政发〔2016〕46号，2016年12月30日施行）；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（22）《黑龙江省人民政府关于印发黑龙江省主体功能区规划的通知》（黑政发〔2012〕29号，2012年4月25日施行）；</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（23）《黑龙江省人民政府关于实施“三线一单”生态环境分区管控的意见》（黑政发〔2020〕14号）；</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（24）《黑龙江省生态功能区规划》（黑政函〔2006〕75号）；</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（25）《大庆市加强水污染防治工作实施方案》（庆政办发〔2015〕55号，2015年12月31日）；</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（26）《大庆市土壤污染防治实施方案》（庆政规〔2017〕2号，2017年3月31日）；</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（27）《大庆市人民政府关于印发大庆市声环境功能区划分、大庆市环境空气质量功能区划分、大庆市地表水环境功能区划分的通知》（庆政发〔2019〕11号，2019年10月17日）；</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（28）《大庆市人民政府关于印发大庆市土壤污染防治实施方案的通知》（庆政规〔2017〕2号）；</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（29）《大庆市人民政府办公室关于印发大庆市加强水污染防治工作实施方案的通知》（庆政办发〔2015〕55号）；</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（30）《大庆市人民政府关于实施“三线一单”生态环境分区管控的意见》庆政发〔2021〕3号</w:t>
      </w:r>
      <w:r>
        <w:rPr>
          <w:rFonts w:hint="eastAsia" w:ascii="Times New Roman" w:hAnsi="Times New Roman" w:eastAsia="宋体" w:cs="Times New Roman"/>
          <w:color w:val="auto"/>
          <w:kern w:val="0"/>
          <w:sz w:val="28"/>
          <w:szCs w:val="28"/>
          <w:highlight w:val="none"/>
          <w:lang w:val="en-US" w:eastAsia="zh-CN" w:bidi="ar"/>
        </w:rPr>
        <w:t>；</w:t>
      </w:r>
    </w:p>
    <w:p>
      <w:pPr>
        <w:pStyle w:val="2"/>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（31）《黑龙江省黑土地保护利用条例》（2022年3月1日施行）；</w:t>
      </w:r>
    </w:p>
    <w:p>
      <w:pPr>
        <w:pStyle w:val="3"/>
        <w:rPr>
          <w:rFonts w:hint="default"/>
          <w:color w:val="auto"/>
          <w:highlight w:val="none"/>
          <w:lang w:val="en-US" w:eastAsia="zh-CN"/>
        </w:rPr>
      </w:pPr>
      <w:r>
        <w:rPr>
          <w:rFonts w:hint="eastAsia" w:ascii="Times New Roman" w:hAnsi="Times New Roman" w:eastAsia="宋体" w:cs="Times New Roman"/>
          <w:color w:val="auto"/>
          <w:kern w:val="0"/>
          <w:sz w:val="28"/>
          <w:szCs w:val="28"/>
          <w:highlight w:val="none"/>
          <w:lang w:val="en-US" w:eastAsia="zh-CN" w:bidi="ar"/>
        </w:rPr>
        <w:t>（32）《大庆市“十四五”黑土地保护规划》（2022年5月9日）。</w:t>
      </w:r>
    </w:p>
    <w:p>
      <w:pPr>
        <w:pageBreakBefore w:val="0"/>
        <w:widowControl w:val="0"/>
        <w:bidi w:val="0"/>
        <w:adjustRightInd w:val="0"/>
        <w:snapToGrid w:val="0"/>
        <w:spacing w:before="31" w:beforeLines="10" w:after="31" w:afterLines="10" w:line="360" w:lineRule="auto"/>
        <w:ind w:firstLine="0" w:firstLineChars="0"/>
        <w:jc w:val="left"/>
        <w:outlineLvl w:val="2"/>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pPr>
      <w:bookmarkStart w:id="36" w:name="_Toc433"/>
      <w:bookmarkStart w:id="37" w:name="_Toc7178"/>
      <w:bookmarkStart w:id="38" w:name="_Toc32532"/>
      <w:bookmarkStart w:id="39" w:name="_Toc49174774"/>
      <w:bookmarkStart w:id="40" w:name="_Toc49174949"/>
      <w:r>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t>2.1.3技术依据</w:t>
      </w:r>
      <w:bookmarkEnd w:id="36"/>
      <w:bookmarkEnd w:id="37"/>
      <w:bookmarkEnd w:id="38"/>
      <w:bookmarkEnd w:id="39"/>
      <w:bookmarkEnd w:id="40"/>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（1）《建设项目环境影响评价技术导则 总纲》（HJ2.1-2016）；</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（2）《环境影响评价技术导则 大气环境》（HJ2.2-2018）；</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（3）《环境影响评价技术导则 地表水环境》（HJ2.3-2018）；</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（4）《环境影响评价技术导则 地下水环境》（HJ610-2016）；</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（5）《环境影响评价技术导则 声环境》（HJ2.4-2021）；</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（6）《环境影响评价技术导则 生态影响》（HJ19-2022）；</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（7）《环境影响评价技术导则 陆地石油天然气开发建设项目》（HJ/T349-2007）；</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（8）《建设项目环境风险评价技术导则》（HJ169-2018）；</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（9）《环境影响评价技术导则 土壤环境》（HJ964-2018）；</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（10）《挥发性有机物（VOCs）污染防治技术政策》（环保部公告2013年第31号）；</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（11）《建设项目危险废物环境影响评价指南》（环保部公告2017年第43号）；</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（12）《危险废物收集贮存运输技术规范》（HJ2025-2012）；</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（13）《危险废物环境管理指南 陆上石油天然气开采》（生态环境部公告2021年第74号）；</w:t>
      </w:r>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（14）《固定污染源排污许可分类管理名录（2019年）》（生态环境部令第11号）；</w:t>
      </w:r>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（15）《排污许可证申请与核发技术规范 总则》（HJ953-2018）；</w:t>
      </w:r>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（16）《排污单位自行监测技术指南 总则》（HJ 819-2017）；</w:t>
      </w:r>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（17）《排污单位自行监测技术指南 陆上石油天然气开采工业》（HJ1248-2022）；</w:t>
      </w:r>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18</w:t>
      </w:r>
      <w:r>
        <w:rPr>
          <w:rFonts w:hint="default" w:ascii="Times New Roman" w:hAnsi="Times New Roman" w:eastAsia="宋体" w:cs="Times New Roman"/>
          <w:color w:val="auto"/>
          <w:kern w:val="0"/>
          <w:sz w:val="28"/>
          <w:szCs w:val="28"/>
          <w:highlight w:val="none"/>
          <w:lang w:val="en-US" w:eastAsia="zh-CN" w:bidi="ar"/>
        </w:rPr>
        <w:t>）《石油天然气开采业污染防治技术政策》（环保部公告2012年第18号，2012年3月7日施行）；</w:t>
      </w:r>
    </w:p>
    <w:p>
      <w:pPr>
        <w:keepNext w:val="0"/>
        <w:keepLines w:val="0"/>
        <w:widowControl/>
        <w:suppressLineNumbers w:val="0"/>
        <w:spacing w:line="360" w:lineRule="auto"/>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19</w:t>
      </w:r>
      <w:r>
        <w:rPr>
          <w:rFonts w:hint="default" w:ascii="Times New Roman" w:hAnsi="Times New Roman" w:eastAsia="宋体" w:cs="Times New Roman"/>
          <w:color w:val="auto"/>
          <w:kern w:val="0"/>
          <w:sz w:val="28"/>
          <w:szCs w:val="28"/>
          <w:highlight w:val="none"/>
          <w:lang w:val="en-US" w:eastAsia="zh-CN" w:bidi="ar"/>
        </w:rPr>
        <w:t>）《危险废物污染防治技术政策》（环发[2001]199号，2001年12月17日施行）</w:t>
      </w:r>
      <w:r>
        <w:rPr>
          <w:rFonts w:hint="eastAsia" w:ascii="Times New Roman" w:hAnsi="Times New Roman" w:eastAsia="宋体" w:cs="Times New Roman"/>
          <w:color w:val="auto"/>
          <w:kern w:val="0"/>
          <w:sz w:val="28"/>
          <w:szCs w:val="28"/>
          <w:highlight w:val="none"/>
          <w:lang w:val="en-US" w:eastAsia="zh-CN" w:bidi="ar"/>
        </w:rPr>
        <w:t>；</w:t>
      </w:r>
    </w:p>
    <w:p>
      <w:pPr>
        <w:pStyle w:val="2"/>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（20）《国家危险废物名录（2021年版》；</w:t>
      </w:r>
    </w:p>
    <w:p>
      <w:pPr>
        <w:pStyle w:val="3"/>
        <w:rPr>
          <w:rFonts w:hint="default"/>
          <w:color w:val="auto"/>
          <w:highlight w:val="none"/>
          <w:lang w:val="en-US" w:eastAsia="zh-CN"/>
        </w:rPr>
      </w:pPr>
      <w:r>
        <w:rPr>
          <w:rFonts w:hint="eastAsia" w:ascii="Times New Roman" w:hAnsi="Times New Roman" w:eastAsia="宋体" w:cs="Times New Roman"/>
          <w:color w:val="auto"/>
          <w:kern w:val="0"/>
          <w:sz w:val="28"/>
          <w:szCs w:val="28"/>
          <w:highlight w:val="none"/>
          <w:lang w:val="en-US" w:eastAsia="zh-CN" w:bidi="ar"/>
        </w:rPr>
        <w:t>（21）《固体废物分类目录》（环办便函〔2022〕221号，2022年6月24日）。</w:t>
      </w:r>
    </w:p>
    <w:p>
      <w:pPr>
        <w:pageBreakBefore w:val="0"/>
        <w:widowControl w:val="0"/>
        <w:bidi w:val="0"/>
        <w:adjustRightInd w:val="0"/>
        <w:snapToGrid w:val="0"/>
        <w:spacing w:before="31" w:beforeLines="10" w:after="31" w:afterLines="10" w:line="360" w:lineRule="auto"/>
        <w:ind w:firstLine="0" w:firstLineChars="0"/>
        <w:jc w:val="left"/>
        <w:outlineLvl w:val="2"/>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pPr>
      <w:bookmarkStart w:id="41" w:name="_Toc3920"/>
      <w:bookmarkStart w:id="42" w:name="_Toc23358"/>
      <w:bookmarkStart w:id="43" w:name="_Toc28514"/>
      <w:r>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t>2.1.4其它相关依据及支持性文件</w:t>
      </w:r>
      <w:bookmarkEnd w:id="41"/>
      <w:bookmarkEnd w:id="42"/>
      <w:bookmarkEnd w:id="43"/>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（1）《肇深19-斜1井钻井工程设计》（2022年</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月）；</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（2）《肇深19-斜1井钻井地质设计》</w:t>
      </w:r>
      <w:r>
        <w:rPr>
          <w:rFonts w:hint="default" w:ascii="Times New Roman" w:hAnsi="Times New Roman" w:eastAsia="宋体" w:cs="Times New Roman"/>
          <w:color w:val="auto"/>
          <w:kern w:val="0"/>
          <w:sz w:val="28"/>
          <w:szCs w:val="28"/>
          <w:highlight w:val="none"/>
          <w:lang w:val="en-US" w:eastAsia="zh-CN" w:bidi="ar"/>
        </w:rPr>
        <w:t>（2022年</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）《肇深19-平2井钻井工程设计》（2022年</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（4）《肇深19-</w:t>
      </w:r>
      <w:r>
        <w:rPr>
          <w:rFonts w:hint="default" w:ascii="Times New Roman" w:hAnsi="Times New Roman" w:eastAsia="宋体" w:cs="Times New Roman"/>
          <w:color w:val="auto"/>
          <w:kern w:val="0"/>
          <w:sz w:val="28"/>
          <w:szCs w:val="28"/>
          <w:highlight w:val="none"/>
          <w:lang w:val="en-US" w:eastAsia="zh-CN" w:bidi="ar"/>
        </w:rPr>
        <w:t>平2井</w:t>
      </w:r>
      <w:r>
        <w:rPr>
          <w:rFonts w:hint="eastAsia" w:ascii="Times New Roman" w:hAnsi="Times New Roman" w:eastAsia="宋体" w:cs="Times New Roman"/>
          <w:color w:val="auto"/>
          <w:kern w:val="0"/>
          <w:sz w:val="28"/>
          <w:szCs w:val="28"/>
          <w:highlight w:val="none"/>
          <w:lang w:val="en-US" w:eastAsia="zh-CN" w:bidi="ar"/>
        </w:rPr>
        <w:t>钻井地质设计》</w:t>
      </w:r>
      <w:r>
        <w:rPr>
          <w:rFonts w:hint="default" w:ascii="Times New Roman" w:hAnsi="Times New Roman" w:eastAsia="宋体" w:cs="Times New Roman"/>
          <w:color w:val="auto"/>
          <w:kern w:val="0"/>
          <w:sz w:val="28"/>
          <w:szCs w:val="28"/>
          <w:highlight w:val="none"/>
          <w:lang w:val="en-US" w:eastAsia="zh-CN" w:bidi="ar"/>
        </w:rPr>
        <w:t>（2022年</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）《肇深19-平</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井钻井工程设计》（2022年</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（6）《肇深19-</w:t>
      </w:r>
      <w:r>
        <w:rPr>
          <w:rFonts w:hint="default" w:ascii="Times New Roman" w:hAnsi="Times New Roman" w:eastAsia="宋体" w:cs="Times New Roman"/>
          <w:color w:val="auto"/>
          <w:kern w:val="0"/>
          <w:sz w:val="28"/>
          <w:szCs w:val="28"/>
          <w:highlight w:val="none"/>
          <w:lang w:val="en-US" w:eastAsia="zh-CN" w:bidi="ar"/>
        </w:rPr>
        <w:t>平</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井</w:t>
      </w:r>
      <w:r>
        <w:rPr>
          <w:rFonts w:hint="eastAsia" w:ascii="Times New Roman" w:hAnsi="Times New Roman" w:eastAsia="宋体" w:cs="Times New Roman"/>
          <w:color w:val="auto"/>
          <w:kern w:val="0"/>
          <w:sz w:val="28"/>
          <w:szCs w:val="28"/>
          <w:highlight w:val="none"/>
          <w:lang w:val="en-US" w:eastAsia="zh-CN" w:bidi="ar"/>
        </w:rPr>
        <w:t>钻井地质设计》</w:t>
      </w:r>
      <w:r>
        <w:rPr>
          <w:rFonts w:hint="default" w:ascii="Times New Roman" w:hAnsi="Times New Roman" w:eastAsia="宋体" w:cs="Times New Roman"/>
          <w:color w:val="auto"/>
          <w:kern w:val="0"/>
          <w:sz w:val="28"/>
          <w:szCs w:val="28"/>
          <w:highlight w:val="none"/>
          <w:lang w:val="en-US" w:eastAsia="zh-CN" w:bidi="ar"/>
        </w:rPr>
        <w:t>（2022年</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44" w:name="_Toc26833"/>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2.2评价目的及原则</w:t>
      </w:r>
      <w:bookmarkEnd w:id="44"/>
    </w:p>
    <w:p>
      <w:pPr>
        <w:pageBreakBefore w:val="0"/>
        <w:widowControl w:val="0"/>
        <w:bidi w:val="0"/>
        <w:adjustRightInd w:val="0"/>
        <w:snapToGrid w:val="0"/>
        <w:spacing w:before="31" w:beforeLines="10" w:after="31" w:afterLines="10" w:line="360" w:lineRule="auto"/>
        <w:ind w:firstLine="0" w:firstLineChars="0"/>
        <w:jc w:val="left"/>
        <w:outlineLvl w:val="2"/>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pPr>
      <w:bookmarkStart w:id="45" w:name="_Toc1969"/>
      <w:bookmarkStart w:id="46" w:name="_Toc12895"/>
      <w:bookmarkStart w:id="47" w:name="_Toc1283"/>
      <w:r>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t>2.2.1评价目的</w:t>
      </w:r>
      <w:bookmarkEnd w:id="45"/>
      <w:bookmarkEnd w:id="46"/>
      <w:bookmarkEnd w:id="47"/>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（1）对该建设项目的工程内容和工艺路线进行分析，明确污染源和可能产生的污染因素，明确污染物的排放源强；</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（2）对建设项目所在地的自然环境和环境质量进行现状调查，查清项目所在地区的环境质量现状，得到当地的环境质量现状的结论及存在的主要环境制约因素；</w:t>
      </w:r>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（3）分析、预测、评价建设项目对评价区域内大气环境、水环境、声环境、土壤环境、生态和环境风险可能造成的影响程度和范围；</w:t>
      </w:r>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（4）对建设项目拟采取的环保措施进行论证，提出污染防治措施及生态保护对策与建议；</w:t>
      </w:r>
    </w:p>
    <w:p>
      <w:pPr>
        <w:keepNext w:val="0"/>
        <w:keepLines w:val="0"/>
        <w:widowControl/>
        <w:suppressLineNumbers w:val="0"/>
        <w:spacing w:line="360" w:lineRule="auto"/>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5）从环境保护和环境风险角度论证建设项目的可行性，并从设计、生产、管理和环境污染防治等方面提出环境保护和减缓措施，最大限度降低建设项目对环境的不利影响，确保经济、社会和环境的可持续发展。</w:t>
      </w:r>
    </w:p>
    <w:p>
      <w:pPr>
        <w:pageBreakBefore w:val="0"/>
        <w:widowControl w:val="0"/>
        <w:bidi w:val="0"/>
        <w:adjustRightInd w:val="0"/>
        <w:snapToGrid w:val="0"/>
        <w:spacing w:before="31" w:beforeLines="10" w:after="31" w:afterLines="10" w:line="360" w:lineRule="auto"/>
        <w:ind w:firstLine="0" w:firstLineChars="0"/>
        <w:jc w:val="left"/>
        <w:outlineLvl w:val="2"/>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pPr>
      <w:bookmarkStart w:id="48" w:name="_Toc7515"/>
      <w:bookmarkStart w:id="49" w:name="_Toc8995"/>
      <w:bookmarkStart w:id="50" w:name="_Toc13685"/>
      <w:r>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t>2.2.2评价原则</w:t>
      </w:r>
      <w:bookmarkEnd w:id="48"/>
      <w:bookmarkEnd w:id="49"/>
      <w:bookmarkEnd w:id="50"/>
    </w:p>
    <w:p>
      <w:pPr>
        <w:keepNext w:val="0"/>
        <w:keepLines w:val="0"/>
        <w:widowControl/>
        <w:suppressLineNumbers w:val="0"/>
        <w:spacing w:line="360" w:lineRule="auto"/>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（1）依法评价</w:t>
      </w:r>
    </w:p>
    <w:p>
      <w:pPr>
        <w:keepNext w:val="0"/>
        <w:keepLines w:val="0"/>
        <w:widowControl/>
        <w:suppressLineNumbers w:val="0"/>
        <w:spacing w:line="360" w:lineRule="auto"/>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贯彻执行我国环境保护相关法律法规、标准、政策和规划等，优化项目建设，服务环境管理。</w:t>
      </w:r>
    </w:p>
    <w:p>
      <w:pPr>
        <w:keepNext w:val="0"/>
        <w:keepLines w:val="0"/>
        <w:widowControl/>
        <w:suppressLineNumbers w:val="0"/>
        <w:spacing w:line="360" w:lineRule="auto"/>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（2）科学评价</w:t>
      </w:r>
    </w:p>
    <w:p>
      <w:pPr>
        <w:keepNext w:val="0"/>
        <w:keepLines w:val="0"/>
        <w:widowControl/>
        <w:suppressLineNumbers w:val="0"/>
        <w:spacing w:line="360" w:lineRule="auto"/>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规范环境影响评价方法，科学分析项目建设对环境质量的影响。</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（3）突出重点</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根据建设项目的工程内容及其特点，明确与环境要素间的作用效应关系，充分利用符合时效的数据资料及成果，对建设项目主要环境影响予以重点分析和评价。</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51" w:name="_Toc10018"/>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2.3环境影响识别与评价因子筛选</w:t>
      </w:r>
      <w:bookmarkEnd w:id="51"/>
    </w:p>
    <w:p>
      <w:pPr>
        <w:pageBreakBefore w:val="0"/>
        <w:widowControl w:val="0"/>
        <w:bidi w:val="0"/>
        <w:adjustRightInd w:val="0"/>
        <w:snapToGrid w:val="0"/>
        <w:spacing w:before="31" w:beforeLines="10" w:after="31" w:afterLines="10" w:line="360" w:lineRule="auto"/>
        <w:ind w:firstLine="0" w:firstLineChars="0"/>
        <w:jc w:val="left"/>
        <w:outlineLvl w:val="2"/>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pPr>
      <w:bookmarkStart w:id="52" w:name="_Toc6147"/>
      <w:bookmarkStart w:id="53" w:name="_Toc21184"/>
      <w:bookmarkStart w:id="54" w:name="_Toc10002"/>
      <w:r>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t>2.3.1评价时段</w:t>
      </w:r>
      <w:bookmarkEnd w:id="52"/>
      <w:bookmarkEnd w:id="53"/>
      <w:bookmarkEnd w:id="54"/>
    </w:p>
    <w:p>
      <w:pPr>
        <w:keepNext w:val="0"/>
        <w:keepLines w:val="0"/>
        <w:widowControl/>
        <w:suppressLineNumbers w:val="0"/>
        <w:spacing w:line="360" w:lineRule="auto"/>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本项目为天然气开采前期钻井</w:t>
      </w:r>
      <w:r>
        <w:rPr>
          <w:rFonts w:hint="eastAsia" w:ascii="Times New Roman" w:hAnsi="Times New Roman" w:eastAsia="宋体" w:cs="Times New Roman"/>
          <w:color w:val="auto"/>
          <w:kern w:val="0"/>
          <w:sz w:val="28"/>
          <w:szCs w:val="28"/>
          <w:highlight w:val="none"/>
          <w:lang w:val="en-US" w:eastAsia="zh-CN" w:bidi="ar"/>
        </w:rPr>
        <w:t>工程</w:t>
      </w:r>
      <w:r>
        <w:rPr>
          <w:rFonts w:hint="default" w:ascii="Times New Roman" w:hAnsi="Times New Roman" w:eastAsia="宋体" w:cs="Times New Roman"/>
          <w:color w:val="auto"/>
          <w:kern w:val="0"/>
          <w:sz w:val="28"/>
          <w:szCs w:val="28"/>
          <w:highlight w:val="none"/>
          <w:lang w:val="en-US" w:eastAsia="zh-CN" w:bidi="ar"/>
        </w:rPr>
        <w:t>，项目仅存在施工期，不含运行期，所以本次评价时段为钻井施工期。</w:t>
      </w:r>
    </w:p>
    <w:p>
      <w:pPr>
        <w:pageBreakBefore w:val="0"/>
        <w:widowControl w:val="0"/>
        <w:bidi w:val="0"/>
        <w:adjustRightInd w:val="0"/>
        <w:snapToGrid w:val="0"/>
        <w:spacing w:before="31" w:beforeLines="10" w:after="31" w:afterLines="10" w:line="360" w:lineRule="auto"/>
        <w:ind w:firstLine="0" w:firstLineChars="0"/>
        <w:jc w:val="left"/>
        <w:outlineLvl w:val="2"/>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pPr>
      <w:bookmarkStart w:id="55" w:name="_Toc24873"/>
      <w:bookmarkStart w:id="56" w:name="_Toc10840"/>
      <w:bookmarkStart w:id="57" w:name="_Toc14753"/>
      <w:r>
        <w:rPr>
          <w:rFonts w:hint="default" w:ascii="Times New Roman" w:hAnsi="Times New Roman" w:eastAsia="宋体" w:cs="Times New Roman"/>
          <w:b/>
          <w:bCs/>
          <w:caps w:val="0"/>
          <w:smallCaps w:val="0"/>
          <w:color w:val="auto"/>
          <w:spacing w:val="0"/>
          <w:w w:val="100"/>
          <w:kern w:val="0"/>
          <w:sz w:val="28"/>
          <w:szCs w:val="24"/>
          <w:highlight w:val="none"/>
          <w:lang w:val="en-US" w:eastAsia="zh-CN" w:bidi="ar-SA"/>
        </w:rPr>
        <w:t>2.3.2环境影响识别</w:t>
      </w:r>
      <w:bookmarkEnd w:id="55"/>
      <w:bookmarkEnd w:id="56"/>
      <w:bookmarkEnd w:id="57"/>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建设对环境的影响为施工期影响。施工期的环境影响主要为钻井施工过程中施工活动对周围环境产生的不利影响。一种影响是对土壤扰动和自然植被等的破坏，这种影响是比较持久的，在施工完成后的一段时间内仍将存在；另一种是在施工过程中产生的污染物排放对环境造成的不利影响，这种影响是短暂的，待施工结束后将随之消失。</w:t>
      </w:r>
    </w:p>
    <w:p>
      <w:pPr>
        <w:keepNext w:val="0"/>
        <w:keepLines w:val="0"/>
        <w:widowControl/>
        <w:suppressLineNumbers w:val="0"/>
        <w:spacing w:line="360" w:lineRule="auto"/>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另外在钻井过程中可能发生井喷或井口溢流；若井喷失控，大量天然气溢出，容易发生爆炸、火灾及人员中毒事故；井口溢流，导致钻井液外泄，钻井液中化学成分污染周围土壤环境。根据项目建设实际情况，结合所在区域的自然环境特征，采用矩阵法对施工期间产生的影响进行识别，具体见表2.3-1。</w:t>
      </w:r>
    </w:p>
    <w:p>
      <w:pPr>
        <w:keepNext w:val="0"/>
        <w:keepLines w:val="0"/>
        <w:widowControl/>
        <w:suppressLineNumbers w:val="0"/>
        <w:spacing w:line="360" w:lineRule="auto"/>
        <w:jc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表2.3-1环境影响因素识别一览表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54"/>
        <w:gridCol w:w="750"/>
        <w:gridCol w:w="1444"/>
        <w:gridCol w:w="1217"/>
        <w:gridCol w:w="1621"/>
        <w:gridCol w:w="1023"/>
        <w:gridCol w:w="10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4" w:type="dxa"/>
            <w:vMerge w:val="restart"/>
            <w:tcBorders>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影响因素</w:t>
            </w:r>
          </w:p>
          <w:p>
            <w:pPr>
              <w:pStyle w:val="2"/>
              <w:jc w:val="center"/>
              <w:rPr>
                <w:rFonts w:hint="default" w:ascii="Times New Roman" w:hAnsi="Times New Roman" w:cs="Times New Roman"/>
                <w:color w:val="auto"/>
                <w:sz w:val="24"/>
                <w:szCs w:val="24"/>
                <w:highlight w:val="none"/>
                <w:vertAlign w:val="baseline"/>
                <w:lang w:val="en-US" w:eastAsia="zh-CN"/>
              </w:rPr>
            </w:pPr>
          </w:p>
          <w:p>
            <w:pPr>
              <w:pStyle w:val="3"/>
              <w:jc w:val="center"/>
              <w:rPr>
                <w:rFonts w:hint="default" w:ascii="Times New Roman" w:hAnsi="Times New Roman" w:cs="Times New Roman"/>
                <w:color w:val="auto"/>
                <w:sz w:val="24"/>
                <w:szCs w:val="24"/>
                <w:highlight w:val="none"/>
                <w:vertAlign w:val="baseline"/>
                <w:lang w:val="en-US" w:eastAsia="zh-CN"/>
              </w:rPr>
            </w:pPr>
          </w:p>
          <w:p>
            <w:pPr>
              <w:pStyle w:val="4"/>
              <w:jc w:val="center"/>
              <w:rPr>
                <w:rFonts w:hint="default" w:ascii="Times New Roman" w:hAnsi="Times New Roman" w:cs="Times New Roman"/>
                <w:color w:val="auto"/>
                <w:sz w:val="24"/>
                <w:szCs w:val="24"/>
                <w:highlight w:val="none"/>
                <w:vertAlign w:val="baseline"/>
                <w:lang w:val="en-US" w:eastAsia="zh-CN"/>
              </w:rPr>
            </w:pPr>
          </w:p>
          <w:p>
            <w:pPr>
              <w:jc w:val="center"/>
              <w:rPr>
                <w:rFonts w:hint="default" w:ascii="Times New Roman" w:hAnsi="Times New Roman" w:cs="Times New Roman"/>
                <w:color w:val="auto"/>
                <w:sz w:val="24"/>
                <w:szCs w:val="24"/>
                <w:highlight w:val="none"/>
                <w:vertAlign w:val="baseline"/>
                <w:lang w:val="en-US" w:eastAsia="zh-CN"/>
              </w:rPr>
            </w:pPr>
          </w:p>
          <w:p>
            <w:pPr>
              <w:pStyle w:val="2"/>
              <w:jc w:val="center"/>
              <w:rPr>
                <w:rFonts w:hint="default" w:ascii="Times New Roman" w:hAnsi="Times New Roman" w:cs="Times New Roman"/>
                <w:color w:val="auto"/>
                <w:sz w:val="24"/>
                <w:szCs w:val="24"/>
                <w:highlight w:val="none"/>
                <w:vertAlign w:val="baseline"/>
                <w:lang w:val="en-US" w:eastAsia="zh-CN"/>
              </w:rPr>
            </w:pPr>
          </w:p>
          <w:p>
            <w:pPr>
              <w:pStyle w:val="3"/>
              <w:jc w:val="center"/>
              <w:rPr>
                <w:rFonts w:hint="default" w:ascii="Times New Roman" w:hAnsi="Times New Roman" w:cs="Times New Roman"/>
                <w:color w:val="auto"/>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环境因素</w:t>
            </w:r>
          </w:p>
        </w:tc>
        <w:tc>
          <w:tcPr>
            <w:tcW w:w="7062" w:type="dxa"/>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施工期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75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占地</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废气</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废水</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固体废物</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噪声</w:t>
            </w:r>
          </w:p>
        </w:tc>
        <w:tc>
          <w:tcPr>
            <w:tcW w:w="10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风险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7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钻机、车辆废气、柴油机燃烧烟气</w:t>
            </w:r>
            <w:r>
              <w:rPr>
                <w:rFonts w:hint="eastAsia" w:ascii="Times New Roman" w:hAnsi="Times New Roman" w:cs="Times New Roman"/>
                <w:color w:val="auto"/>
                <w:sz w:val="24"/>
                <w:szCs w:val="24"/>
                <w:highlight w:val="none"/>
                <w:vertAlign w:val="baseline"/>
                <w:lang w:val="en-US" w:eastAsia="zh-CN"/>
              </w:rPr>
              <w:t>、天然气燃烧烟气</w:t>
            </w:r>
            <w:r>
              <w:rPr>
                <w:rFonts w:hint="default" w:ascii="Times New Roman" w:hAnsi="Times New Roman" w:cs="Times New Roman"/>
                <w:color w:val="auto"/>
                <w:sz w:val="24"/>
                <w:szCs w:val="24"/>
                <w:highlight w:val="none"/>
                <w:vertAlign w:val="baseline"/>
                <w:lang w:val="en-US" w:eastAsia="zh-CN"/>
              </w:rPr>
              <w:t>等</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钻井</w:t>
            </w:r>
            <w:r>
              <w:rPr>
                <w:rFonts w:hint="eastAsia" w:ascii="Times New Roman" w:hAnsi="Times New Roman" w:cs="Times New Roman"/>
                <w:color w:val="auto"/>
                <w:sz w:val="24"/>
                <w:szCs w:val="24"/>
                <w:highlight w:val="none"/>
                <w:vertAlign w:val="baseline"/>
                <w:lang w:val="en-US" w:eastAsia="zh-CN"/>
              </w:rPr>
              <w:t>污</w:t>
            </w:r>
            <w:r>
              <w:rPr>
                <w:rFonts w:hint="default" w:ascii="Times New Roman" w:hAnsi="Times New Roman" w:cs="Times New Roman"/>
                <w:color w:val="auto"/>
                <w:sz w:val="24"/>
                <w:szCs w:val="24"/>
                <w:highlight w:val="none"/>
                <w:vertAlign w:val="baseline"/>
                <w:lang w:val="en-US" w:eastAsia="zh-CN"/>
              </w:rPr>
              <w:t>水、生活污水、压裂返排液</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w:t>
            </w:r>
            <w:r>
              <w:rPr>
                <w:rFonts w:hint="default" w:ascii="Times New Roman" w:hAnsi="Times New Roman" w:cs="Times New Roman"/>
                <w:color w:val="auto"/>
                <w:sz w:val="24"/>
                <w:szCs w:val="24"/>
                <w:highlight w:val="none"/>
                <w:vertAlign w:val="baseline"/>
                <w:lang w:val="en-US" w:eastAsia="zh-CN"/>
              </w:rPr>
              <w:t>钻液井、岩屑、废射孔液钻、废防渗布、废包装袋等</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施工车辆、钻机、柴油发电机等噪声</w:t>
            </w:r>
          </w:p>
        </w:tc>
        <w:tc>
          <w:tcPr>
            <w:tcW w:w="10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井喷、井漏、套损、柴油罐泄漏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大气</w:t>
            </w:r>
          </w:p>
        </w:tc>
        <w:tc>
          <w:tcPr>
            <w:tcW w:w="7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-SN</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0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地下水</w:t>
            </w:r>
          </w:p>
        </w:tc>
        <w:tc>
          <w:tcPr>
            <w:tcW w:w="7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-SN</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-SN</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0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地表水</w:t>
            </w:r>
          </w:p>
        </w:tc>
        <w:tc>
          <w:tcPr>
            <w:tcW w:w="7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0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声环境</w:t>
            </w:r>
          </w:p>
        </w:tc>
        <w:tc>
          <w:tcPr>
            <w:tcW w:w="7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-SN</w:t>
            </w:r>
          </w:p>
        </w:tc>
        <w:tc>
          <w:tcPr>
            <w:tcW w:w="10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w:t>
            </w:r>
          </w:p>
        </w:tc>
        <w:tc>
          <w:tcPr>
            <w:tcW w:w="7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-SN</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-SN</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-SN</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0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植被</w:t>
            </w:r>
          </w:p>
        </w:tc>
        <w:tc>
          <w:tcPr>
            <w:tcW w:w="7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-SN</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0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动物</w:t>
            </w:r>
          </w:p>
        </w:tc>
        <w:tc>
          <w:tcPr>
            <w:tcW w:w="7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-SN</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-SN</w:t>
            </w:r>
          </w:p>
        </w:tc>
        <w:tc>
          <w:tcPr>
            <w:tcW w:w="10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-SA</w:t>
            </w:r>
          </w:p>
        </w:tc>
      </w:tr>
    </w:tbl>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注：-：不利影响；+：有利影响；L：长期影响；S：短期影响；A：显著影响；N：一般影响。</w:t>
      </w:r>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从上表可知本项目建设的主要环境影响表现在大气环境、水环境、土壤环境、声环境及生态环境等方面。</w:t>
      </w:r>
    </w:p>
    <w:p>
      <w:pPr>
        <w:pStyle w:val="7"/>
        <w:pageBreakBefore w:val="0"/>
        <w:bidi w:val="0"/>
        <w:spacing w:before="31" w:after="31" w:line="360" w:lineRule="auto"/>
        <w:rPr>
          <w:rFonts w:hint="default" w:ascii="Times New Roman" w:hAnsi="Times New Roman" w:eastAsia="宋体" w:cs="Times New Roman"/>
          <w:caps w:val="0"/>
          <w:smallCaps w:val="0"/>
          <w:color w:val="auto"/>
          <w:spacing w:val="0"/>
          <w:w w:val="100"/>
          <w:kern w:val="0"/>
          <w:sz w:val="28"/>
          <w:highlight w:val="none"/>
          <w:lang w:val="en-US" w:eastAsia="zh-CN"/>
        </w:rPr>
      </w:pPr>
      <w:bookmarkStart w:id="58" w:name="_Toc21917"/>
      <w:bookmarkStart w:id="59" w:name="_Toc11298"/>
      <w:bookmarkStart w:id="60" w:name="_Toc17599"/>
      <w:r>
        <w:rPr>
          <w:rFonts w:hint="default" w:ascii="Times New Roman" w:hAnsi="Times New Roman" w:eastAsia="宋体" w:cs="Times New Roman"/>
          <w:caps w:val="0"/>
          <w:smallCaps w:val="0"/>
          <w:color w:val="auto"/>
          <w:spacing w:val="0"/>
          <w:w w:val="100"/>
          <w:kern w:val="0"/>
          <w:sz w:val="28"/>
          <w:highlight w:val="none"/>
          <w:lang w:val="en-US" w:eastAsia="zh-CN"/>
        </w:rPr>
        <w:t>2.3.3评价因子筛选</w:t>
      </w:r>
      <w:bookmarkEnd w:id="58"/>
      <w:bookmarkEnd w:id="59"/>
      <w:bookmarkEnd w:id="60"/>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根据天然气井钻井施工期产生污染物排放特点及井场周围环境情况进行分析后，确定本项目评价因子，详见表2.3-2。</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表2.3-2本项目评价因子一览表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02"/>
        <w:gridCol w:w="637"/>
        <w:gridCol w:w="1338"/>
        <w:gridCol w:w="59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3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评价内容</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评价因子名称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现状评价因子</w:t>
            </w:r>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环境空气</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vertAlign w:val="baseline"/>
                <w:lang w:val="en-US" w:eastAsia="zh-CN"/>
              </w:rPr>
              <w:t>、PM</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vertAlign w:val="baseline"/>
                <w:lang w:val="en-US" w:eastAsia="zh-CN"/>
              </w:rPr>
              <w:t>、PM</w:t>
            </w:r>
            <w:r>
              <w:rPr>
                <w:rFonts w:hint="default" w:ascii="Times New Roman" w:hAnsi="Times New Roman" w:cs="Times New Roman"/>
                <w:color w:val="auto"/>
                <w:sz w:val="24"/>
                <w:szCs w:val="24"/>
                <w:highlight w:val="none"/>
                <w:vertAlign w:val="subscript"/>
                <w:lang w:val="en-US" w:eastAsia="zh-CN"/>
              </w:rPr>
              <w:t>2.5</w:t>
            </w:r>
            <w:r>
              <w:rPr>
                <w:rFonts w:hint="default" w:ascii="Times New Roman" w:hAnsi="Times New Roman" w:cs="Times New Roman"/>
                <w:color w:val="auto"/>
                <w:sz w:val="24"/>
                <w:szCs w:val="24"/>
                <w:highlight w:val="none"/>
                <w:vertAlign w:val="baseline"/>
                <w:lang w:val="en-US" w:eastAsia="zh-CN"/>
              </w:rPr>
              <w:t>、O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baseline"/>
                <w:lang w:val="en-US" w:eastAsia="zh-CN"/>
              </w:rPr>
              <w:t>、CO、非甲烷总烃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地下水</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pH、总硬度、耗氧量、石油类、氨氮、氟化物、挥发酚、硝酸盐氮、亚硝酸盐氮、菌落总数、总大肠菌群、溶解性总固体、氯化物、硫酸盐、氰化物、砷、汞、镉、六价铬、铁、锰、铅、钠、硫化物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噪声</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连续等效A声级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建设用地：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石油烃（C</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vertAlign w:val="baseline"/>
                <w:lang w:val="en-US" w:eastAsia="zh-CN"/>
              </w:rPr>
              <w:t>-C</w:t>
            </w:r>
            <w:r>
              <w:rPr>
                <w:rFonts w:hint="default" w:ascii="Times New Roman" w:hAnsi="Times New Roman" w:cs="Times New Roman"/>
                <w:color w:val="auto"/>
                <w:sz w:val="24"/>
                <w:szCs w:val="24"/>
                <w:highlight w:val="none"/>
                <w:vertAlign w:val="subscript"/>
                <w:lang w:val="en-US" w:eastAsia="zh-CN"/>
              </w:rPr>
              <w:t>40</w:t>
            </w:r>
            <w:r>
              <w:rPr>
                <w:rFonts w:hint="default" w:ascii="Times New Roman" w:hAnsi="Times New Roman" w:cs="Times New Roman"/>
                <w:color w:val="auto"/>
                <w:sz w:val="24"/>
                <w:szCs w:val="24"/>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农用地：pH、镉、铬、锌、铜、铅、汞、镍、砷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生态</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物种分布范围、种群数量、种群结构；植被覆盖度、生产力、生物量、生态系统功能；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影响预测因子</w:t>
            </w:r>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环境空气</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X</w:t>
            </w:r>
            <w:r>
              <w:rPr>
                <w:rFonts w:hint="default" w:ascii="Times New Roman" w:hAnsi="Times New Roman" w:cs="Times New Roman"/>
                <w:color w:val="auto"/>
                <w:sz w:val="24"/>
                <w:szCs w:val="24"/>
                <w:highlight w:val="none"/>
                <w:vertAlign w:val="baseline"/>
                <w:lang w:val="en-US" w:eastAsia="zh-CN"/>
              </w:rPr>
              <w:t>、HC、CO、非甲烷总烃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地下水</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石油类</w:t>
            </w:r>
            <w:r>
              <w:rPr>
                <w:rFonts w:hint="eastAsia" w:ascii="Times New Roman" w:hAnsi="Times New Roman" w:cs="Times New Roman"/>
                <w:color w:val="auto"/>
                <w:sz w:val="24"/>
                <w:szCs w:val="24"/>
                <w:highlight w:val="none"/>
                <w:vertAlign w:val="baseline"/>
                <w:lang w:val="en-US" w:eastAsia="zh-CN"/>
              </w:rPr>
              <w:t>、COD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噪声</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连续等效A声级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石油烃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生态</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动物、植被、生物量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bookmarkStart w:id="61" w:name="_Toc11604"/>
          </w:p>
        </w:tc>
        <w:tc>
          <w:tcPr>
            <w:tcW w:w="6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环境风险</w:t>
            </w:r>
          </w:p>
        </w:tc>
        <w:tc>
          <w:tcPr>
            <w:tcW w:w="5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井喷、井漏、套管破损、</w:t>
            </w:r>
            <w:r>
              <w:rPr>
                <w:rFonts w:hint="eastAsia" w:ascii="Times New Roman" w:hAnsi="Times New Roman" w:cs="Times New Roman"/>
                <w:color w:val="auto"/>
                <w:sz w:val="24"/>
                <w:szCs w:val="24"/>
                <w:highlight w:val="none"/>
                <w:vertAlign w:val="baseline"/>
                <w:lang w:val="en-US" w:eastAsia="zh-CN"/>
              </w:rPr>
              <w:t>采气井试气事故、</w:t>
            </w:r>
            <w:r>
              <w:rPr>
                <w:rFonts w:hint="default" w:ascii="Times New Roman" w:hAnsi="Times New Roman" w:cs="Times New Roman"/>
                <w:color w:val="auto"/>
                <w:sz w:val="24"/>
                <w:szCs w:val="24"/>
                <w:highlight w:val="none"/>
                <w:vertAlign w:val="baseline"/>
                <w:lang w:val="en-US" w:eastAsia="zh-CN"/>
              </w:rPr>
              <w:t>柴油泄漏对环境的影响</w:t>
            </w:r>
          </w:p>
        </w:tc>
      </w:tr>
    </w:tbl>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2.4环境功能区划及环境评价标准</w:t>
      </w:r>
      <w:bookmarkEnd w:id="61"/>
    </w:p>
    <w:p>
      <w:pPr>
        <w:pStyle w:val="7"/>
        <w:pageBreakBefore w:val="0"/>
        <w:bidi w:val="0"/>
        <w:spacing w:before="31" w:after="31" w:line="360" w:lineRule="auto"/>
        <w:rPr>
          <w:rFonts w:hint="default" w:ascii="Times New Roman" w:hAnsi="Times New Roman" w:eastAsia="宋体" w:cs="Times New Roman"/>
          <w:caps w:val="0"/>
          <w:smallCaps w:val="0"/>
          <w:color w:val="auto"/>
          <w:spacing w:val="0"/>
          <w:w w:val="100"/>
          <w:kern w:val="0"/>
          <w:sz w:val="28"/>
          <w:highlight w:val="none"/>
          <w:lang w:val="en-US" w:eastAsia="zh-CN"/>
        </w:rPr>
      </w:pPr>
      <w:bookmarkStart w:id="62" w:name="_Toc8636"/>
      <w:bookmarkStart w:id="63" w:name="_Toc27961"/>
      <w:bookmarkStart w:id="64" w:name="_Toc14904"/>
      <w:r>
        <w:rPr>
          <w:rFonts w:hint="default" w:ascii="Times New Roman" w:hAnsi="Times New Roman" w:eastAsia="宋体" w:cs="Times New Roman"/>
          <w:caps w:val="0"/>
          <w:smallCaps w:val="0"/>
          <w:color w:val="auto"/>
          <w:spacing w:val="0"/>
          <w:w w:val="100"/>
          <w:kern w:val="0"/>
          <w:sz w:val="28"/>
          <w:highlight w:val="none"/>
          <w:lang w:val="en-US" w:eastAsia="zh-CN"/>
        </w:rPr>
        <w:t>2.4.1环境功能区划</w:t>
      </w:r>
      <w:bookmarkEnd w:id="62"/>
      <w:bookmarkEnd w:id="63"/>
      <w:bookmarkEnd w:id="64"/>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生态</w:t>
      </w:r>
      <w:r>
        <w:rPr>
          <w:rFonts w:hint="eastAsia" w:ascii="Times New Roman" w:hAnsi="Times New Roman" w:eastAsia="宋体" w:cs="Times New Roman"/>
          <w:color w:val="auto"/>
          <w:kern w:val="0"/>
          <w:sz w:val="28"/>
          <w:szCs w:val="28"/>
          <w:highlight w:val="none"/>
          <w:lang w:val="en-US" w:eastAsia="zh-CN" w:bidi="ar"/>
        </w:rPr>
        <w:t>环境</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根据《黑龙江省生态功能区划》，项目所在区域属于</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Ⅰ-6-1-2大庆地区矿业与土壤保持生态功能区</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大气环境</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根据《大庆市人民政府关于印发大庆市声环境功能区划分、大庆市环境空气质量功能区划分、大庆市地表水环境功能区划分的通知》</w:t>
      </w:r>
      <w:r>
        <w:rPr>
          <w:rFonts w:hint="eastAsia" w:ascii="Times New Roman" w:hAnsi="Times New Roman" w:eastAsia="宋体" w:cs="Times New Roman"/>
          <w:color w:val="auto"/>
          <w:kern w:val="0"/>
          <w:sz w:val="28"/>
          <w:szCs w:val="28"/>
          <w:highlight w:val="none"/>
          <w:lang w:val="en-US" w:eastAsia="zh-CN" w:bidi="ar"/>
        </w:rPr>
        <w:t>及</w:t>
      </w:r>
      <w:r>
        <w:rPr>
          <w:rFonts w:hint="default" w:ascii="Times New Roman" w:hAnsi="Times New Roman" w:eastAsia="宋体" w:cs="Times New Roman"/>
          <w:color w:val="auto"/>
          <w:kern w:val="0"/>
          <w:sz w:val="28"/>
          <w:szCs w:val="28"/>
          <w:highlight w:val="none"/>
          <w:lang w:val="en-US" w:eastAsia="zh-CN" w:bidi="ar"/>
        </w:rPr>
        <w:t>《环境空气质量标准》（GB3095-2012）的规定，</w:t>
      </w:r>
      <w:r>
        <w:rPr>
          <w:rFonts w:hint="eastAsia" w:ascii="Times New Roman" w:hAnsi="Times New Roman" w:eastAsia="宋体" w:cs="Times New Roman"/>
          <w:color w:val="auto"/>
          <w:kern w:val="0"/>
          <w:sz w:val="28"/>
          <w:szCs w:val="28"/>
          <w:highlight w:val="none"/>
          <w:lang w:val="en-US" w:eastAsia="zh-CN" w:bidi="ar"/>
        </w:rPr>
        <w:t>本项目位于肇州县双发乡境内，</w:t>
      </w:r>
      <w:r>
        <w:rPr>
          <w:rFonts w:hint="default" w:ascii="Times New Roman" w:hAnsi="Times New Roman" w:eastAsia="宋体" w:cs="Times New Roman"/>
          <w:color w:val="auto"/>
          <w:kern w:val="0"/>
          <w:sz w:val="28"/>
          <w:szCs w:val="28"/>
          <w:highlight w:val="none"/>
          <w:lang w:val="en-US" w:eastAsia="zh-CN" w:bidi="ar"/>
        </w:rPr>
        <w:t>项目所在区域环境空气功能区为二类区。</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水环境</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根据《大庆市人民政府关于印发大庆市声环境功能区划分、大庆市环境空气质量功能区划分、大庆市地表水环境功能区划分的通知》（庆政发〔2019〕11号），项目新建井场东侧的北</w:t>
      </w:r>
      <w:r>
        <w:rPr>
          <w:rFonts w:hint="eastAsia" w:ascii="Times New Roman" w:hAnsi="Times New Roman" w:eastAsia="宋体" w:cs="Times New Roman"/>
          <w:color w:val="auto"/>
          <w:kern w:val="0"/>
          <w:sz w:val="28"/>
          <w:szCs w:val="28"/>
          <w:highlight w:val="none"/>
          <w:lang w:val="en-US" w:eastAsia="zh-CN" w:bidi="ar"/>
        </w:rPr>
        <w:t>大</w:t>
      </w:r>
      <w:r>
        <w:rPr>
          <w:rFonts w:hint="default" w:ascii="Times New Roman" w:hAnsi="Times New Roman" w:eastAsia="宋体" w:cs="Times New Roman"/>
          <w:color w:val="auto"/>
          <w:kern w:val="0"/>
          <w:sz w:val="28"/>
          <w:szCs w:val="28"/>
          <w:highlight w:val="none"/>
          <w:lang w:val="en-US" w:eastAsia="zh-CN" w:bidi="ar"/>
        </w:rPr>
        <w:t>干渠未进行地表水功能区划分，</w:t>
      </w:r>
      <w:r>
        <w:rPr>
          <w:rFonts w:hint="eastAsia" w:ascii="Times New Roman" w:hAnsi="Times New Roman" w:eastAsia="宋体" w:cs="Times New Roman"/>
          <w:color w:val="auto"/>
          <w:kern w:val="0"/>
          <w:sz w:val="28"/>
          <w:szCs w:val="28"/>
          <w:highlight w:val="none"/>
          <w:lang w:val="en-US" w:eastAsia="zh-CN" w:bidi="ar"/>
        </w:rPr>
        <w:t>北大干渠为排水干渠，在非降雨期为干涸状态，在降雨期可能有少量雨水积存，不对北大干渠进行功能区划分。</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评价区内地下水功能主要为提供当地分散居民生活用水、农牧业生产的</w:t>
      </w:r>
      <w:r>
        <w:rPr>
          <w:rFonts w:hint="eastAsia" w:ascii="Times New Roman" w:hAnsi="Times New Roman" w:eastAsia="宋体" w:cs="Times New Roman"/>
          <w:color w:val="auto"/>
          <w:kern w:val="0"/>
          <w:sz w:val="28"/>
          <w:szCs w:val="28"/>
          <w:highlight w:val="none"/>
          <w:lang w:val="en-US" w:eastAsia="zh-CN" w:bidi="ar"/>
        </w:rPr>
        <w:t>用水，</w:t>
      </w:r>
      <w:r>
        <w:rPr>
          <w:rFonts w:hint="default" w:ascii="Times New Roman" w:hAnsi="Times New Roman" w:eastAsia="宋体" w:cs="Times New Roman"/>
          <w:color w:val="auto"/>
          <w:kern w:val="0"/>
          <w:sz w:val="28"/>
          <w:szCs w:val="28"/>
          <w:highlight w:val="none"/>
          <w:lang w:val="en-US" w:eastAsia="zh-CN" w:bidi="ar"/>
        </w:rPr>
        <w:t>维持地表植被生态系统稳定，因此参照执行《地下水质量标准》（GB/T14848-2017）Ⅲ类标准功能。</w:t>
      </w:r>
    </w:p>
    <w:p>
      <w:pPr>
        <w:keepNext w:val="0"/>
        <w:keepLines w:val="0"/>
        <w:widowControl/>
        <w:suppressLineNumbers w:val="0"/>
        <w:spacing w:line="360" w:lineRule="auto"/>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声环境</w:t>
      </w:r>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大庆市人民政府关于印发大庆市声环境功能区划分、大庆市环境空气质量功能区划分、大庆市地表水环境功能区划分的通知》（庆政发〔2019〕11号）及《声环境质量标准》（GB3096-2008）的规定，项目附近村屯声环境为1类区，项目所在区域执行2类声环境功能区标准限值要求。</w:t>
      </w:r>
    </w:p>
    <w:p>
      <w:pPr>
        <w:pStyle w:val="7"/>
        <w:pageBreakBefore w:val="0"/>
        <w:bidi w:val="0"/>
        <w:spacing w:before="31" w:after="31" w:line="360" w:lineRule="auto"/>
        <w:rPr>
          <w:rFonts w:hint="default" w:ascii="Times New Roman" w:hAnsi="Times New Roman" w:eastAsia="宋体" w:cs="Times New Roman"/>
          <w:caps w:val="0"/>
          <w:smallCaps w:val="0"/>
          <w:color w:val="auto"/>
          <w:spacing w:val="0"/>
          <w:w w:val="100"/>
          <w:kern w:val="0"/>
          <w:sz w:val="28"/>
          <w:highlight w:val="none"/>
          <w:lang w:val="en-US" w:eastAsia="zh-CN"/>
        </w:rPr>
      </w:pPr>
      <w:bookmarkStart w:id="65" w:name="_Toc29007"/>
      <w:bookmarkStart w:id="66" w:name="_Toc21070"/>
      <w:bookmarkStart w:id="67" w:name="_Toc7675"/>
      <w:r>
        <w:rPr>
          <w:rFonts w:hint="default" w:ascii="Times New Roman" w:hAnsi="Times New Roman" w:eastAsia="宋体" w:cs="Times New Roman"/>
          <w:caps w:val="0"/>
          <w:smallCaps w:val="0"/>
          <w:color w:val="auto"/>
          <w:spacing w:val="0"/>
          <w:w w:val="100"/>
          <w:kern w:val="0"/>
          <w:sz w:val="28"/>
          <w:highlight w:val="none"/>
          <w:lang w:val="en-US" w:eastAsia="zh-CN"/>
        </w:rPr>
        <w:t>2.4.2环境质量标准</w:t>
      </w:r>
      <w:bookmarkEnd w:id="65"/>
      <w:bookmarkEnd w:id="66"/>
      <w:bookmarkEnd w:id="67"/>
    </w:p>
    <w:p>
      <w:pPr>
        <w:keepNext w:val="0"/>
        <w:keepLines w:val="0"/>
        <w:widowControl/>
        <w:suppressLineNumbers w:val="0"/>
        <w:spacing w:line="360" w:lineRule="auto"/>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（1）环境空气质量标准</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评价区内区域环境空气评价执行《环境空气质量标准》（GB3095-2012）中的二级标准；项目特征因子非甲烷总烃执行《大气污染物综合排放标准详解》小时均值。</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表2.4-1环境空气质量标准</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14"/>
        <w:gridCol w:w="3563"/>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污染物名称</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取值时间</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标准值（μg/m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二氧化硫（SO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vertAlign w:val="baseline"/>
                <w:lang w:val="en-US" w:eastAsia="zh-CN"/>
              </w:rPr>
              <w:t>）</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二氧化氮（NO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vertAlign w:val="baseline"/>
                <w:lang w:val="en-US" w:eastAsia="zh-CN"/>
              </w:rPr>
              <w:t>）</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颗粒物PM</w:t>
            </w:r>
            <w:r>
              <w:rPr>
                <w:rFonts w:hint="default" w:ascii="Times New Roman" w:hAnsi="Times New Roman" w:cs="Times New Roman"/>
                <w:color w:val="auto"/>
                <w:sz w:val="24"/>
                <w:szCs w:val="24"/>
                <w:highlight w:val="none"/>
                <w:vertAlign w:val="subscript"/>
                <w:lang w:val="en-US" w:eastAsia="zh-CN"/>
              </w:rPr>
              <w:t>10</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颗粒物PM</w:t>
            </w:r>
            <w:r>
              <w:rPr>
                <w:rFonts w:hint="default" w:ascii="Times New Roman" w:hAnsi="Times New Roman" w:cs="Times New Roman"/>
                <w:color w:val="auto"/>
                <w:sz w:val="24"/>
                <w:szCs w:val="24"/>
                <w:highlight w:val="none"/>
                <w:vertAlign w:val="subscript"/>
                <w:lang w:val="en-US" w:eastAsia="zh-CN"/>
              </w:rPr>
              <w:t>2.5</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臭氧（O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baseline"/>
                <w:lang w:val="en-US" w:eastAsia="zh-CN"/>
              </w:rPr>
              <w:t>）</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日最大8小时平均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一氧化碳（CO）</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24小时平均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非甲烷总烃</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2000</w:t>
            </w:r>
          </w:p>
        </w:tc>
      </w:tr>
    </w:tbl>
    <w:p>
      <w:pPr>
        <w:keepNext w:val="0"/>
        <w:keepLines w:val="0"/>
        <w:widowControl/>
        <w:suppressLineNumbers w:val="0"/>
        <w:spacing w:line="360" w:lineRule="auto"/>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）地下水</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项目地下水执行《地下水质量标准》（GB/T14848-2017）III类，石油类参照《地表水环境质量标准》（GB3838-2002）III类标准。</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地下水质量标准</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4"/>
        <w:gridCol w:w="3044"/>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304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监测项目</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单位</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304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钠</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氯化物</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硫酸盐</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pH</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无量纲</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w:t>
            </w:r>
            <w:r>
              <w:rPr>
                <w:rFonts w:hint="eastAsia" w:ascii="Times New Roman" w:hAnsi="Times New Roman" w:cs="Times New Roman"/>
                <w:color w:val="auto"/>
                <w:sz w:val="24"/>
                <w:szCs w:val="24"/>
                <w:highlight w:val="none"/>
                <w:vertAlign w:val="baseline"/>
                <w:lang w:val="en-US" w:eastAsia="zh-CN"/>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总硬度</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氨氮</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氰化物</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挥发酚</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耗氧量</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氟化物</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砷</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汞</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镉</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铅</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六价铬</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16</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铁</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17</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锰</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硝酸盐</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19</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亚硝酸盐</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溶解性总固体</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总大肠菌群</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MPN/100mL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22</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菌落总数</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CFU/mL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23</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硫化物</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w:t>
            </w:r>
            <w:r>
              <w:rPr>
                <w:rFonts w:hint="eastAsia" w:ascii="Times New Roman" w:hAnsi="Times New Roman" w:cs="Times New Roman"/>
                <w:color w:val="auto"/>
                <w:sz w:val="24"/>
                <w:szCs w:val="24"/>
                <w:highlight w:val="non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24</w:t>
            </w:r>
          </w:p>
        </w:tc>
        <w:tc>
          <w:tcPr>
            <w:tcW w:w="30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石油类</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≤0.05</w:t>
            </w:r>
          </w:p>
        </w:tc>
      </w:tr>
    </w:tbl>
    <w:p>
      <w:pPr>
        <w:keepNext w:val="0"/>
        <w:keepLines w:val="0"/>
        <w:widowControl/>
        <w:suppressLineNumbers w:val="0"/>
        <w:spacing w:line="360" w:lineRule="auto"/>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）声环境</w:t>
      </w:r>
    </w:p>
    <w:p>
      <w:pPr>
        <w:keepNext w:val="0"/>
        <w:keepLines w:val="0"/>
        <w:widowControl/>
        <w:suppressLineNumbers w:val="0"/>
        <w:spacing w:line="360" w:lineRule="auto"/>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项目附近村屯执行《声环境质量标准》（GB3096-2008）1类功能区标准，项目所在区域执行2类功能区标准。</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声环境质量标准</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类别</w:t>
            </w:r>
          </w:p>
        </w:tc>
        <w:tc>
          <w:tcPr>
            <w:tcW w:w="283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昼间dB(A)</w:t>
            </w:r>
          </w:p>
        </w:tc>
        <w:tc>
          <w:tcPr>
            <w:tcW w:w="283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夜间dB(A)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1类</w:t>
            </w:r>
          </w:p>
        </w:tc>
        <w:tc>
          <w:tcPr>
            <w:tcW w:w="283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55</w:t>
            </w:r>
          </w:p>
        </w:tc>
        <w:tc>
          <w:tcPr>
            <w:tcW w:w="283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2类</w:t>
            </w:r>
          </w:p>
        </w:tc>
        <w:tc>
          <w:tcPr>
            <w:tcW w:w="283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60</w:t>
            </w:r>
          </w:p>
        </w:tc>
        <w:tc>
          <w:tcPr>
            <w:tcW w:w="283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50</w:t>
            </w:r>
          </w:p>
        </w:tc>
      </w:tr>
    </w:tbl>
    <w:p>
      <w:pPr>
        <w:keepNext w:val="0"/>
        <w:keepLines w:val="0"/>
        <w:widowControl/>
        <w:suppressLineNumbers w:val="0"/>
        <w:spacing w:line="360" w:lineRule="auto"/>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（5）土壤环境</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zh-CN" w:eastAsia="zh-CN" w:bidi="ar"/>
        </w:rPr>
      </w:pPr>
      <w:r>
        <w:rPr>
          <w:rFonts w:hint="default" w:ascii="Times New Roman" w:hAnsi="Times New Roman" w:eastAsia="宋体" w:cs="Times New Roman"/>
          <w:color w:val="auto"/>
          <w:kern w:val="0"/>
          <w:sz w:val="28"/>
          <w:szCs w:val="28"/>
          <w:highlight w:val="none"/>
          <w:lang w:val="en-US" w:eastAsia="zh-CN" w:bidi="ar"/>
        </w:rPr>
        <w:t>项目建设用地执行《土壤环境质量 建设用地土壤污染风险管控标准（试行）》（GB36600-2018）第</w:t>
      </w:r>
      <w:r>
        <w:rPr>
          <w:rFonts w:hint="eastAsia" w:ascii="Times New Roman" w:hAnsi="Times New Roman" w:eastAsia="宋体" w:cs="Times New Roman"/>
          <w:color w:val="auto"/>
          <w:kern w:val="0"/>
          <w:sz w:val="28"/>
          <w:szCs w:val="28"/>
          <w:highlight w:val="none"/>
          <w:lang w:val="en-US" w:eastAsia="zh-CN" w:bidi="ar"/>
        </w:rPr>
        <w:t>二</w:t>
      </w:r>
      <w:r>
        <w:rPr>
          <w:rFonts w:hint="default" w:ascii="Times New Roman" w:hAnsi="Times New Roman" w:eastAsia="宋体" w:cs="Times New Roman"/>
          <w:color w:val="auto"/>
          <w:kern w:val="0"/>
          <w:sz w:val="28"/>
          <w:szCs w:val="28"/>
          <w:highlight w:val="none"/>
          <w:lang w:val="en-US" w:eastAsia="zh-CN" w:bidi="ar"/>
        </w:rPr>
        <w:t>类土壤污染风险筛选值，农用地执行《土壤环境质量农用地土壤污染风险管控标准（试行）》（GB15618-2018）农用地土壤污染风险筛选值。</w:t>
      </w:r>
      <w:r>
        <w:rPr>
          <w:rFonts w:hint="default" w:ascii="Times New Roman" w:hAnsi="Times New Roman" w:eastAsia="宋体" w:cs="Times New Roman"/>
          <w:color w:val="auto"/>
          <w:kern w:val="0"/>
          <w:sz w:val="28"/>
          <w:szCs w:val="28"/>
          <w:highlight w:val="none"/>
          <w:lang w:val="zh-CN" w:eastAsia="zh-CN" w:bidi="ar"/>
        </w:rPr>
        <w:t>具体见表2.4-</w:t>
      </w: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zh-CN" w:eastAsia="zh-CN" w:bidi="ar"/>
        </w:rPr>
        <w:t>和</w:t>
      </w:r>
      <w:r>
        <w:rPr>
          <w:rFonts w:hint="default" w:ascii="Times New Roman" w:hAnsi="Times New Roman" w:eastAsia="宋体" w:cs="Times New Roman"/>
          <w:color w:val="auto"/>
          <w:kern w:val="0"/>
          <w:sz w:val="28"/>
          <w:szCs w:val="28"/>
          <w:highlight w:val="none"/>
          <w:lang w:val="en-US" w:eastAsia="zh-CN" w:bidi="ar"/>
        </w:rPr>
        <w:t>2.4-</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建设用地第二类用地土壤污染风险管控标准  单位：mg/kg</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7"/>
        <w:gridCol w:w="2213"/>
        <w:gridCol w:w="1175"/>
        <w:gridCol w:w="847"/>
        <w:gridCol w:w="2697"/>
        <w:gridCol w:w="14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序号</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污染物项目</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筛选值</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序号</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污染物项目</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60</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24</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1,2,3-三氯丙烷</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镉</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65</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25</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氯乙烯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铬（六价）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5.7</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26</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铜</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18000</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27</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氯苯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铅</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800</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28</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1,2-二氯苯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6</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汞</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38</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29</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1,4-二氯苯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7</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镍</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900</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30</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乙苯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8</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四氯化碳</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2.8</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31</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苯乙烯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9</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氯仿</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0.9</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32</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甲苯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10</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氯甲烷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37</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33</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间二甲苯+对二甲苯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11</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1,1-二氯乙烷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9</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34</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邻二甲苯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12</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1,2-二氯乙烷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35</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硝基苯</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13</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1,1-二氯乙烯</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66</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36</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苯胺</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14</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顺-1,2-二氯乙烯</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596</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37</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2-氯酚</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15</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反-1,2-二氯乙烯</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54</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38</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苯并[a]蒽</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16</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二氯甲烷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616</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39</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苯并[a]芘</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17</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1,2-二氯丙烷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40</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苯并[b]</w:t>
            </w:r>
            <w:bookmarkStart w:id="68" w:name="OLE_LINK1"/>
            <w:r>
              <w:rPr>
                <w:rFonts w:hint="default" w:ascii="Times New Roman" w:hAnsi="Times New Roman" w:cs="Times New Roman"/>
                <w:color w:val="auto"/>
                <w:sz w:val="24"/>
                <w:szCs w:val="24"/>
                <w:highlight w:val="none"/>
                <w:vertAlign w:val="baseline"/>
                <w:lang w:val="zh-CN" w:eastAsia="zh-CN"/>
              </w:rPr>
              <w:t>荧蒽</w:t>
            </w:r>
            <w:bookmarkEnd w:id="68"/>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18</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1,1,1,2-四氯乙烷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10</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41</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苯并[k]荧蒽</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19</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1,1,2,2-四氯乙烷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6.8</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42</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䓛</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1293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20</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四氯乙烯</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53</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43</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二苯并[a,h]蒽</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21</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1,1,1-三氯乙烷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840</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44</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茚并[1,2,3-cd]芘</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22</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1,1,2-三氯乙烷</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2.8</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45</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萘</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8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23</w:t>
            </w:r>
          </w:p>
        </w:tc>
        <w:tc>
          <w:tcPr>
            <w:tcW w:w="22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三氯乙烯</w:t>
            </w:r>
          </w:p>
        </w:tc>
        <w:tc>
          <w:tcPr>
            <w:tcW w:w="11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2.8</w:t>
            </w:r>
          </w:p>
        </w:tc>
        <w:tc>
          <w:tcPr>
            <w:tcW w:w="8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46</w:t>
            </w:r>
          </w:p>
        </w:tc>
        <w:tc>
          <w:tcPr>
            <w:tcW w:w="26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石油烃（C</w:t>
            </w:r>
            <w:r>
              <w:rPr>
                <w:rFonts w:hint="default" w:ascii="Times New Roman" w:hAnsi="Times New Roman" w:cs="Times New Roman"/>
                <w:color w:val="auto"/>
                <w:sz w:val="24"/>
                <w:szCs w:val="24"/>
                <w:highlight w:val="none"/>
                <w:vertAlign w:val="subscript"/>
                <w:lang w:val="zh-CN" w:eastAsia="zh-CN"/>
              </w:rPr>
              <w:t>10</w:t>
            </w:r>
            <w:r>
              <w:rPr>
                <w:rFonts w:hint="default" w:ascii="Times New Roman" w:hAnsi="Times New Roman" w:cs="Times New Roman"/>
                <w:color w:val="auto"/>
                <w:sz w:val="24"/>
                <w:szCs w:val="24"/>
                <w:highlight w:val="none"/>
                <w:vertAlign w:val="baseline"/>
                <w:lang w:val="zh-CN" w:eastAsia="zh-CN"/>
              </w:rPr>
              <w:t>-C</w:t>
            </w:r>
            <w:r>
              <w:rPr>
                <w:rFonts w:hint="default" w:ascii="Times New Roman" w:hAnsi="Times New Roman" w:cs="Times New Roman"/>
                <w:color w:val="auto"/>
                <w:sz w:val="24"/>
                <w:szCs w:val="24"/>
                <w:highlight w:val="none"/>
                <w:vertAlign w:val="subscript"/>
                <w:lang w:val="zh-CN" w:eastAsia="zh-CN"/>
              </w:rPr>
              <w:t>40</w:t>
            </w:r>
            <w:r>
              <w:rPr>
                <w:rFonts w:hint="default" w:ascii="Times New Roman" w:hAnsi="Times New Roman" w:cs="Times New Roman"/>
                <w:color w:val="auto"/>
                <w:sz w:val="24"/>
                <w:szCs w:val="24"/>
                <w:highlight w:val="none"/>
                <w:vertAlign w:val="baseline"/>
                <w:lang w:val="zh-CN" w:eastAsia="zh-CN"/>
              </w:rPr>
              <w:t>）</w:t>
            </w:r>
          </w:p>
        </w:tc>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4500</w:t>
            </w:r>
          </w:p>
        </w:tc>
      </w:tr>
    </w:tbl>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农用地土壤污染风险管控标准 单位：mg/kg</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9"/>
        <w:gridCol w:w="1312"/>
        <w:gridCol w:w="1556"/>
        <w:gridCol w:w="1858"/>
        <w:gridCol w:w="2060"/>
        <w:gridCol w:w="15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2221" w:type="dxa"/>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污染物项目</w:t>
            </w:r>
          </w:p>
        </w:tc>
        <w:tc>
          <w:tcPr>
            <w:tcW w:w="7011"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风险筛选值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2221"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pH≤5.5</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5.5＜pH≤6.5</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6.5＜pH≤7.5</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pH＞7.5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9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镉</w:t>
            </w: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水田</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0.3</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0.4</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0.6</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其他</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0.3</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0.3</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0.3</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汞</w:t>
            </w: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水田</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0.5</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0.5</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0.6</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其他</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1.3</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1.8</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2.4</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砷</w:t>
            </w: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水田</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30</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30</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25</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其他</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40</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40</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30</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铅</w:t>
            </w: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水田</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80</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100</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140</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其他</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70</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90</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120</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铬</w:t>
            </w: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水田</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250</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250</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300</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其他</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150</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150</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200</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9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铜</w:t>
            </w:r>
          </w:p>
        </w:tc>
        <w:tc>
          <w:tcPr>
            <w:tcW w:w="13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其他</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50</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50</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100</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222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镍</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60</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70</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100</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190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222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锌</w:t>
            </w:r>
          </w:p>
        </w:tc>
        <w:tc>
          <w:tcPr>
            <w:tcW w:w="15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200</w:t>
            </w:r>
          </w:p>
        </w:tc>
        <w:tc>
          <w:tcPr>
            <w:tcW w:w="18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200</w:t>
            </w:r>
          </w:p>
        </w:tc>
        <w:tc>
          <w:tcPr>
            <w:tcW w:w="20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250</w:t>
            </w:r>
          </w:p>
        </w:tc>
        <w:tc>
          <w:tcPr>
            <w:tcW w:w="1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default" w:ascii="Times New Roman" w:hAnsi="Times New Roman" w:cs="Times New Roman"/>
                <w:color w:val="auto"/>
                <w:sz w:val="24"/>
                <w:szCs w:val="24"/>
                <w:highlight w:val="none"/>
                <w:vertAlign w:val="baseline"/>
                <w:lang w:val="zh-CN" w:eastAsia="zh-CN"/>
              </w:rPr>
              <w:t>300</w:t>
            </w:r>
          </w:p>
        </w:tc>
      </w:tr>
    </w:tbl>
    <w:p>
      <w:pPr>
        <w:pStyle w:val="7"/>
        <w:pageBreakBefore w:val="0"/>
        <w:bidi w:val="0"/>
        <w:spacing w:before="31" w:after="31" w:line="360" w:lineRule="auto"/>
        <w:rPr>
          <w:rFonts w:hint="default" w:ascii="Times New Roman" w:hAnsi="Times New Roman" w:eastAsia="宋体" w:cs="Times New Roman"/>
          <w:caps w:val="0"/>
          <w:smallCaps w:val="0"/>
          <w:color w:val="auto"/>
          <w:spacing w:val="0"/>
          <w:w w:val="100"/>
          <w:kern w:val="0"/>
          <w:sz w:val="28"/>
          <w:highlight w:val="none"/>
          <w:lang w:val="en-US" w:eastAsia="zh-CN"/>
        </w:rPr>
      </w:pPr>
      <w:bookmarkStart w:id="69" w:name="_Toc12055"/>
      <w:bookmarkStart w:id="70" w:name="_Toc30855"/>
      <w:bookmarkStart w:id="71" w:name="_Toc21946"/>
      <w:r>
        <w:rPr>
          <w:rFonts w:hint="default" w:ascii="Times New Roman" w:hAnsi="Times New Roman" w:eastAsia="宋体" w:cs="Times New Roman"/>
          <w:caps w:val="0"/>
          <w:smallCaps w:val="0"/>
          <w:color w:val="auto"/>
          <w:spacing w:val="0"/>
          <w:w w:val="100"/>
          <w:kern w:val="0"/>
          <w:sz w:val="28"/>
          <w:highlight w:val="none"/>
          <w:lang w:val="en-US" w:eastAsia="zh-CN"/>
        </w:rPr>
        <w:t>2.4.2污染物排放标准</w:t>
      </w:r>
      <w:bookmarkEnd w:id="69"/>
      <w:bookmarkEnd w:id="70"/>
      <w:bookmarkEnd w:id="71"/>
    </w:p>
    <w:p>
      <w:pPr>
        <w:keepNext w:val="0"/>
        <w:keepLines w:val="0"/>
        <w:widowControl/>
        <w:suppressLineNumbers w:val="0"/>
        <w:spacing w:line="360" w:lineRule="auto"/>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（1）废气</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施工期</w:t>
      </w:r>
      <w:r>
        <w:rPr>
          <w:rFonts w:hint="eastAsia" w:ascii="Times New Roman" w:hAnsi="Times New Roman" w:eastAsia="宋体" w:cs="Times New Roman"/>
          <w:color w:val="auto"/>
          <w:kern w:val="0"/>
          <w:sz w:val="28"/>
          <w:szCs w:val="28"/>
          <w:highlight w:val="none"/>
          <w:lang w:val="en-US" w:eastAsia="zh-CN" w:bidi="ar"/>
        </w:rPr>
        <w:t>厂界</w:t>
      </w:r>
      <w:r>
        <w:rPr>
          <w:rFonts w:hint="default" w:ascii="Times New Roman" w:hAnsi="Times New Roman" w:eastAsia="宋体" w:cs="Times New Roman"/>
          <w:color w:val="auto"/>
          <w:kern w:val="0"/>
          <w:sz w:val="28"/>
          <w:szCs w:val="28"/>
          <w:highlight w:val="none"/>
          <w:lang w:val="en-US" w:eastAsia="zh-CN" w:bidi="ar"/>
        </w:rPr>
        <w:t>扬尘执行《大气污染物综合排放标准》（GB16297-1996）中表2无组织排放监控浓度限值；柴油发电机燃烧废气排放标准执行《非道路移动机械用柴油机排气污染物排放限值及测量方法》（GB20891-2014）及其修改单，详见表2.4-</w:t>
      </w:r>
      <w:r>
        <w:rPr>
          <w:rFonts w:hint="eastAsia" w:ascii="Times New Roman" w:hAnsi="Times New Roman" w:eastAsia="宋体" w:cs="Times New Roman"/>
          <w:color w:val="auto"/>
          <w:kern w:val="0"/>
          <w:sz w:val="28"/>
          <w:szCs w:val="28"/>
          <w:highlight w:val="none"/>
          <w:lang w:val="en-US" w:eastAsia="zh-CN" w:bidi="ar"/>
        </w:rPr>
        <w:t>6和2.4-7</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w:t>
      </w:r>
      <w:r>
        <w:rPr>
          <w:rFonts w:hint="eastAsia" w:ascii="Times New Roman" w:hAnsi="Times New Roman" w:eastAsia="宋体" w:cs="Times New Roman"/>
          <w:b/>
          <w:bCs/>
          <w:color w:val="auto"/>
          <w:kern w:val="0"/>
          <w:sz w:val="24"/>
          <w:szCs w:val="24"/>
          <w:highlight w:val="none"/>
          <w:lang w:val="en-US" w:eastAsia="zh-CN" w:bidi="ar"/>
        </w:rPr>
        <w:t>6</w:t>
      </w:r>
      <w:r>
        <w:rPr>
          <w:rFonts w:hint="default" w:ascii="Times New Roman" w:hAnsi="Times New Roman" w:eastAsia="宋体" w:cs="Times New Roman"/>
          <w:b/>
          <w:bCs/>
          <w:color w:val="auto"/>
          <w:kern w:val="0"/>
          <w:sz w:val="24"/>
          <w:szCs w:val="24"/>
          <w:highlight w:val="none"/>
          <w:lang w:val="en-US" w:eastAsia="zh-CN" w:bidi="ar"/>
        </w:rPr>
        <w:t>大气污染物综合排放标准</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w:t>
            </w:r>
          </w:p>
        </w:tc>
        <w:tc>
          <w:tcPr>
            <w:tcW w:w="567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无组织排放监控浓度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颗粒物</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周界外浓度最高点</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1.0mg/m</w:t>
            </w:r>
            <w:r>
              <w:rPr>
                <w:rFonts w:hint="default" w:ascii="Times New Roman" w:hAnsi="Times New Roman" w:cs="Times New Roman"/>
                <w:color w:val="auto"/>
                <w:sz w:val="24"/>
                <w:szCs w:val="24"/>
                <w:highlight w:val="none"/>
                <w:vertAlign w:val="superscript"/>
                <w:lang w:val="en-US" w:eastAsia="zh-CN"/>
              </w:rPr>
              <w:t>3</w:t>
            </w:r>
          </w:p>
        </w:tc>
      </w:tr>
    </w:tbl>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w:t>
      </w:r>
      <w:r>
        <w:rPr>
          <w:rFonts w:hint="eastAsia" w:ascii="Times New Roman" w:hAnsi="Times New Roman" w:eastAsia="宋体"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en-US" w:eastAsia="zh-CN" w:bidi="ar"/>
        </w:rPr>
        <w:t>非道路移动机械用柴油机排气污染物排放限值</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02"/>
        <w:gridCol w:w="2004"/>
        <w:gridCol w:w="1703"/>
        <w:gridCol w:w="1703"/>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阶段</w:t>
            </w:r>
          </w:p>
        </w:tc>
        <w:tc>
          <w:tcPr>
            <w:tcW w:w="20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额定净功率（Pmax）（kW）</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CO（g/kWh）</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HC+NOx（g/kWh）</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PM（g/kWh）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第三阶段</w:t>
            </w:r>
          </w:p>
        </w:tc>
        <w:tc>
          <w:tcPr>
            <w:tcW w:w="20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Pmax＞560</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3.5</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6.4</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0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130≤Pmax≤560</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3.5</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4.0</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0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75≤Pmax＜130</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5.0</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4.0</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0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37≤Pmax＜75</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5.0</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4.7</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0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Pmax＜37</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5.5</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7.5</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0.60</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（2）废水</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①生活污水进入施工营地设置的</w:t>
      </w:r>
      <w:r>
        <w:rPr>
          <w:rFonts w:hint="eastAsia" w:ascii="Times New Roman" w:hAnsi="Times New Roman" w:eastAsia="宋体" w:cs="Times New Roman"/>
          <w:color w:val="auto"/>
          <w:kern w:val="0"/>
          <w:sz w:val="28"/>
          <w:szCs w:val="28"/>
          <w:highlight w:val="none"/>
          <w:lang w:val="en-US" w:eastAsia="zh-CN" w:bidi="ar"/>
        </w:rPr>
        <w:t>生活</w:t>
      </w:r>
      <w:r>
        <w:rPr>
          <w:rFonts w:hint="default" w:ascii="Times New Roman" w:hAnsi="Times New Roman" w:eastAsia="宋体" w:cs="Times New Roman"/>
          <w:color w:val="auto"/>
          <w:kern w:val="0"/>
          <w:sz w:val="28"/>
          <w:szCs w:val="28"/>
          <w:highlight w:val="none"/>
          <w:lang w:val="en-US" w:eastAsia="zh-CN" w:bidi="ar"/>
        </w:rPr>
        <w:t>污水池，施工结束后进行卫生处理，场地进行平整。</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②一般钻井污水</w:t>
      </w:r>
      <w:r>
        <w:rPr>
          <w:rFonts w:hint="default" w:ascii="Times New Roman" w:hAnsi="Times New Roman" w:eastAsia="宋体" w:cs="Times New Roman"/>
          <w:color w:val="auto"/>
          <w:kern w:val="0"/>
          <w:sz w:val="28"/>
          <w:szCs w:val="28"/>
          <w:highlight w:val="none"/>
          <w:lang w:val="en-US" w:eastAsia="zh-CN" w:bidi="ar"/>
        </w:rPr>
        <w:t>由罐车拉运至</w:t>
      </w:r>
      <w:r>
        <w:rPr>
          <w:rFonts w:hint="eastAsia" w:ascii="Times New Roman" w:hAnsi="Times New Roman" w:eastAsia="宋体" w:cs="Times New Roman"/>
          <w:color w:val="auto"/>
          <w:kern w:val="0"/>
          <w:sz w:val="28"/>
          <w:szCs w:val="28"/>
          <w:highlight w:val="none"/>
          <w:lang w:val="en-US" w:eastAsia="zh-CN" w:bidi="ar"/>
        </w:rPr>
        <w:t>黑龙江</w:t>
      </w:r>
      <w:r>
        <w:rPr>
          <w:rFonts w:hint="default" w:ascii="Times New Roman" w:hAnsi="Times New Roman" w:eastAsia="宋体" w:cs="Times New Roman"/>
          <w:color w:val="auto"/>
          <w:kern w:val="0"/>
          <w:sz w:val="28"/>
          <w:szCs w:val="28"/>
          <w:highlight w:val="none"/>
          <w:lang w:val="en-US" w:eastAsia="zh-CN" w:bidi="ar"/>
        </w:rPr>
        <w:t>龙之润五厂处理站处理，处理过程中产生的滤液由罐车送至杏十五一联合站污水处理站处理，满足《大庆油田地面工程建设设计规定》（Q/SYDQ0639-2015）限值要求</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含油量≤20mg/L、悬浮固体含量≤20mg/L</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，回注现役油层。</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③</w:t>
      </w:r>
      <w:r>
        <w:rPr>
          <w:rFonts w:hint="eastAsia" w:ascii="Times New Roman" w:hAnsi="Times New Roman" w:eastAsia="宋体" w:cs="Times New Roman"/>
          <w:color w:val="auto"/>
          <w:kern w:val="0"/>
          <w:sz w:val="28"/>
          <w:szCs w:val="28"/>
          <w:highlight w:val="none"/>
          <w:lang w:val="en-US" w:eastAsia="zh-CN" w:bidi="ar"/>
        </w:rPr>
        <w:t>含油钻井废水拉运至废弃泥浆无害化处理油基泥浆站处理（大庆市云泰石化产品有限公司建设），</w:t>
      </w:r>
      <w:r>
        <w:rPr>
          <w:rFonts w:hint="default" w:ascii="Times New Roman" w:hAnsi="Times New Roman" w:eastAsia="宋体" w:cs="Times New Roman"/>
          <w:color w:val="auto"/>
          <w:kern w:val="0"/>
          <w:sz w:val="28"/>
          <w:szCs w:val="28"/>
          <w:highlight w:val="none"/>
          <w:lang w:val="en-US" w:eastAsia="zh-CN" w:bidi="ar"/>
        </w:rPr>
        <w:t>处理过程中产生的滤液由罐车送至龙一联含油污水站处理</w:t>
      </w:r>
      <w:r>
        <w:rPr>
          <w:rFonts w:hint="eastAsia" w:ascii="Times New Roman" w:hAnsi="Times New Roman" w:eastAsia="宋体" w:cs="Times New Roman"/>
          <w:color w:val="auto"/>
          <w:kern w:val="0"/>
          <w:sz w:val="28"/>
          <w:szCs w:val="28"/>
          <w:highlight w:val="none"/>
          <w:lang w:val="en-US" w:eastAsia="zh-CN" w:bidi="ar"/>
        </w:rPr>
        <w:t>，满足《大庆油田地面工程建设设计规定》（Q/SYDQ0639-2015）限值要求（含油量≤8mg/L、悬浮固体含量≤3mg/L）后</w:t>
      </w:r>
      <w:r>
        <w:rPr>
          <w:rFonts w:hint="default" w:ascii="Times New Roman" w:hAnsi="Times New Roman" w:eastAsia="宋体" w:cs="Times New Roman"/>
          <w:color w:val="auto"/>
          <w:kern w:val="0"/>
          <w:sz w:val="28"/>
          <w:szCs w:val="28"/>
          <w:highlight w:val="none"/>
          <w:lang w:val="en-US" w:eastAsia="zh-CN" w:bidi="ar"/>
        </w:rPr>
        <w:t>回注现役油层</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④压裂返排液由罐车拉运至哈19卸液站处理，满足《大庆油田地面工程建设设计规定》（Q/SYDQ0639-2015）限值要求（含油量≤20mg/L，悬浮固体含量≤20mg/L），回注现役油层。</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zh-CN" w:eastAsia="zh-CN" w:bidi="ar"/>
        </w:rPr>
      </w:pPr>
      <w:r>
        <w:rPr>
          <w:rFonts w:hint="default" w:ascii="Times New Roman" w:hAnsi="Times New Roman" w:eastAsia="宋体" w:cs="Times New Roman"/>
          <w:color w:val="auto"/>
          <w:kern w:val="0"/>
          <w:sz w:val="28"/>
          <w:szCs w:val="28"/>
          <w:highlight w:val="none"/>
          <w:lang w:val="zh-CN" w:eastAsia="zh-CN" w:bidi="ar"/>
        </w:rPr>
        <w:t>⑤试气采出液拉运至升一联气田污水预处理站处理，满足《大庆油田地面工程建设设计规定》（Q/SYDQ0639-2015）限值要求（含油量≤10mg/L，悬浮固体含量≤5mg/L）回注现役油层。</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zh-CN" w:eastAsia="zh-CN" w:bidi="ar"/>
        </w:rPr>
      </w:pPr>
      <w:r>
        <w:rPr>
          <w:rFonts w:hint="default" w:ascii="Times New Roman" w:hAnsi="Times New Roman" w:eastAsia="宋体" w:cs="Times New Roman"/>
          <w:b/>
          <w:bCs/>
          <w:color w:val="auto"/>
          <w:kern w:val="0"/>
          <w:sz w:val="24"/>
          <w:szCs w:val="24"/>
          <w:highlight w:val="none"/>
          <w:lang w:val="zh-CN" w:eastAsia="zh-CN" w:bidi="ar"/>
        </w:rPr>
        <w:t>表</w:t>
      </w:r>
      <w:r>
        <w:rPr>
          <w:rFonts w:hint="eastAsia" w:ascii="Times New Roman" w:hAnsi="Times New Roman" w:eastAsia="宋体" w:cs="Times New Roman"/>
          <w:b/>
          <w:bCs/>
          <w:color w:val="auto"/>
          <w:kern w:val="0"/>
          <w:sz w:val="24"/>
          <w:szCs w:val="24"/>
          <w:highlight w:val="none"/>
          <w:lang w:val="en-US" w:eastAsia="zh-CN" w:bidi="ar"/>
        </w:rPr>
        <w:t>2.4-8</w:t>
      </w:r>
      <w:r>
        <w:rPr>
          <w:rFonts w:hint="default" w:ascii="Times New Roman" w:hAnsi="Times New Roman" w:eastAsia="宋体" w:cs="Times New Roman"/>
          <w:b/>
          <w:bCs/>
          <w:color w:val="auto"/>
          <w:kern w:val="0"/>
          <w:sz w:val="24"/>
          <w:szCs w:val="24"/>
          <w:highlight w:val="none"/>
          <w:lang w:val="en-US" w:eastAsia="zh-CN" w:bidi="ar"/>
        </w:rPr>
        <w:t>回注水</w:t>
      </w:r>
      <w:r>
        <w:rPr>
          <w:rFonts w:hint="default" w:ascii="Times New Roman" w:hAnsi="Times New Roman" w:eastAsia="宋体" w:cs="Times New Roman"/>
          <w:b/>
          <w:bCs/>
          <w:color w:val="auto"/>
          <w:kern w:val="0"/>
          <w:sz w:val="24"/>
          <w:szCs w:val="24"/>
          <w:highlight w:val="none"/>
          <w:lang w:val="zh-CN" w:eastAsia="zh-CN" w:bidi="ar"/>
        </w:rPr>
        <w:t>水质指标</w:t>
      </w:r>
    </w:p>
    <w:tbl>
      <w:tblPr>
        <w:tblStyle w:val="19"/>
        <w:tblW w:w="85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62"/>
        <w:gridCol w:w="2050"/>
        <w:gridCol w:w="2050"/>
        <w:gridCol w:w="2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2" w:type="dxa"/>
            <w:tcBorders>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废液类型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指标</w:t>
            </w:r>
          </w:p>
        </w:tc>
        <w:tc>
          <w:tcPr>
            <w:tcW w:w="6152"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回注水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pH（无量纲）</w:t>
            </w:r>
          </w:p>
        </w:tc>
        <w:tc>
          <w:tcPr>
            <w:tcW w:w="6152"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含油量(mg/L)</w:t>
            </w:r>
          </w:p>
        </w:tc>
        <w:tc>
          <w:tcPr>
            <w:tcW w:w="2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w:t>
            </w:r>
          </w:p>
        </w:tc>
        <w:tc>
          <w:tcPr>
            <w:tcW w:w="2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20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悬浮物(mg/L)</w:t>
            </w:r>
          </w:p>
        </w:tc>
        <w:tc>
          <w:tcPr>
            <w:tcW w:w="2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p>
        </w:tc>
        <w:tc>
          <w:tcPr>
            <w:tcW w:w="20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20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（3）噪声</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施工期噪声执行《建筑施工场界环境噪声排放标准》（GB12523-2011），具体标准值见表2.4-</w:t>
      </w:r>
      <w:r>
        <w:rPr>
          <w:rFonts w:hint="eastAsia" w:ascii="Times New Roman" w:hAnsi="Times New Roman" w:eastAsia="宋体" w:cs="Times New Roman"/>
          <w:color w:val="auto"/>
          <w:kern w:val="0"/>
          <w:sz w:val="28"/>
          <w:szCs w:val="28"/>
          <w:highlight w:val="none"/>
          <w:lang w:val="en-US" w:eastAsia="zh-CN" w:bidi="ar"/>
        </w:rPr>
        <w:t>9</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w:t>
      </w:r>
      <w:r>
        <w:rPr>
          <w:rFonts w:hint="eastAsia" w:ascii="Times New Roman" w:hAnsi="Times New Roman" w:eastAsia="宋体" w:cs="Times New Roman"/>
          <w:b/>
          <w:bCs/>
          <w:color w:val="auto"/>
          <w:kern w:val="0"/>
          <w:sz w:val="24"/>
          <w:szCs w:val="24"/>
          <w:highlight w:val="none"/>
          <w:lang w:val="en-US" w:eastAsia="zh-CN" w:bidi="ar"/>
        </w:rPr>
        <w:t>9</w:t>
      </w:r>
      <w:r>
        <w:rPr>
          <w:rFonts w:hint="default" w:ascii="Times New Roman" w:hAnsi="Times New Roman" w:eastAsia="宋体" w:cs="Times New Roman"/>
          <w:b/>
          <w:bCs/>
          <w:color w:val="auto"/>
          <w:kern w:val="0"/>
          <w:sz w:val="24"/>
          <w:szCs w:val="24"/>
          <w:highlight w:val="none"/>
          <w:lang w:val="en-US" w:eastAsia="zh-CN" w:bidi="ar"/>
        </w:rPr>
        <w:t>建筑施工场界环境噪声排放标准 单位：[dB(A)]</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58"/>
        <w:gridCol w:w="42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258"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昼间</w:t>
            </w:r>
          </w:p>
        </w:tc>
        <w:tc>
          <w:tcPr>
            <w:tcW w:w="4258"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258"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70</w:t>
            </w:r>
          </w:p>
        </w:tc>
        <w:tc>
          <w:tcPr>
            <w:tcW w:w="4258"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55</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（4）固体废物</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①</w:t>
      </w:r>
      <w:r>
        <w:rPr>
          <w:rFonts w:hint="default" w:ascii="Times New Roman" w:hAnsi="Times New Roman" w:eastAsia="宋体" w:cs="Times New Roman"/>
          <w:color w:val="auto"/>
          <w:kern w:val="0"/>
          <w:sz w:val="28"/>
          <w:szCs w:val="28"/>
          <w:highlight w:val="none"/>
          <w:lang w:val="en-US" w:eastAsia="zh-CN" w:bidi="ar"/>
        </w:rPr>
        <w:t>施工期产生的生活垃圾执行《城市生活垃圾管理办法》（中华人民共和国建设部令第157号令）中的相关规定。</w:t>
      </w:r>
    </w:p>
    <w:p>
      <w:pPr>
        <w:ind w:firstLine="560" w:firstLineChars="200"/>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②本项目施工期产生的固体废物执行《一般工业固体废物贮存和填埋污染控制标准》（GB18599-2020）。施工期产生危险废物执行《危险废物贮存污染控制标准》（GB18597-2001）及其修改单标准要求。</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③岩屑、废弃钻井液及废射孔液无害化处理后，废渣执行执行《废弃钻井液处理规范》（DB23/T693-2000）和《一般工业固体废物贮存和填埋污染控制标准》（GB18599-2020）标准要求。</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w:t>
      </w:r>
      <w:r>
        <w:rPr>
          <w:rFonts w:hint="eastAsia" w:ascii="Times New Roman" w:hAnsi="Times New Roman" w:eastAsia="宋体" w:cs="Times New Roman"/>
          <w:b/>
          <w:bCs/>
          <w:color w:val="auto"/>
          <w:kern w:val="0"/>
          <w:sz w:val="24"/>
          <w:szCs w:val="24"/>
          <w:highlight w:val="none"/>
          <w:lang w:val="en-US" w:eastAsia="zh-CN" w:bidi="ar"/>
        </w:rPr>
        <w:t>10</w:t>
      </w:r>
      <w:r>
        <w:rPr>
          <w:rFonts w:hint="default" w:ascii="Times New Roman" w:hAnsi="Times New Roman" w:eastAsia="宋体" w:cs="Times New Roman"/>
          <w:b/>
          <w:bCs/>
          <w:color w:val="auto"/>
          <w:kern w:val="0"/>
          <w:sz w:val="24"/>
          <w:szCs w:val="24"/>
          <w:highlight w:val="none"/>
          <w:lang w:val="en-US" w:eastAsia="zh-CN" w:bidi="ar"/>
        </w:rPr>
        <w:t>固相主要控制</w:t>
      </w:r>
      <w:r>
        <w:rPr>
          <w:rFonts w:hint="eastAsia" w:ascii="Times New Roman" w:hAnsi="Times New Roman" w:eastAsia="宋体" w:cs="Times New Roman"/>
          <w:b/>
          <w:bCs/>
          <w:color w:val="auto"/>
          <w:kern w:val="0"/>
          <w:sz w:val="24"/>
          <w:szCs w:val="24"/>
          <w:highlight w:val="none"/>
          <w:lang w:val="en-US" w:eastAsia="zh-CN" w:bidi="ar"/>
        </w:rPr>
        <w:t>指标</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86"/>
        <w:gridCol w:w="4215"/>
        <w:gridCol w:w="28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42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项目</w:t>
            </w:r>
          </w:p>
        </w:tc>
        <w:tc>
          <w:tcPr>
            <w:tcW w:w="28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4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42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有机质含量</w:t>
            </w:r>
          </w:p>
        </w:tc>
        <w:tc>
          <w:tcPr>
            <w:tcW w:w="28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42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水溶性盐含量</w:t>
            </w:r>
          </w:p>
        </w:tc>
        <w:tc>
          <w:tcPr>
            <w:tcW w:w="28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r>
    </w:tbl>
    <w:p>
      <w:pPr>
        <w:keepNext w:val="0"/>
        <w:keepLines w:val="0"/>
        <w:widowControl/>
        <w:suppressLineNumbers w:val="0"/>
        <w:spacing w:line="360" w:lineRule="auto"/>
        <w:jc w:val="both"/>
        <w:rPr>
          <w:rFonts w:hint="default" w:ascii="Times New Roman" w:hAnsi="Times New Roman" w:eastAsia="宋体" w:cs="Times New Roman"/>
          <w:b/>
          <w:bCs/>
          <w:color w:val="auto"/>
          <w:kern w:val="0"/>
          <w:sz w:val="30"/>
          <w:szCs w:val="30"/>
          <w:highlight w:val="none"/>
          <w:lang w:val="en-US" w:eastAsia="zh-CN" w:bidi="ar"/>
        </w:rPr>
      </w:pPr>
      <w:r>
        <w:rPr>
          <w:rFonts w:hint="default" w:ascii="Times New Roman" w:hAnsi="Times New Roman" w:eastAsia="宋体" w:cs="Times New Roman"/>
          <w:b/>
          <w:bCs/>
          <w:color w:val="auto"/>
          <w:kern w:val="0"/>
          <w:sz w:val="30"/>
          <w:szCs w:val="30"/>
          <w:highlight w:val="none"/>
          <w:lang w:val="en-US" w:eastAsia="zh-CN" w:bidi="ar"/>
        </w:rPr>
        <w:t>2.5评价工作等级</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2.5.1大气环境</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对本项目的性质和环境要素分析可知，本项目产生的大气污染源主要为施工现场和运输车辆产生的扬尘、柴油发电机燃烧烟气及气井试气天然气燃烧烟气，其污染随着施工的结束随即消失，对周围空气环境影响较小。本项目仅为钻井工程，不存在运营期，单井钻井周期短，由此判定本次评价不涉及大气评价等级。</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2.5.2地表水环境</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本项目产生的生活污水进入施工营地设置的</w:t>
      </w:r>
      <w:r>
        <w:rPr>
          <w:rFonts w:hint="eastAsia" w:ascii="Times New Roman" w:hAnsi="Times New Roman" w:eastAsia="宋体" w:cs="Times New Roman"/>
          <w:color w:val="auto"/>
          <w:kern w:val="0"/>
          <w:sz w:val="28"/>
          <w:szCs w:val="28"/>
          <w:highlight w:val="none"/>
          <w:lang w:val="en-US" w:eastAsia="zh-CN" w:bidi="ar"/>
        </w:rPr>
        <w:t>生活</w:t>
      </w:r>
      <w:r>
        <w:rPr>
          <w:rFonts w:hint="default" w:ascii="Times New Roman" w:hAnsi="Times New Roman" w:eastAsia="宋体" w:cs="Times New Roman"/>
          <w:color w:val="auto"/>
          <w:kern w:val="0"/>
          <w:sz w:val="28"/>
          <w:szCs w:val="28"/>
          <w:highlight w:val="none"/>
          <w:lang w:val="en-US" w:eastAsia="zh-CN" w:bidi="ar"/>
        </w:rPr>
        <w:t>污水池，施工结束后进行卫生处理，场地进行平整。</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本项目产生的钻井废水、压裂返排液及试气采出液分别拉运至其他单位进行处置，均不外排。</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根据《环境影响评价技术导则 地表水环境》（HJ2.3-2018）中水污染型建设项目评价等级判定，本项目地表水评价等级为三级B。</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2.5.3地下水环境</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划分依据</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1）项目类别</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根据地下水导则附录A中地下水环境影响评价行业分类表中规定，本项目属于天然气开采类，地下水环境影响评价项目类别为II类项目。</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2）地下水环境敏感程度</w:t>
      </w:r>
    </w:p>
    <w:p>
      <w:pPr>
        <w:keepNext w:val="0"/>
        <w:keepLines w:val="0"/>
        <w:widowControl/>
        <w:suppressLineNumbers w:val="0"/>
        <w:spacing w:line="360" w:lineRule="auto"/>
        <w:ind w:firstLine="280" w:firstLineChars="1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建设项目的地下水环境敏感程度可分为敏感、较敏感、不敏感三级，分级原则见下表。</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2.5-1地下水环境敏感程度分级表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14"/>
        <w:gridCol w:w="68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敏感程度</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地下水环境敏感特征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敏感</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较敏感</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不敏感</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2"/>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环境敏感区</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是指《建设项目环境影响评价分类管理名录》中界定涉及地下水的环境敏感区</w:t>
            </w:r>
          </w:p>
        </w:tc>
      </w:tr>
    </w:tbl>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根据现场调查及资料收集，</w:t>
      </w:r>
      <w:r>
        <w:rPr>
          <w:rFonts w:hint="eastAsia" w:ascii="Times New Roman" w:hAnsi="Times New Roman" w:eastAsia="宋体" w:cs="Times New Roman"/>
          <w:color w:val="auto"/>
          <w:kern w:val="0"/>
          <w:sz w:val="28"/>
          <w:szCs w:val="28"/>
          <w:highlight w:val="none"/>
          <w:lang w:val="en-US" w:eastAsia="zh-CN" w:bidi="ar"/>
        </w:rPr>
        <w:t>本项目新建气井周围分布有多个村屯，各村屯生活用水以取用地下水为主，以村为单位建有分散式饮用水水源，管线供水，供本村使用，供水人数均小于1000人，属于分散式供水水源地。</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部分村屯居民家中自建机井，部分已废弃，在用自建机井的多用于灌溉，小部分用于临时饮用水取水水源，属分散式饮用水水源地。同时根据《黑龙江省人民政府关于调整撤销新建哈尔滨等11个地市384个集中式饮用水水源保护区》（黑政函〔2019〕118号）和《黑龙江省人民政府关于调整撤销新建哈尔滨市等市（地）197个集中式饮用水水源保护区》（黑政函〔2020〕97号）可知，项目所在区域及附近村屯未划定保护区，属于分散式水源地。</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根据《优化评价内容 严控新增污染-&lt;环境影响评价技术导则 地下水环境&gt;解读》（梁鹏，环境保护部环境工程评估中心，2016.7），结合《饮用水水源保护区划分技术规范》，对于分散式联村饮用水源，以井口为中心，半径50m为界，地下水质点运移2000天对应距离划定为较敏感区，并将较敏感区外界定为不敏感区。</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根据地下水导则地下水扩散公式：</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L=α×K×I×T/ne</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式中：L-下游迁移距离，m；</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α-变化系数，α≥1，一般取2；</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K-渗透系数，m/d；</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I-水力坡度；</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T-质点迁移天数；</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ne-有效孔隙度，量纲为1。</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根据项目所在区域的水文地质资料</w:t>
      </w:r>
      <w:r>
        <w:rPr>
          <w:rFonts w:hint="eastAsia" w:ascii="Times New Roman" w:hAnsi="Times New Roman" w:eastAsia="宋体" w:cs="Times New Roman"/>
          <w:color w:val="auto"/>
          <w:kern w:val="0"/>
          <w:sz w:val="28"/>
          <w:szCs w:val="28"/>
          <w:highlight w:val="none"/>
          <w:lang w:val="en-US" w:eastAsia="zh-CN" w:bidi="ar"/>
        </w:rPr>
        <w:t>及气田内已建工程环评报告水文地质资料，</w:t>
      </w:r>
      <w:r>
        <w:rPr>
          <w:rFonts w:hint="default" w:ascii="Times New Roman" w:hAnsi="Times New Roman" w:eastAsia="宋体" w:cs="Times New Roman"/>
          <w:color w:val="auto"/>
          <w:kern w:val="0"/>
          <w:sz w:val="28"/>
          <w:szCs w:val="28"/>
          <w:highlight w:val="none"/>
          <w:lang w:val="en-US" w:eastAsia="zh-CN" w:bidi="ar"/>
        </w:rPr>
        <w:t>潜水含水层各参数值确定如下：α=2，K=0.05m/d，I=0.0012，T=2000，ne=0.342；潜水较敏感区：L=α×K×I×T/ne+50=50.7m</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计算结果表明，该区域潜水51m以外区域属于</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不敏感</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区域。根据现场调查，距离本项目新建井场最近的敏感目标为李家窝棚地下水井，位于拟建肇深19-3平3井</w:t>
      </w:r>
      <w:r>
        <w:rPr>
          <w:rFonts w:hint="eastAsia" w:ascii="Times New Roman" w:hAnsi="Times New Roman" w:eastAsia="宋体" w:cs="Times New Roman"/>
          <w:color w:val="auto"/>
          <w:kern w:val="0"/>
          <w:sz w:val="28"/>
          <w:szCs w:val="28"/>
          <w:highlight w:val="none"/>
          <w:lang w:val="en-US" w:eastAsia="zh-CN" w:bidi="ar"/>
        </w:rPr>
        <w:t>西</w:t>
      </w:r>
      <w:r>
        <w:rPr>
          <w:rFonts w:hint="default" w:ascii="Times New Roman" w:hAnsi="Times New Roman" w:eastAsia="宋体" w:cs="Times New Roman"/>
          <w:color w:val="auto"/>
          <w:kern w:val="0"/>
          <w:sz w:val="28"/>
          <w:szCs w:val="28"/>
          <w:highlight w:val="none"/>
          <w:lang w:val="en-US" w:eastAsia="zh-CN" w:bidi="ar"/>
        </w:rPr>
        <w:t>北侧，相对距离</w:t>
      </w:r>
      <w:r>
        <w:rPr>
          <w:rFonts w:hint="eastAsia" w:ascii="Times New Roman" w:hAnsi="Times New Roman" w:eastAsia="宋体" w:cs="Times New Roman"/>
          <w:color w:val="auto"/>
          <w:kern w:val="0"/>
          <w:sz w:val="28"/>
          <w:szCs w:val="28"/>
          <w:highlight w:val="none"/>
          <w:lang w:val="en-US" w:eastAsia="zh-CN" w:bidi="ar"/>
        </w:rPr>
        <w:t>276</w:t>
      </w:r>
      <w:r>
        <w:rPr>
          <w:rFonts w:hint="default" w:ascii="Times New Roman" w:hAnsi="Times New Roman" w:eastAsia="宋体" w:cs="Times New Roman"/>
          <w:color w:val="auto"/>
          <w:kern w:val="0"/>
          <w:sz w:val="28"/>
          <w:szCs w:val="28"/>
          <w:highlight w:val="none"/>
          <w:lang w:val="en-US" w:eastAsia="zh-CN" w:bidi="ar"/>
        </w:rPr>
        <w:t>m。本项目地下水环境敏感程度为不敏感。</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drawing>
          <wp:inline distT="0" distB="0" distL="114300" distR="114300">
            <wp:extent cx="5263515" cy="2260600"/>
            <wp:effectExtent l="0" t="0" r="13335" b="6350"/>
            <wp:docPr id="8" name="图片 17" descr="地下水判定依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地下水判定依据"/>
                    <pic:cNvPicPr>
                      <a:picLocks noChangeAspect="1"/>
                    </pic:cNvPicPr>
                  </pic:nvPicPr>
                  <pic:blipFill>
                    <a:blip r:embed="rId9"/>
                    <a:stretch>
                      <a:fillRect/>
                    </a:stretch>
                  </pic:blipFill>
                  <pic:spPr>
                    <a:xfrm>
                      <a:off x="0" y="0"/>
                      <a:ext cx="5263515" cy="2260600"/>
                    </a:xfrm>
                    <a:prstGeom prst="rect">
                      <a:avLst/>
                    </a:prstGeom>
                    <a:noFill/>
                    <a:ln>
                      <a:noFill/>
                    </a:ln>
                  </pic:spPr>
                </pic:pic>
              </a:graphicData>
            </a:graphic>
          </wp:inline>
        </w:drawing>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图2.5-1 地下水判定依据</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地下水评价工作等级</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依据表2.5-</w:t>
      </w: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的地下水评价等级划分原则，本项目为II类项目，地下水环境敏感程度为不敏感，地下水评价工作等级为三级。</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表2.5-</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评价工作级分级表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项目类别</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环境敏感程度</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I类项目</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Ⅱ类项目</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Ⅲ类项目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敏感</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较敏感</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不敏感</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2.5.4声环境</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根据《环境影响评价技术导则 声环境》（HJ2.4-2021）中规定的声环境影响评价工作等级划分的基本原则，将声环境影响评价工作分为一、二、三级。</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w:t>
      </w:r>
      <w:r>
        <w:rPr>
          <w:rFonts w:hint="default" w:ascii="Times New Roman" w:hAnsi="Times New Roman" w:eastAsia="宋体" w:cs="Times New Roman"/>
          <w:color w:val="auto"/>
          <w:kern w:val="0"/>
          <w:sz w:val="28"/>
          <w:szCs w:val="28"/>
          <w:highlight w:val="none"/>
          <w:lang w:val="en-US" w:eastAsia="zh-CN" w:bidi="ar"/>
        </w:rPr>
        <w:t>所在区域声环境执行2类标准，项目附近村屯声环境功能区为1类</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本项目仅为天然气开采前期钻井工程，不涉及运行期，仅有施工期</w:t>
      </w:r>
      <w:r>
        <w:rPr>
          <w:rFonts w:hint="default" w:ascii="Times New Roman" w:hAnsi="Times New Roman" w:eastAsia="宋体" w:cs="Times New Roman"/>
          <w:color w:val="auto"/>
          <w:kern w:val="0"/>
          <w:sz w:val="28"/>
          <w:szCs w:val="28"/>
          <w:highlight w:val="none"/>
          <w:lang w:val="en-US" w:eastAsia="zh-CN" w:bidi="ar"/>
        </w:rPr>
        <w:t>，施工结束后，噪声随即消失</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距离本项目新建井场最近的声环境保护目标为李</w:t>
      </w:r>
      <w:r>
        <w:rPr>
          <w:rFonts w:hint="eastAsia" w:ascii="Times New Roman" w:hAnsi="Times New Roman" w:eastAsia="宋体" w:cs="Times New Roman"/>
          <w:color w:val="auto"/>
          <w:kern w:val="0"/>
          <w:sz w:val="28"/>
          <w:szCs w:val="28"/>
          <w:highlight w:val="none"/>
          <w:lang w:val="en-US" w:eastAsia="zh-CN" w:bidi="ar"/>
        </w:rPr>
        <w:t>珍</w:t>
      </w:r>
      <w:r>
        <w:rPr>
          <w:rFonts w:hint="default" w:ascii="Times New Roman" w:hAnsi="Times New Roman" w:eastAsia="宋体" w:cs="Times New Roman"/>
          <w:color w:val="auto"/>
          <w:kern w:val="0"/>
          <w:sz w:val="28"/>
          <w:szCs w:val="28"/>
          <w:highlight w:val="none"/>
          <w:lang w:val="en-US" w:eastAsia="zh-CN" w:bidi="ar"/>
        </w:rPr>
        <w:t>窝棚，位于肇深19-平3井北侧，相对距离为2</w:t>
      </w:r>
      <w:r>
        <w:rPr>
          <w:rFonts w:hint="eastAsia" w:ascii="Times New Roman" w:hAnsi="Times New Roman" w:eastAsia="宋体" w:cs="Times New Roman"/>
          <w:color w:val="auto"/>
          <w:kern w:val="0"/>
          <w:sz w:val="28"/>
          <w:szCs w:val="28"/>
          <w:highlight w:val="none"/>
          <w:lang w:val="en-US" w:eastAsia="zh-CN" w:bidi="ar"/>
        </w:rPr>
        <w:t>76</w:t>
      </w:r>
      <w:r>
        <w:rPr>
          <w:rFonts w:hint="default"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项目建设后</w:t>
      </w:r>
      <w:r>
        <w:rPr>
          <w:rFonts w:hint="default" w:ascii="Times New Roman" w:hAnsi="Times New Roman" w:eastAsia="宋体" w:cs="Times New Roman"/>
          <w:color w:val="auto"/>
          <w:kern w:val="0"/>
          <w:sz w:val="28"/>
          <w:szCs w:val="28"/>
          <w:highlight w:val="none"/>
          <w:lang w:val="en-US" w:eastAsia="zh-CN" w:bidi="ar"/>
        </w:rPr>
        <w:t>评价范围内声环境保护目标声级增量在</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dB(A)以下。</w:t>
      </w:r>
      <w:r>
        <w:rPr>
          <w:rFonts w:hint="eastAsia" w:ascii="Times New Roman" w:hAnsi="Times New Roman" w:eastAsia="宋体" w:cs="Times New Roman"/>
          <w:color w:val="auto"/>
          <w:kern w:val="0"/>
          <w:sz w:val="28"/>
          <w:szCs w:val="28"/>
          <w:highlight w:val="none"/>
          <w:lang w:val="en-US" w:eastAsia="zh-CN" w:bidi="ar"/>
        </w:rPr>
        <w:t>根据评级等级5.1.5内容规定，本项目建设</w:t>
      </w:r>
      <w:r>
        <w:rPr>
          <w:rFonts w:hint="default" w:ascii="Times New Roman" w:hAnsi="Times New Roman" w:eastAsia="宋体" w:cs="Times New Roman"/>
          <w:color w:val="auto"/>
          <w:kern w:val="0"/>
          <w:sz w:val="28"/>
          <w:szCs w:val="28"/>
          <w:highlight w:val="none"/>
          <w:lang w:val="en-US" w:eastAsia="zh-CN" w:bidi="ar"/>
        </w:rPr>
        <w:t>符合二级、三级划分原则，按较高等级评价，确定项目声环境影响评价工作等级为二级。</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2.5.5生态</w:t>
      </w:r>
      <w:r>
        <w:rPr>
          <w:rFonts w:hint="eastAsia" w:ascii="Times New Roman" w:hAnsi="Times New Roman" w:eastAsia="宋体" w:cs="Times New Roman"/>
          <w:color w:val="auto"/>
          <w:kern w:val="0"/>
          <w:sz w:val="28"/>
          <w:szCs w:val="28"/>
          <w:highlight w:val="none"/>
          <w:lang w:val="en-US" w:eastAsia="zh-CN" w:bidi="ar"/>
        </w:rPr>
        <w:t>环境</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w:t>
      </w:r>
      <w:r>
        <w:rPr>
          <w:rFonts w:hint="default" w:ascii="Times New Roman" w:hAnsi="Times New Roman" w:eastAsia="宋体" w:cs="Times New Roman"/>
          <w:color w:val="auto"/>
          <w:kern w:val="0"/>
          <w:sz w:val="28"/>
          <w:szCs w:val="28"/>
          <w:highlight w:val="none"/>
          <w:lang w:val="en-US" w:eastAsia="zh-CN" w:bidi="ar"/>
        </w:rPr>
        <w:t>《环境影响评价技术导则 生态影响》（HJ19-2022）</w:t>
      </w:r>
      <w:r>
        <w:rPr>
          <w:rFonts w:hint="eastAsia" w:ascii="Times New Roman" w:hAnsi="Times New Roman" w:eastAsia="宋体" w:cs="Times New Roman"/>
          <w:color w:val="auto"/>
          <w:kern w:val="0"/>
          <w:sz w:val="28"/>
          <w:szCs w:val="28"/>
          <w:highlight w:val="none"/>
          <w:lang w:val="en-US" w:eastAsia="zh-CN" w:bidi="ar"/>
        </w:rPr>
        <w:t>依据建设项目影响区域的生态敏感性和影响程度，将建设项目评价等级划分为一级、二级和三级。</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a）</w:t>
      </w:r>
      <w:r>
        <w:rPr>
          <w:rFonts w:hint="default" w:ascii="Times New Roman" w:hAnsi="Times New Roman" w:eastAsia="宋体" w:cs="Times New Roman"/>
          <w:color w:val="auto"/>
          <w:kern w:val="0"/>
          <w:sz w:val="28"/>
          <w:szCs w:val="28"/>
          <w:highlight w:val="none"/>
          <w:lang w:val="en-US" w:eastAsia="zh-CN" w:bidi="ar"/>
        </w:rPr>
        <w:t>涉及国家公园、自然保护区、世界</w:t>
      </w:r>
      <w:r>
        <w:rPr>
          <w:rFonts w:hint="eastAsia" w:ascii="Times New Roman" w:hAnsi="Times New Roman" w:eastAsia="宋体" w:cs="Times New Roman"/>
          <w:color w:val="auto"/>
          <w:kern w:val="0"/>
          <w:sz w:val="28"/>
          <w:szCs w:val="28"/>
          <w:highlight w:val="none"/>
          <w:lang w:val="en-US" w:eastAsia="zh-CN" w:bidi="ar"/>
        </w:rPr>
        <w:t>自</w:t>
      </w:r>
      <w:r>
        <w:rPr>
          <w:rFonts w:hint="default" w:ascii="Times New Roman" w:hAnsi="Times New Roman" w:eastAsia="宋体" w:cs="Times New Roman"/>
          <w:color w:val="auto"/>
          <w:kern w:val="0"/>
          <w:sz w:val="28"/>
          <w:szCs w:val="28"/>
          <w:highlight w:val="none"/>
          <w:lang w:val="en-US" w:eastAsia="zh-CN" w:bidi="ar"/>
        </w:rPr>
        <w:t>然遗产、重要生境时，评价等级为一级</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b）</w:t>
      </w:r>
      <w:r>
        <w:rPr>
          <w:rFonts w:hint="default" w:ascii="Times New Roman" w:hAnsi="Times New Roman" w:eastAsia="宋体" w:cs="Times New Roman"/>
          <w:color w:val="auto"/>
          <w:kern w:val="0"/>
          <w:sz w:val="28"/>
          <w:szCs w:val="28"/>
          <w:highlight w:val="none"/>
          <w:lang w:val="en-US" w:eastAsia="zh-CN" w:bidi="ar"/>
        </w:rPr>
        <w:t>涉及自然公园时，评价等级为二级</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c）</w:t>
      </w:r>
      <w:r>
        <w:rPr>
          <w:rFonts w:hint="default" w:ascii="Times New Roman" w:hAnsi="Times New Roman" w:eastAsia="宋体" w:cs="Times New Roman"/>
          <w:color w:val="auto"/>
          <w:kern w:val="0"/>
          <w:sz w:val="28"/>
          <w:szCs w:val="28"/>
          <w:highlight w:val="none"/>
          <w:lang w:val="en-US" w:eastAsia="zh-CN" w:bidi="ar"/>
        </w:rPr>
        <w:t>涉及生态保护红线时，评价等级不低于二级</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d）</w:t>
      </w:r>
      <w:r>
        <w:rPr>
          <w:rFonts w:hint="default" w:ascii="Times New Roman" w:hAnsi="Times New Roman" w:eastAsia="宋体" w:cs="Times New Roman"/>
          <w:color w:val="auto"/>
          <w:kern w:val="0"/>
          <w:sz w:val="28"/>
          <w:szCs w:val="28"/>
          <w:highlight w:val="none"/>
          <w:lang w:val="en-US" w:eastAsia="zh-CN" w:bidi="ar"/>
        </w:rPr>
        <w:t>根据HJ2.3判断属于水文要素影响型且地表水评价等级不低于二级的建设项目，生态影响评价等级不低于二级；</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e）</w:t>
      </w:r>
      <w:r>
        <w:rPr>
          <w:rFonts w:hint="default" w:ascii="Times New Roman" w:hAnsi="Times New Roman" w:eastAsia="宋体" w:cs="Times New Roman"/>
          <w:color w:val="auto"/>
          <w:kern w:val="0"/>
          <w:sz w:val="28"/>
          <w:szCs w:val="28"/>
          <w:highlight w:val="none"/>
          <w:lang w:val="en-US" w:eastAsia="zh-CN" w:bidi="ar"/>
        </w:rPr>
        <w:t>根据HJ610、HJ964判断地下水水位或土壤影响范围内分布有天然林、公益林、湿地等生态保护目标的建设项目，生态影响评价等级不低于二级</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f）</w:t>
      </w:r>
      <w:r>
        <w:rPr>
          <w:rFonts w:hint="default" w:ascii="Times New Roman" w:hAnsi="Times New Roman" w:eastAsia="宋体" w:cs="Times New Roman"/>
          <w:color w:val="auto"/>
          <w:kern w:val="0"/>
          <w:sz w:val="28"/>
          <w:szCs w:val="28"/>
          <w:highlight w:val="none"/>
          <w:lang w:val="en-US" w:eastAsia="zh-CN" w:bidi="ar"/>
        </w:rPr>
        <w:t>当工程占地规模大于20km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时</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包括永久和临时占用陆域和水域</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，评价等级不低于二级；改扩建项目的占地范围以新增占地</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包括陆域和水域</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确定</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g）</w:t>
      </w:r>
      <w:r>
        <w:rPr>
          <w:rFonts w:hint="default" w:ascii="Times New Roman" w:hAnsi="Times New Roman" w:eastAsia="宋体" w:cs="Times New Roman"/>
          <w:color w:val="auto"/>
          <w:kern w:val="0"/>
          <w:sz w:val="28"/>
          <w:szCs w:val="28"/>
          <w:highlight w:val="none"/>
          <w:lang w:val="en-US" w:eastAsia="zh-CN" w:bidi="ar"/>
        </w:rPr>
        <w:t>除本条</w:t>
      </w:r>
      <w:r>
        <w:rPr>
          <w:rFonts w:hint="eastAsia" w:ascii="Times New Roman" w:hAnsi="Times New Roman" w:eastAsia="宋体" w:cs="Times New Roman"/>
          <w:color w:val="auto"/>
          <w:kern w:val="0"/>
          <w:sz w:val="28"/>
          <w:szCs w:val="28"/>
          <w:highlight w:val="none"/>
          <w:lang w:val="en-US" w:eastAsia="zh-CN" w:bidi="ar"/>
        </w:rPr>
        <w:t>a）、b）、c）、d）、e）、f）</w:t>
      </w:r>
      <w:r>
        <w:rPr>
          <w:rFonts w:hint="default" w:ascii="Times New Roman" w:hAnsi="Times New Roman" w:eastAsia="宋体" w:cs="Times New Roman"/>
          <w:color w:val="auto"/>
          <w:kern w:val="0"/>
          <w:sz w:val="28"/>
          <w:szCs w:val="28"/>
          <w:highlight w:val="none"/>
          <w:lang w:val="en-US" w:eastAsia="zh-CN" w:bidi="ar"/>
        </w:rPr>
        <w:t>以外的情况，评价等级为三级；</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h）</w:t>
      </w:r>
      <w:r>
        <w:rPr>
          <w:rFonts w:hint="default" w:ascii="Times New Roman" w:hAnsi="Times New Roman" w:eastAsia="宋体" w:cs="Times New Roman"/>
          <w:color w:val="auto"/>
          <w:kern w:val="0"/>
          <w:sz w:val="28"/>
          <w:szCs w:val="28"/>
          <w:highlight w:val="none"/>
          <w:lang w:val="en-US" w:eastAsia="zh-CN" w:bidi="ar"/>
        </w:rPr>
        <w:t>当评价等级判定同时符合上述多种情况时，应采用其中最高的评价等级。</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位于大庆市肇州县双发乡境内，项目所在区域生态环境为基本农田，属于环境敏感区，主要农作物为玉米；根据现场实际勘查，区域内野生植物主要为芦苇、三棱草、蒲草等，野生动物主要为田小型鼠类、麻雀、家燕，对照《中国生物多样性红色名录》、国家级省政府动植物保护名录，本项目所在区域均无植物及动物重要物种。项目所在区域不属于国家公园、</w:t>
      </w:r>
      <w:r>
        <w:rPr>
          <w:rFonts w:hint="default" w:ascii="Times New Roman" w:hAnsi="Times New Roman" w:eastAsia="宋体" w:cs="Times New Roman"/>
          <w:color w:val="auto"/>
          <w:kern w:val="0"/>
          <w:sz w:val="28"/>
          <w:szCs w:val="28"/>
          <w:highlight w:val="none"/>
          <w:lang w:val="en-US" w:eastAsia="zh-CN" w:bidi="ar"/>
        </w:rPr>
        <w:t>自然保护区</w:t>
      </w:r>
      <w:r>
        <w:rPr>
          <w:rFonts w:hint="eastAsia" w:ascii="Times New Roman" w:hAnsi="Times New Roman" w:eastAsia="宋体" w:cs="Times New Roman"/>
          <w:color w:val="auto"/>
          <w:kern w:val="0"/>
          <w:sz w:val="28"/>
          <w:szCs w:val="28"/>
          <w:highlight w:val="none"/>
          <w:lang w:val="en-US" w:eastAsia="zh-CN" w:bidi="ar"/>
        </w:rPr>
        <w:t>、自然公园、</w:t>
      </w:r>
      <w:r>
        <w:rPr>
          <w:rFonts w:hint="default" w:ascii="Times New Roman" w:hAnsi="Times New Roman" w:eastAsia="宋体" w:cs="Times New Roman"/>
          <w:color w:val="auto"/>
          <w:kern w:val="0"/>
          <w:sz w:val="28"/>
          <w:szCs w:val="28"/>
          <w:highlight w:val="none"/>
          <w:lang w:val="en-US" w:eastAsia="zh-CN" w:bidi="ar"/>
        </w:rPr>
        <w:t>世界</w:t>
      </w:r>
      <w:r>
        <w:rPr>
          <w:rFonts w:hint="eastAsia" w:ascii="Times New Roman" w:hAnsi="Times New Roman" w:eastAsia="宋体" w:cs="Times New Roman"/>
          <w:color w:val="auto"/>
          <w:kern w:val="0"/>
          <w:sz w:val="28"/>
          <w:szCs w:val="28"/>
          <w:highlight w:val="none"/>
          <w:lang w:val="en-US" w:eastAsia="zh-CN" w:bidi="ar"/>
        </w:rPr>
        <w:t>自</w:t>
      </w:r>
      <w:r>
        <w:rPr>
          <w:rFonts w:hint="default" w:ascii="Times New Roman" w:hAnsi="Times New Roman" w:eastAsia="宋体" w:cs="Times New Roman"/>
          <w:color w:val="auto"/>
          <w:kern w:val="0"/>
          <w:sz w:val="28"/>
          <w:szCs w:val="28"/>
          <w:highlight w:val="none"/>
          <w:lang w:val="en-US" w:eastAsia="zh-CN" w:bidi="ar"/>
        </w:rPr>
        <w:t>然遗产</w:t>
      </w:r>
      <w:r>
        <w:rPr>
          <w:rFonts w:hint="eastAsia" w:ascii="Times New Roman" w:hAnsi="Times New Roman" w:eastAsia="宋体" w:cs="Times New Roman"/>
          <w:color w:val="auto"/>
          <w:kern w:val="0"/>
          <w:sz w:val="28"/>
          <w:szCs w:val="28"/>
          <w:highlight w:val="none"/>
          <w:lang w:val="en-US" w:eastAsia="zh-CN" w:bidi="ar"/>
        </w:rPr>
        <w:t>及</w:t>
      </w:r>
      <w:r>
        <w:rPr>
          <w:rFonts w:hint="default" w:ascii="Times New Roman" w:hAnsi="Times New Roman" w:eastAsia="宋体" w:cs="Times New Roman"/>
          <w:color w:val="auto"/>
          <w:kern w:val="0"/>
          <w:sz w:val="28"/>
          <w:szCs w:val="28"/>
          <w:highlight w:val="none"/>
          <w:lang w:val="en-US" w:eastAsia="zh-CN" w:bidi="ar"/>
        </w:rPr>
        <w:t>重要生境</w:t>
      </w:r>
      <w:r>
        <w:rPr>
          <w:rFonts w:hint="eastAsia" w:ascii="Times New Roman" w:hAnsi="Times New Roman" w:eastAsia="宋体" w:cs="Times New Roman"/>
          <w:color w:val="auto"/>
          <w:kern w:val="0"/>
          <w:sz w:val="28"/>
          <w:szCs w:val="28"/>
          <w:highlight w:val="none"/>
          <w:lang w:val="en-US" w:eastAsia="zh-CN" w:bidi="ar"/>
        </w:rPr>
        <w:t>，不位于生态红线内，地表水评价等级为三级B；区域附近无</w:t>
      </w:r>
      <w:r>
        <w:rPr>
          <w:rFonts w:hint="default" w:ascii="Times New Roman" w:hAnsi="Times New Roman" w:eastAsia="宋体" w:cs="Times New Roman"/>
          <w:color w:val="auto"/>
          <w:kern w:val="0"/>
          <w:sz w:val="28"/>
          <w:szCs w:val="28"/>
          <w:highlight w:val="none"/>
          <w:lang w:val="en-US" w:eastAsia="zh-CN" w:bidi="ar"/>
        </w:rPr>
        <w:t>天然林、公益林</w:t>
      </w:r>
      <w:r>
        <w:rPr>
          <w:rFonts w:hint="eastAsia" w:ascii="Times New Roman" w:hAnsi="Times New Roman" w:eastAsia="宋体" w:cs="Times New Roman"/>
          <w:color w:val="auto"/>
          <w:kern w:val="0"/>
          <w:sz w:val="28"/>
          <w:szCs w:val="28"/>
          <w:highlight w:val="none"/>
          <w:lang w:val="en-US" w:eastAsia="zh-CN" w:bidi="ar"/>
        </w:rPr>
        <w:t>及</w:t>
      </w:r>
      <w:r>
        <w:rPr>
          <w:rFonts w:hint="default" w:ascii="Times New Roman" w:hAnsi="Times New Roman" w:eastAsia="宋体" w:cs="Times New Roman"/>
          <w:color w:val="auto"/>
          <w:kern w:val="0"/>
          <w:sz w:val="28"/>
          <w:szCs w:val="28"/>
          <w:highlight w:val="none"/>
          <w:lang w:val="en-US" w:eastAsia="zh-CN" w:bidi="ar"/>
        </w:rPr>
        <w:t>湿地</w:t>
      </w:r>
      <w:r>
        <w:rPr>
          <w:rFonts w:hint="eastAsia" w:ascii="Times New Roman" w:hAnsi="Times New Roman" w:eastAsia="宋体" w:cs="Times New Roman"/>
          <w:color w:val="auto"/>
          <w:kern w:val="0"/>
          <w:sz w:val="28"/>
          <w:szCs w:val="28"/>
          <w:highlight w:val="none"/>
          <w:lang w:val="en-US" w:eastAsia="zh-CN" w:bidi="ar"/>
        </w:rPr>
        <w:t>生态保护目标；且本项目新增永久占地面积为0.0048km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，综上，本项目生态环境评价等级为三级。</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2.5.6土壤环境</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环境影响识别</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1）项目类别</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根据《环境影响评价技术导则-土壤环境（试行）》（HJ964-2018）附录A土壤环境影响评价项目类别，本项目为天然气开采工程，为II类项目。</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）环境影响类型和途径</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本项目对土壤环境的影响主要表现在：钻井过程中产生的</w:t>
      </w:r>
      <w:r>
        <w:rPr>
          <w:rFonts w:hint="eastAsia" w:ascii="Times New Roman" w:hAnsi="Times New Roman" w:eastAsia="宋体" w:cs="Times New Roman"/>
          <w:color w:val="auto"/>
          <w:kern w:val="0"/>
          <w:sz w:val="28"/>
          <w:szCs w:val="28"/>
          <w:highlight w:val="none"/>
          <w:lang w:val="en-US" w:eastAsia="zh-CN" w:bidi="ar"/>
        </w:rPr>
        <w:t>废水及固体废物</w:t>
      </w:r>
      <w:r>
        <w:rPr>
          <w:rFonts w:hint="default" w:ascii="Times New Roman" w:hAnsi="Times New Roman" w:eastAsia="宋体" w:cs="Times New Roman"/>
          <w:color w:val="auto"/>
          <w:kern w:val="0"/>
          <w:sz w:val="28"/>
          <w:szCs w:val="28"/>
          <w:highlight w:val="none"/>
          <w:lang w:val="en-US" w:eastAsia="zh-CN" w:bidi="ar"/>
        </w:rPr>
        <w:t>外泄对土壤环境造成污染；柴油、钻井液及压裂液泄露或井口溢流，造成原料及污染物通过垂直下渗进入土壤，可对土壤的理化及生物性质等方面造成影响。钻井液</w:t>
      </w:r>
      <w:r>
        <w:rPr>
          <w:rFonts w:hint="eastAsia" w:ascii="Times New Roman" w:hAnsi="Times New Roman" w:eastAsia="宋体" w:cs="Times New Roman"/>
          <w:color w:val="auto"/>
          <w:kern w:val="0"/>
          <w:sz w:val="28"/>
          <w:szCs w:val="28"/>
          <w:highlight w:val="none"/>
          <w:lang w:val="en-US" w:eastAsia="zh-CN" w:bidi="ar"/>
        </w:rPr>
        <w:t>及</w:t>
      </w:r>
      <w:r>
        <w:rPr>
          <w:rFonts w:hint="default" w:ascii="Times New Roman" w:hAnsi="Times New Roman" w:eastAsia="宋体" w:cs="Times New Roman"/>
          <w:color w:val="auto"/>
          <w:kern w:val="0"/>
          <w:sz w:val="28"/>
          <w:szCs w:val="28"/>
          <w:highlight w:val="none"/>
          <w:lang w:val="en-US" w:eastAsia="zh-CN" w:bidi="ar"/>
        </w:rPr>
        <w:t>压裂液</w:t>
      </w:r>
      <w:r>
        <w:rPr>
          <w:rFonts w:hint="eastAsia" w:ascii="Times New Roman" w:hAnsi="Times New Roman" w:eastAsia="宋体" w:cs="Times New Roman"/>
          <w:color w:val="auto"/>
          <w:kern w:val="0"/>
          <w:sz w:val="28"/>
          <w:szCs w:val="28"/>
          <w:highlight w:val="none"/>
          <w:lang w:val="en-US" w:eastAsia="zh-CN" w:bidi="ar"/>
        </w:rPr>
        <w:t>主要成分为无机盐。</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钻井过程发生井喷，导致大量天然气从地下储层涌入井筒喷出地面，</w:t>
      </w:r>
      <w:r>
        <w:rPr>
          <w:rFonts w:hint="eastAsia" w:ascii="Times New Roman" w:hAnsi="Times New Roman" w:eastAsia="宋体" w:cs="Times New Roman"/>
          <w:color w:val="auto"/>
          <w:kern w:val="0"/>
          <w:sz w:val="28"/>
          <w:szCs w:val="28"/>
          <w:highlight w:val="none"/>
          <w:lang w:val="en-US" w:eastAsia="zh-CN" w:bidi="ar"/>
        </w:rPr>
        <w:t>根据气田探勘资料，</w:t>
      </w:r>
      <w:r>
        <w:rPr>
          <w:rFonts w:hint="default" w:ascii="Times New Roman" w:hAnsi="Times New Roman" w:eastAsia="宋体" w:cs="Times New Roman"/>
          <w:color w:val="auto"/>
          <w:kern w:val="0"/>
          <w:sz w:val="28"/>
          <w:szCs w:val="28"/>
          <w:highlight w:val="none"/>
          <w:lang w:val="en-US" w:eastAsia="zh-CN" w:bidi="ar"/>
        </w:rPr>
        <w:t>本区域</w:t>
      </w:r>
      <w:r>
        <w:rPr>
          <w:rFonts w:hint="eastAsia" w:ascii="Times New Roman" w:hAnsi="Times New Roman" w:eastAsia="宋体" w:cs="Times New Roman"/>
          <w:color w:val="auto"/>
          <w:kern w:val="0"/>
          <w:sz w:val="28"/>
          <w:szCs w:val="28"/>
          <w:highlight w:val="none"/>
          <w:lang w:val="en-US" w:eastAsia="zh-CN" w:bidi="ar"/>
        </w:rPr>
        <w:t>气田不属于高含硫气田，天然气中硫化氢含量极低，若发生井喷或试气期间天然气泄露，</w:t>
      </w:r>
      <w:r>
        <w:rPr>
          <w:rFonts w:hint="default" w:ascii="Times New Roman" w:hAnsi="Times New Roman" w:eastAsia="宋体" w:cs="Times New Roman"/>
          <w:color w:val="auto"/>
          <w:kern w:val="0"/>
          <w:sz w:val="28"/>
          <w:szCs w:val="28"/>
          <w:highlight w:val="none"/>
          <w:lang w:val="en-US" w:eastAsia="zh-CN" w:bidi="ar"/>
        </w:rPr>
        <w:t>不会造成土壤酸化</w:t>
      </w:r>
      <w:r>
        <w:rPr>
          <w:rFonts w:hint="eastAsia" w:ascii="Times New Roman" w:hAnsi="Times New Roman" w:eastAsia="宋体" w:cs="Times New Roman"/>
          <w:color w:val="auto"/>
          <w:kern w:val="0"/>
          <w:sz w:val="28"/>
          <w:szCs w:val="28"/>
          <w:highlight w:val="none"/>
          <w:lang w:val="en-US" w:eastAsia="zh-CN" w:bidi="ar"/>
        </w:rPr>
        <w:t>；项目施工期间不使用酸化液进行压裂。项目施工过程中采取防沙治沙防止水土流失等措施，防止施工场界周围土壤发生此生盐渍化及沙漠化</w:t>
      </w:r>
      <w:r>
        <w:rPr>
          <w:rFonts w:hint="default" w:ascii="Times New Roman" w:hAnsi="Times New Roman" w:eastAsia="宋体" w:cs="Times New Roman"/>
          <w:color w:val="auto"/>
          <w:kern w:val="0"/>
          <w:sz w:val="28"/>
          <w:szCs w:val="28"/>
          <w:highlight w:val="none"/>
          <w:lang w:val="en-US" w:eastAsia="zh-CN" w:bidi="ar"/>
        </w:rPr>
        <w:t>。因此，本项目</w:t>
      </w:r>
      <w:r>
        <w:rPr>
          <w:rFonts w:hint="eastAsia" w:ascii="Times New Roman" w:hAnsi="Times New Roman" w:eastAsia="宋体" w:cs="Times New Roman"/>
          <w:color w:val="auto"/>
          <w:kern w:val="0"/>
          <w:sz w:val="28"/>
          <w:szCs w:val="28"/>
          <w:highlight w:val="none"/>
          <w:lang w:val="en-US" w:eastAsia="zh-CN" w:bidi="ar"/>
        </w:rPr>
        <w:t>建设对土壤的影响为污染影响型。</w:t>
      </w:r>
      <w:r>
        <w:rPr>
          <w:rFonts w:hint="default" w:ascii="Times New Roman" w:hAnsi="Times New Roman" w:eastAsia="宋体" w:cs="Times New Roman"/>
          <w:color w:val="auto"/>
          <w:kern w:val="0"/>
          <w:sz w:val="28"/>
          <w:szCs w:val="28"/>
          <w:highlight w:val="none"/>
          <w:lang w:val="en-US" w:eastAsia="zh-CN" w:bidi="ar"/>
        </w:rPr>
        <w:t>本项目土壤环境影响类型与影响途径见表2.5-</w:t>
      </w:r>
      <w:r>
        <w:rPr>
          <w:rFonts w:hint="eastAsia" w:ascii="Times New Roman" w:hAnsi="Times New Roman" w:eastAsia="宋体" w:cs="Times New Roman"/>
          <w:color w:val="auto"/>
          <w:kern w:val="0"/>
          <w:sz w:val="28"/>
          <w:szCs w:val="28"/>
          <w:highlight w:val="none"/>
          <w:lang w:val="en-US" w:eastAsia="zh-CN" w:bidi="ar"/>
        </w:rPr>
        <w:t>3。</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表2.5-</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本项目土壤环境影响类型与影响途径一览表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6"/>
        <w:gridCol w:w="946"/>
        <w:gridCol w:w="946"/>
        <w:gridCol w:w="946"/>
        <w:gridCol w:w="946"/>
        <w:gridCol w:w="946"/>
        <w:gridCol w:w="946"/>
        <w:gridCol w:w="947"/>
        <w:gridCol w:w="9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不同</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时段</w:t>
            </w:r>
          </w:p>
        </w:tc>
        <w:tc>
          <w:tcPr>
            <w:tcW w:w="3784"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污染影响型</w:t>
            </w:r>
          </w:p>
        </w:tc>
        <w:tc>
          <w:tcPr>
            <w:tcW w:w="378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生态影响型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大气</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沉降</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地面</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漫流</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垂直</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入渗</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其他</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盐化</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碱化</w:t>
            </w:r>
          </w:p>
        </w:tc>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酸化</w:t>
            </w:r>
          </w:p>
        </w:tc>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其他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施工期</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bl>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综上比较</w:t>
      </w:r>
      <w:r>
        <w:rPr>
          <w:rFonts w:hint="default" w:ascii="Times New Roman" w:hAnsi="Times New Roman" w:eastAsia="宋体" w:cs="Times New Roman"/>
          <w:color w:val="auto"/>
          <w:kern w:val="0"/>
          <w:sz w:val="28"/>
          <w:szCs w:val="28"/>
          <w:highlight w:val="none"/>
          <w:lang w:val="en-US" w:eastAsia="zh-CN" w:bidi="ar"/>
        </w:rPr>
        <w:t>，本项目属于污染型影响</w:t>
      </w:r>
      <w:r>
        <w:rPr>
          <w:rFonts w:hint="eastAsia" w:ascii="Times New Roman" w:hAnsi="Times New Roman" w:eastAsia="宋体" w:cs="Times New Roman"/>
          <w:color w:val="auto"/>
          <w:kern w:val="0"/>
          <w:sz w:val="28"/>
          <w:szCs w:val="28"/>
          <w:highlight w:val="none"/>
          <w:lang w:val="en-US" w:eastAsia="zh-CN" w:bidi="ar"/>
        </w:rPr>
        <w:t>类</w:t>
      </w:r>
      <w:r>
        <w:rPr>
          <w:rFonts w:hint="default" w:ascii="Times New Roman" w:hAnsi="Times New Roman" w:eastAsia="宋体" w:cs="Times New Roman"/>
          <w:color w:val="auto"/>
          <w:kern w:val="0"/>
          <w:sz w:val="28"/>
          <w:szCs w:val="28"/>
          <w:highlight w:val="none"/>
          <w:lang w:val="en-US" w:eastAsia="zh-CN" w:bidi="ar"/>
        </w:rPr>
        <w:t>，污染型影响型土壤环境影响源及影响因子识别见表2.5-</w:t>
      </w: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表2.5-</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污染影响型建设项目土壤环境影响源及影响因子识别表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99"/>
        <w:gridCol w:w="1087"/>
        <w:gridCol w:w="1257"/>
        <w:gridCol w:w="1612"/>
        <w:gridCol w:w="1481"/>
        <w:gridCol w:w="22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污染源</w:t>
            </w:r>
          </w:p>
        </w:tc>
        <w:tc>
          <w:tcPr>
            <w:tcW w:w="10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工艺流程/节点</w:t>
            </w:r>
          </w:p>
        </w:tc>
        <w:tc>
          <w:tcPr>
            <w:tcW w:w="12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污染途径</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全部污染物指标</w:t>
            </w:r>
          </w:p>
        </w:tc>
        <w:tc>
          <w:tcPr>
            <w:tcW w:w="14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特征因子</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井场</w:t>
            </w:r>
          </w:p>
        </w:tc>
        <w:tc>
          <w:tcPr>
            <w:tcW w:w="108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钻井</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施工</w:t>
            </w:r>
          </w:p>
        </w:tc>
        <w:tc>
          <w:tcPr>
            <w:tcW w:w="12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大气沉降</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0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地面漫流</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4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0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垂直入渗</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石油烃、</w:t>
            </w:r>
            <w:r>
              <w:rPr>
                <w:rFonts w:hint="eastAsia" w:ascii="Times New Roman" w:hAnsi="Times New Roman" w:cs="Times New Roman"/>
                <w:color w:val="auto"/>
                <w:sz w:val="24"/>
                <w:szCs w:val="24"/>
                <w:highlight w:val="none"/>
                <w:vertAlign w:val="baseline"/>
                <w:lang w:val="en-US" w:eastAsia="zh-CN"/>
              </w:rPr>
              <w:t>COD</w:t>
            </w:r>
          </w:p>
        </w:tc>
        <w:tc>
          <w:tcPr>
            <w:tcW w:w="14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石油烃、</w:t>
            </w:r>
            <w:r>
              <w:rPr>
                <w:rFonts w:hint="eastAsia" w:ascii="Times New Roman" w:hAnsi="Times New Roman" w:cs="Times New Roman"/>
                <w:color w:val="auto"/>
                <w:sz w:val="24"/>
                <w:szCs w:val="24"/>
                <w:highlight w:val="none"/>
                <w:vertAlign w:val="baseline"/>
                <w:lang w:val="en-US" w:eastAsia="zh-CN"/>
              </w:rPr>
              <w:t>COD</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井喷事故、井口溢流事故、废水及固体废物外泄事故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0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其他</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14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评价等级</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1）占地规模</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根据《环境影响评价技术导则-土壤环境（试行）》（HJ964-2018）：将建设项目占地规模分为大型（≥50hm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）、中型（5~50hm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）、小型（≤5hm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），本项目井场永久占地</w:t>
      </w:r>
      <w:r>
        <w:rPr>
          <w:rFonts w:hint="eastAsia" w:ascii="Times New Roman" w:hAnsi="Times New Roman" w:eastAsia="宋体" w:cs="Times New Roman"/>
          <w:color w:val="auto"/>
          <w:kern w:val="0"/>
          <w:sz w:val="28"/>
          <w:szCs w:val="28"/>
          <w:highlight w:val="none"/>
          <w:lang w:val="en-US" w:eastAsia="zh-CN" w:bidi="ar"/>
        </w:rPr>
        <w:t>0.48</w:t>
      </w:r>
      <w:r>
        <w:rPr>
          <w:rFonts w:hint="default" w:ascii="Times New Roman" w:hAnsi="Times New Roman" w:eastAsia="宋体" w:cs="Times New Roman"/>
          <w:color w:val="auto"/>
          <w:kern w:val="0"/>
          <w:sz w:val="28"/>
          <w:szCs w:val="28"/>
          <w:highlight w:val="none"/>
          <w:lang w:val="en-US" w:eastAsia="zh-CN" w:bidi="ar"/>
        </w:rPr>
        <w:t>hm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，为小型占地规模。</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2）环境敏感程度划分</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建设项目所在地土壤环境敏感程度判别依据见表2.5-</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。本项目周围为基本农田和村屯，所以本项目所在区域土壤环境敏感程度为敏感。</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表2.5-</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污染影响型敏感程度分级表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2"/>
        <w:gridCol w:w="72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敏感程度</w:t>
            </w:r>
          </w:p>
        </w:tc>
        <w:tc>
          <w:tcPr>
            <w:tcW w:w="724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判别依据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敏感</w:t>
            </w:r>
          </w:p>
        </w:tc>
        <w:tc>
          <w:tcPr>
            <w:tcW w:w="724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建设项目周边存在耕地、园地、牧草地、饮用水水源地或居民区、学校、医院、疗养院、养老院等土壤环境敏感目标的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较敏感</w:t>
            </w:r>
          </w:p>
        </w:tc>
        <w:tc>
          <w:tcPr>
            <w:tcW w:w="724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不敏感</w:t>
            </w:r>
          </w:p>
        </w:tc>
        <w:tc>
          <w:tcPr>
            <w:tcW w:w="724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其他情况</w:t>
            </w:r>
          </w:p>
        </w:tc>
      </w:tr>
    </w:tbl>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3）评价等级的确定</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根据《环境影响评价技术导则-土壤环境（试行）》（HJ964-2018）中关于评价等级的规定，本项目污染影响型评价等级划分见表2.5-</w:t>
      </w:r>
      <w:r>
        <w:rPr>
          <w:rFonts w:hint="eastAsia" w:ascii="Times New Roman" w:hAnsi="Times New Roman" w:eastAsia="宋体" w:cs="Times New Roman"/>
          <w:color w:val="auto"/>
          <w:kern w:val="0"/>
          <w:sz w:val="28"/>
          <w:szCs w:val="28"/>
          <w:highlight w:val="none"/>
          <w:lang w:val="en-US" w:eastAsia="zh-CN" w:bidi="ar"/>
        </w:rPr>
        <w:t>6</w:t>
      </w:r>
      <w:r>
        <w:rPr>
          <w:rFonts w:hint="default" w:ascii="Times New Roman" w:hAnsi="Times New Roman" w:eastAsia="宋体" w:cs="Times New Roman"/>
          <w:color w:val="auto"/>
          <w:kern w:val="0"/>
          <w:sz w:val="28"/>
          <w:szCs w:val="28"/>
          <w:highlight w:val="none"/>
          <w:lang w:val="en-US" w:eastAsia="zh-CN" w:bidi="ar"/>
        </w:rPr>
        <w:t>。本项目为II类小型占地项目，且敏感程度为敏感，因此土壤评价等级为二级。</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表2.5-</w:t>
      </w:r>
      <w:r>
        <w:rPr>
          <w:rFonts w:hint="eastAsia" w:ascii="Times New Roman" w:hAnsi="Times New Roman" w:eastAsia="宋体" w:cs="Times New Roman"/>
          <w:b/>
          <w:bCs/>
          <w:color w:val="auto"/>
          <w:kern w:val="0"/>
          <w:sz w:val="24"/>
          <w:szCs w:val="24"/>
          <w:highlight w:val="none"/>
          <w:lang w:val="en-US" w:eastAsia="zh-CN" w:bidi="ar"/>
        </w:rPr>
        <w:t>6</w:t>
      </w:r>
      <w:r>
        <w:rPr>
          <w:rFonts w:hint="default" w:ascii="Times New Roman" w:hAnsi="Times New Roman" w:eastAsia="宋体" w:cs="Times New Roman"/>
          <w:b/>
          <w:bCs/>
          <w:color w:val="auto"/>
          <w:kern w:val="0"/>
          <w:sz w:val="24"/>
          <w:szCs w:val="24"/>
          <w:highlight w:val="none"/>
          <w:lang w:val="en-US" w:eastAsia="zh-CN" w:bidi="ar"/>
        </w:rPr>
        <w:t>污染影响型评价工作等级划分表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92"/>
        <w:gridCol w:w="792"/>
        <w:gridCol w:w="792"/>
        <w:gridCol w:w="792"/>
        <w:gridCol w:w="792"/>
        <w:gridCol w:w="792"/>
        <w:gridCol w:w="792"/>
        <w:gridCol w:w="792"/>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single" w:color="auto" w:sz="12" w:space="0"/>
              <w:left w:val="nil"/>
              <w:right w:val="single" w:color="auto" w:sz="6"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-10160</wp:posOffset>
                      </wp:positionV>
                      <wp:extent cx="838200" cy="323850"/>
                      <wp:effectExtent l="1905" t="4445" r="17145" b="14605"/>
                      <wp:wrapNone/>
                      <wp:docPr id="18" name="直接连接符 18"/>
                      <wp:cNvGraphicFramePr/>
                      <a:graphic xmlns:a="http://schemas.openxmlformats.org/drawingml/2006/main">
                        <a:graphicData uri="http://schemas.microsoft.com/office/word/2010/wordprocessingShape">
                          <wps:wsp>
                            <wps:cNvCnPr/>
                            <wps:spPr>
                              <a:xfrm>
                                <a:off x="1086485" y="4481195"/>
                                <a:ext cx="838200" cy="32385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4.6pt;margin-top:-0.8pt;height:25.5pt;width:66pt;z-index:251660288;mso-width-relative:page;mso-height-relative:page;" filled="f" stroked="t" coordsize="21600,21600" o:gfxdata="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NwKO9cAAAAIAQAADwAAAAAAAAABACAAAAAiAAAAZHJzL2Rvd25yZXYueG1s&#10;UEsBAhQAFAAAAAgAh07iQHKdN+n5AQAA0QMAAA4AAAAAAAAAAQAgAAAAJgEAAGRycy9lMm9Eb2Mu&#10;eG1sUEsFBgAAAAAGAAYAWQEAAJEFAAAAAA==&#10;">
                      <v:fill on="f" focussize="0,0"/>
                      <v:stroke weight="0.5pt" color="#000000" miterlimit="8" joinstyle="miter"/>
                      <v:imagedata o:title=""/>
                      <o:lock v:ext="edit" aspectratio="f"/>
                    </v:line>
                  </w:pict>
                </mc:Fallback>
              </mc:AlternateContent>
            </w:r>
            <w:r>
              <w:rPr>
                <w:rFonts w:hint="default" w:ascii="Times New Roman" w:hAnsi="Times New Roman" w:cs="Times New Roman"/>
                <w:color w:val="auto"/>
                <w:sz w:val="24"/>
                <w:szCs w:val="24"/>
                <w:highlight w:val="none"/>
                <w:vertAlign w:val="baseline"/>
                <w:lang w:val="en-US" w:eastAsia="zh-CN"/>
              </w:rPr>
              <w:t>占地规模</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-20320</wp:posOffset>
                      </wp:positionH>
                      <wp:positionV relativeFrom="paragraph">
                        <wp:posOffset>380365</wp:posOffset>
                      </wp:positionV>
                      <wp:extent cx="762000" cy="142875"/>
                      <wp:effectExtent l="635" t="4445" r="18415" b="5080"/>
                      <wp:wrapNone/>
                      <wp:docPr id="21" name="直接连接符 21"/>
                      <wp:cNvGraphicFramePr/>
                      <a:graphic xmlns:a="http://schemas.openxmlformats.org/drawingml/2006/main">
                        <a:graphicData uri="http://schemas.microsoft.com/office/word/2010/wordprocessingShape">
                          <wps:wsp>
                            <wps:cNvCnPr/>
                            <wps:spPr>
                              <a:xfrm flipH="1" flipV="1">
                                <a:off x="1124585" y="5100320"/>
                                <a:ext cx="762000" cy="1428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1.6pt;margin-top:29.95pt;height:11.25pt;width:60pt;z-index:251661312;mso-width-relative:page;mso-height-relative:page;" filled="f" stroked="t" coordsize="21600,21600" o:gfxdata="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&#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qIcV2AAAAAgBAAAPAAAAAAAAAAEAIAAAACIAAABk&#10;cnMvZG93bnJldi54bWxQSwECFAAUAAAACACHTuJABwAmugYCAADlAwAADgAAAAAAAAABACAAAAAn&#10;AQAAZHJzL2Uyb0RvYy54bWxQSwUGAAAAAAYABgBZAQAAnwUAAAAA&#10;">
                      <v:fill on="f" focussize="0,0"/>
                      <v:stroke weight="0.5pt" color="#000000" miterlimit="8" joinstyle="miter"/>
                      <v:imagedata o:title=""/>
                      <o:lock v:ext="edit" aspectratio="f"/>
                    </v:line>
                  </w:pict>
                </mc:Fallback>
              </mc:AlternateContent>
            </w:r>
            <w:r>
              <w:rPr>
                <w:rFonts w:hint="default" w:ascii="Times New Roman" w:hAnsi="Times New Roman" w:cs="Times New Roman"/>
                <w:color w:val="auto"/>
                <w:sz w:val="24"/>
                <w:szCs w:val="24"/>
                <w:highlight w:val="none"/>
                <w:vertAlign w:val="baseline"/>
                <w:lang w:val="en-US" w:eastAsia="zh-CN"/>
              </w:rPr>
              <w:t>评价工作等级</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敏感程度</w:t>
            </w:r>
          </w:p>
        </w:tc>
        <w:tc>
          <w:tcPr>
            <w:tcW w:w="2376" w:type="dxa"/>
            <w:gridSpan w:val="3"/>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Ⅰ类</w:t>
            </w:r>
          </w:p>
        </w:tc>
        <w:tc>
          <w:tcPr>
            <w:tcW w:w="2376" w:type="dxa"/>
            <w:gridSpan w:val="3"/>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Ⅱ类</w:t>
            </w:r>
          </w:p>
        </w:tc>
        <w:tc>
          <w:tcPr>
            <w:tcW w:w="2380" w:type="dxa"/>
            <w:gridSpan w:val="3"/>
            <w:tcBorders>
              <w:top w:val="single" w:color="auto" w:sz="12" w:space="0"/>
              <w:left w:val="single" w:color="auto" w:sz="6" w:space="0"/>
              <w:bottom w:val="single" w:color="auto" w:sz="6"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left w:val="nil"/>
              <w:bottom w:val="single" w:color="auto" w:sz="6" w:space="0"/>
              <w:right w:val="single" w:color="auto" w:sz="6"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中</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小</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中</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小</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中</w:t>
            </w:r>
          </w:p>
        </w:tc>
        <w:tc>
          <w:tcPr>
            <w:tcW w:w="796" w:type="dxa"/>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敏感</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三级</w:t>
            </w:r>
          </w:p>
        </w:tc>
        <w:tc>
          <w:tcPr>
            <w:tcW w:w="796" w:type="dxa"/>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384" w:type="dxa"/>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较敏感</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三级</w:t>
            </w:r>
          </w:p>
        </w:tc>
        <w:tc>
          <w:tcPr>
            <w:tcW w:w="7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三级</w:t>
            </w:r>
          </w:p>
        </w:tc>
        <w:tc>
          <w:tcPr>
            <w:tcW w:w="796" w:type="dxa"/>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6" w:space="0"/>
              <w:left w:val="nil"/>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不敏感</w:t>
            </w:r>
          </w:p>
        </w:tc>
        <w:tc>
          <w:tcPr>
            <w:tcW w:w="79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一级</w:t>
            </w:r>
          </w:p>
        </w:tc>
        <w:tc>
          <w:tcPr>
            <w:tcW w:w="79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二级</w:t>
            </w:r>
          </w:p>
        </w:tc>
        <w:tc>
          <w:tcPr>
            <w:tcW w:w="79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二级</w:t>
            </w:r>
          </w:p>
        </w:tc>
        <w:tc>
          <w:tcPr>
            <w:tcW w:w="79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二级</w:t>
            </w:r>
          </w:p>
        </w:tc>
        <w:tc>
          <w:tcPr>
            <w:tcW w:w="79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三级</w:t>
            </w:r>
          </w:p>
        </w:tc>
        <w:tc>
          <w:tcPr>
            <w:tcW w:w="79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三级</w:t>
            </w:r>
          </w:p>
        </w:tc>
        <w:tc>
          <w:tcPr>
            <w:tcW w:w="79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三级</w:t>
            </w:r>
          </w:p>
        </w:tc>
        <w:tc>
          <w:tcPr>
            <w:tcW w:w="79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796" w:type="dxa"/>
            <w:tcBorders>
              <w:top w:val="single" w:color="auto" w:sz="6" w:space="0"/>
              <w:left w:val="single" w:color="auto" w:sz="6" w:space="0"/>
              <w:bottom w:val="single" w:color="auto" w:sz="12"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2.5.6环境风险</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风险潜势初判</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本项目为天然气开发井钻井工程，施工现场不设置天然气存储设施。井场危险单元主要为井场柴油罐及氢氧化钾材料库</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每座井场设置柴油罐2座，有效容积为40m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/座，本项目柴油密度以0.</w:t>
      </w:r>
      <w:r>
        <w:rPr>
          <w:rFonts w:hint="eastAsia" w:ascii="Times New Roman" w:hAnsi="Times New Roman" w:eastAsia="宋体" w:cs="Times New Roman"/>
          <w:color w:val="auto"/>
          <w:kern w:val="0"/>
          <w:sz w:val="28"/>
          <w:szCs w:val="28"/>
          <w:highlight w:val="none"/>
          <w:lang w:val="en-US" w:eastAsia="zh-CN" w:bidi="ar"/>
        </w:rPr>
        <w:t>84t</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计，项目施工现场柴油总存储量约为</w:t>
      </w:r>
      <w:r>
        <w:rPr>
          <w:rFonts w:hint="eastAsia" w:ascii="Times New Roman" w:hAnsi="Times New Roman" w:eastAsia="宋体" w:cs="Times New Roman"/>
          <w:color w:val="auto"/>
          <w:kern w:val="0"/>
          <w:sz w:val="28"/>
          <w:szCs w:val="28"/>
          <w:highlight w:val="none"/>
          <w:lang w:val="en-US" w:eastAsia="zh-CN" w:bidi="ar"/>
        </w:rPr>
        <w:t>202</w:t>
      </w:r>
      <w:r>
        <w:rPr>
          <w:rFonts w:hint="default" w:ascii="Times New Roman" w:hAnsi="Times New Roman" w:eastAsia="宋体" w:cs="Times New Roman"/>
          <w:color w:val="auto"/>
          <w:kern w:val="0"/>
          <w:sz w:val="28"/>
          <w:szCs w:val="28"/>
          <w:highlight w:val="none"/>
          <w:lang w:val="en-US" w:eastAsia="zh-CN" w:bidi="ar"/>
        </w:rPr>
        <w:t>t。单口钻井氢氧化钾最大用量为</w:t>
      </w:r>
      <w:r>
        <w:rPr>
          <w:rFonts w:hint="eastAsia" w:ascii="Times New Roman" w:hAnsi="Times New Roman" w:eastAsia="宋体" w:cs="Times New Roman"/>
          <w:color w:val="auto"/>
          <w:kern w:val="0"/>
          <w:sz w:val="28"/>
          <w:szCs w:val="28"/>
          <w:highlight w:val="none"/>
          <w:lang w:val="en-US" w:eastAsia="zh-CN" w:bidi="ar"/>
        </w:rPr>
        <w:t>2.8t，根据《化学品分类和标签规范-第18部分：急性毒性》（GB30000.18-2013），氢氧化钾属于健康危险急性毒性物质类别3。</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根据《建设项目环境风险评价技术导则》（HJ169-2018），定量分析危险物质数量与临界量的比值（Q），当Q＜1时，本项目环境风险潜势为Ⅰ。本项目Q值确定情况见下表</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2.5-7</w:t>
      </w:r>
      <w:r>
        <w:rPr>
          <w:rFonts w:hint="default" w:ascii="Times New Roman" w:hAnsi="Times New Roman" w:eastAsia="宋体" w:cs="Times New Roman"/>
          <w:b/>
          <w:bCs/>
          <w:color w:val="auto"/>
          <w:kern w:val="0"/>
          <w:sz w:val="24"/>
          <w:szCs w:val="24"/>
          <w:highlight w:val="none"/>
          <w:lang w:val="en-US" w:eastAsia="zh-CN" w:bidi="ar"/>
        </w:rPr>
        <w:t>本项目Q值判定一览表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36"/>
        <w:gridCol w:w="1187"/>
        <w:gridCol w:w="1363"/>
        <w:gridCol w:w="2190"/>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11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危险物质</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CAS号</w:t>
            </w:r>
          </w:p>
        </w:tc>
        <w:tc>
          <w:tcPr>
            <w:tcW w:w="2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最大存在总量（t）</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临界量（t）</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qn/Qn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11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柴油</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p>
        </w:tc>
        <w:tc>
          <w:tcPr>
            <w:tcW w:w="2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0.08</w:t>
            </w:r>
            <w:r>
              <w:rPr>
                <w:rFonts w:hint="eastAsia" w:ascii="Times New Roman" w:hAnsi="Times New Roman" w:cs="Times New Roman"/>
                <w:color w:val="auto"/>
                <w:sz w:val="24"/>
                <w:szCs w:val="24"/>
                <w:highlight w:val="non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1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氢氧化钾</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1310-58-3</w:t>
            </w:r>
          </w:p>
        </w:tc>
        <w:tc>
          <w:tcPr>
            <w:tcW w:w="2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2.8</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6"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Q=Σqn/Qn</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0.137</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评价等级</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根据《建设项目环境风险评价技术导则》（HJ169-2018）中评价等级的判定方法，本项目Q=</w:t>
      </w:r>
      <w:r>
        <w:rPr>
          <w:rFonts w:hint="eastAsia" w:ascii="Times New Roman" w:hAnsi="Times New Roman" w:eastAsia="宋体" w:cs="Times New Roman"/>
          <w:color w:val="auto"/>
          <w:kern w:val="0"/>
          <w:sz w:val="28"/>
          <w:szCs w:val="28"/>
          <w:highlight w:val="none"/>
          <w:lang w:val="en-US" w:eastAsia="zh-CN" w:bidi="ar"/>
        </w:rPr>
        <w:t>0.137</w:t>
      </w:r>
      <w:r>
        <w:rPr>
          <w:rFonts w:hint="default" w:ascii="Times New Roman" w:hAnsi="Times New Roman" w:eastAsia="宋体" w:cs="Times New Roman"/>
          <w:color w:val="auto"/>
          <w:kern w:val="0"/>
          <w:sz w:val="28"/>
          <w:szCs w:val="28"/>
          <w:highlight w:val="none"/>
          <w:lang w:val="en-US" w:eastAsia="zh-CN" w:bidi="ar"/>
        </w:rPr>
        <w:t>＜1，环境风险潜势为Ⅰ，确定本工程风险评价等级为简单分析。建设项目风险评价等级划分见下表。</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表2.5-</w:t>
      </w:r>
      <w:r>
        <w:rPr>
          <w:rFonts w:hint="eastAsia" w:ascii="Times New Roman" w:hAnsi="Times New Roman" w:eastAsia="宋体"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环境风险评价工作级别</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03"/>
        <w:gridCol w:w="1703"/>
        <w:gridCol w:w="1703"/>
        <w:gridCol w:w="1703"/>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环境风险潜势</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Ⅳ、Ⅳ+</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Ⅲ</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Ⅱ</w:t>
            </w:r>
          </w:p>
        </w:tc>
        <w:tc>
          <w:tcPr>
            <w:tcW w:w="170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评价工作等级</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w:t>
            </w:r>
          </w:p>
        </w:tc>
        <w:tc>
          <w:tcPr>
            <w:tcW w:w="170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简单分析</w:t>
            </w:r>
          </w:p>
        </w:tc>
      </w:tr>
    </w:tbl>
    <w:p>
      <w:pPr>
        <w:pStyle w:val="6"/>
        <w:keepNext/>
        <w:keepLines/>
        <w:pageBreakBefore w:val="0"/>
        <w:numPr>
          <w:ilvl w:val="0"/>
          <w:numId w:val="0"/>
        </w:numPr>
        <w:bidi w:val="0"/>
        <w:spacing w:before="78" w:beforeLines="25" w:beforeAutospacing="0" w:after="78" w:afterLines="25" w:afterAutospacing="0" w:line="360" w:lineRule="auto"/>
        <w:outlineLvl w:val="1"/>
        <w:rPr>
          <w:rFonts w:hint="default" w:ascii="Times New Roman" w:hAnsi="Times New Roman" w:eastAsia="宋体" w:cs="Times New Roman"/>
          <w:caps w:val="0"/>
          <w:smallCaps w:val="0"/>
          <w:color w:val="auto"/>
          <w:spacing w:val="0"/>
          <w:w w:val="100"/>
          <w:kern w:val="0"/>
          <w:sz w:val="30"/>
          <w:szCs w:val="30"/>
          <w:highlight w:val="none"/>
          <w:lang w:val="en-US" w:eastAsia="zh-CN" w:bidi="ar-SA"/>
        </w:rPr>
      </w:pPr>
      <w:bookmarkStart w:id="72" w:name="_Toc4258"/>
      <w:r>
        <w:rPr>
          <w:rFonts w:hint="default" w:ascii="Times New Roman" w:hAnsi="Times New Roman" w:eastAsia="宋体" w:cs="Times New Roman"/>
          <w:caps w:val="0"/>
          <w:smallCaps w:val="0"/>
          <w:color w:val="auto"/>
          <w:spacing w:val="0"/>
          <w:w w:val="100"/>
          <w:kern w:val="0"/>
          <w:sz w:val="30"/>
          <w:szCs w:val="30"/>
          <w:highlight w:val="none"/>
          <w:lang w:val="en-US" w:eastAsia="zh-CN" w:bidi="ar-SA"/>
        </w:rPr>
        <w:t>2.6评价范围及环境保护目标</w:t>
      </w:r>
      <w:bookmarkEnd w:id="72"/>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评价区内无自然保护区、风景名胜区、生态保护红线管控范围、基本草原、重要湿地、水土流失重点预防区和重点治理区、文物保护单位等环境敏感区分布，项目新建井场占用基本农田。因此本项目环境保护目标为评价范围内的大气、地表水、地下水、声、土壤（基本农田）、生态以及周边村屯。</w:t>
      </w:r>
    </w:p>
    <w:p>
      <w:pPr>
        <w:pStyle w:val="7"/>
        <w:pageBreakBefore w:val="0"/>
        <w:bidi w:val="0"/>
        <w:spacing w:before="31" w:after="31" w:line="360" w:lineRule="auto"/>
        <w:rPr>
          <w:rFonts w:hint="default" w:ascii="Times New Roman" w:hAnsi="Times New Roman" w:eastAsia="宋体" w:cs="Times New Roman"/>
          <w:b w:val="0"/>
          <w:bCs w:val="0"/>
          <w:caps w:val="0"/>
          <w:smallCaps w:val="0"/>
          <w:color w:val="auto"/>
          <w:spacing w:val="0"/>
          <w:w w:val="100"/>
          <w:kern w:val="0"/>
          <w:sz w:val="28"/>
          <w:highlight w:val="none"/>
          <w:lang w:val="en-US" w:eastAsia="zh-CN"/>
        </w:rPr>
      </w:pPr>
      <w:bookmarkStart w:id="73" w:name="_Toc17608"/>
      <w:bookmarkStart w:id="74" w:name="_Toc19329"/>
      <w:bookmarkStart w:id="75" w:name="_Toc22488"/>
      <w:r>
        <w:rPr>
          <w:rFonts w:hint="default" w:ascii="Times New Roman" w:hAnsi="Times New Roman" w:eastAsia="宋体" w:cs="Times New Roman"/>
          <w:b w:val="0"/>
          <w:bCs w:val="0"/>
          <w:caps w:val="0"/>
          <w:smallCaps w:val="0"/>
          <w:color w:val="auto"/>
          <w:spacing w:val="0"/>
          <w:w w:val="100"/>
          <w:kern w:val="0"/>
          <w:sz w:val="28"/>
          <w:highlight w:val="none"/>
          <w:lang w:val="en-US" w:eastAsia="zh-CN"/>
        </w:rPr>
        <w:t>2.6.1大气环境评价范围及保护目标</w:t>
      </w:r>
      <w:bookmarkEnd w:id="73"/>
      <w:bookmarkEnd w:id="74"/>
      <w:bookmarkEnd w:id="75"/>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本项目不设置大气环境影响评价范围。结合周边环境状况，大气环境保护目标具体见表2.6-1。</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表2.6-1大气环境保护目标一览表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76"/>
        <w:gridCol w:w="2138"/>
        <w:gridCol w:w="1144"/>
        <w:gridCol w:w="1456"/>
        <w:gridCol w:w="981"/>
        <w:gridCol w:w="16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保护目标</w:t>
            </w:r>
          </w:p>
        </w:tc>
        <w:tc>
          <w:tcPr>
            <w:tcW w:w="21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坐标（°）</w:t>
            </w:r>
          </w:p>
        </w:tc>
        <w:tc>
          <w:tcPr>
            <w:tcW w:w="11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对象</w:t>
            </w:r>
          </w:p>
        </w:tc>
        <w:tc>
          <w:tcPr>
            <w:tcW w:w="1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内容</w:t>
            </w:r>
          </w:p>
        </w:tc>
        <w:tc>
          <w:tcPr>
            <w:tcW w:w="9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环境功能区</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相对最近井场方位/距离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天主堂屯</w:t>
            </w:r>
          </w:p>
        </w:tc>
        <w:tc>
          <w:tcPr>
            <w:tcW w:w="21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g125.277210，45.827168</w:t>
            </w:r>
          </w:p>
        </w:tc>
        <w:tc>
          <w:tcPr>
            <w:tcW w:w="11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居民，约150人</w:t>
            </w:r>
          </w:p>
        </w:tc>
        <w:tc>
          <w:tcPr>
            <w:tcW w:w="1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居住区空气质量</w:t>
            </w:r>
          </w:p>
        </w:tc>
        <w:tc>
          <w:tcPr>
            <w:tcW w:w="9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二类</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拟建肇深19-平3井北1.88km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李珍窝棚</w:t>
            </w:r>
          </w:p>
        </w:tc>
        <w:tc>
          <w:tcPr>
            <w:tcW w:w="21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g125.281343，45.811839</w:t>
            </w:r>
          </w:p>
        </w:tc>
        <w:tc>
          <w:tcPr>
            <w:tcW w:w="11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村民，约80人</w:t>
            </w:r>
          </w:p>
        </w:tc>
        <w:tc>
          <w:tcPr>
            <w:tcW w:w="1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居住区空气质量</w:t>
            </w:r>
          </w:p>
        </w:tc>
        <w:tc>
          <w:tcPr>
            <w:tcW w:w="9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二类</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拟建肇深19-平3井北27</w:t>
            </w:r>
            <w:r>
              <w:rPr>
                <w:rFonts w:hint="eastAsia" w:ascii="Times New Roman" w:hAnsi="Times New Roman" w:cs="Times New Roman"/>
                <w:color w:val="auto"/>
                <w:sz w:val="24"/>
                <w:szCs w:val="24"/>
                <w:highlight w:val="none"/>
                <w:vertAlign w:val="baseline"/>
                <w:lang w:val="en-US" w:eastAsia="zh-CN"/>
              </w:rPr>
              <w:t>6</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三门董家</w:t>
            </w:r>
          </w:p>
        </w:tc>
        <w:tc>
          <w:tcPr>
            <w:tcW w:w="21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g125.275417，45.805872</w:t>
            </w:r>
          </w:p>
        </w:tc>
        <w:tc>
          <w:tcPr>
            <w:tcW w:w="11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居民，约250人</w:t>
            </w:r>
          </w:p>
        </w:tc>
        <w:tc>
          <w:tcPr>
            <w:tcW w:w="1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居住区空气质量</w:t>
            </w:r>
          </w:p>
        </w:tc>
        <w:tc>
          <w:tcPr>
            <w:tcW w:w="9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二类</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拟建肇深19-平2井西611m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范家窝棚</w:t>
            </w:r>
          </w:p>
        </w:tc>
        <w:tc>
          <w:tcPr>
            <w:tcW w:w="21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g125.294101，45.804251</w:t>
            </w:r>
          </w:p>
        </w:tc>
        <w:tc>
          <w:tcPr>
            <w:tcW w:w="11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居民，约120人</w:t>
            </w:r>
          </w:p>
        </w:tc>
        <w:tc>
          <w:tcPr>
            <w:tcW w:w="1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居住区空气质量</w:t>
            </w:r>
          </w:p>
        </w:tc>
        <w:tc>
          <w:tcPr>
            <w:tcW w:w="9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二类</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w:t>
            </w:r>
            <w:r>
              <w:rPr>
                <w:rFonts w:hint="eastAsia" w:ascii="Times New Roman" w:hAnsi="Times New Roman" w:cs="Times New Roman"/>
                <w:color w:val="auto"/>
                <w:sz w:val="24"/>
                <w:szCs w:val="24"/>
                <w:highlight w:val="none"/>
                <w:vertAlign w:val="baseline"/>
                <w:lang w:val="en-US" w:eastAsia="zh-CN"/>
              </w:rPr>
              <w:t>斜1</w:t>
            </w:r>
            <w:r>
              <w:rPr>
                <w:rFonts w:hint="default" w:ascii="Times New Roman" w:hAnsi="Times New Roman" w:cs="Times New Roman"/>
                <w:color w:val="auto"/>
                <w:sz w:val="24"/>
                <w:szCs w:val="24"/>
                <w:highlight w:val="none"/>
                <w:vertAlign w:val="baseline"/>
                <w:lang w:val="en-US" w:eastAsia="zh-CN"/>
              </w:rPr>
              <w:t>井</w:t>
            </w:r>
            <w:r>
              <w:rPr>
                <w:rFonts w:hint="eastAsia" w:ascii="Times New Roman" w:hAnsi="Times New Roman" w:cs="Times New Roman"/>
                <w:color w:val="auto"/>
                <w:sz w:val="24"/>
                <w:szCs w:val="24"/>
                <w:highlight w:val="none"/>
                <w:vertAlign w:val="baseline"/>
                <w:lang w:val="en-US" w:eastAsia="zh-CN"/>
              </w:rPr>
              <w:t>东北494</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王纯屯</w:t>
            </w:r>
          </w:p>
        </w:tc>
        <w:tc>
          <w:tcPr>
            <w:tcW w:w="21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w:t>
            </w:r>
            <w:r>
              <w:rPr>
                <w:rFonts w:hint="default" w:ascii="Times New Roman" w:hAnsi="Times New Roman" w:cs="Times New Roman"/>
                <w:color w:val="auto"/>
                <w:sz w:val="24"/>
                <w:szCs w:val="24"/>
                <w:highlight w:val="none"/>
                <w:vertAlign w:val="baseline"/>
                <w:lang w:val="en-US" w:eastAsia="zh-CN"/>
              </w:rPr>
              <w:t>125.3234</w:t>
            </w:r>
            <w:r>
              <w:rPr>
                <w:rFonts w:hint="eastAsia" w:ascii="Times New Roman" w:hAnsi="Times New Roman" w:cs="Times New Roman"/>
                <w:color w:val="auto"/>
                <w:sz w:val="24"/>
                <w:szCs w:val="24"/>
                <w:highlight w:val="none"/>
                <w:vertAlign w:val="baseline"/>
                <w:lang w:val="en-US" w:eastAsia="zh-CN"/>
              </w:rPr>
              <w:t>1，45.806143</w:t>
            </w:r>
          </w:p>
        </w:tc>
        <w:tc>
          <w:tcPr>
            <w:tcW w:w="11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居民，约140人</w:t>
            </w:r>
          </w:p>
        </w:tc>
        <w:tc>
          <w:tcPr>
            <w:tcW w:w="1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居住区空气质量</w:t>
            </w:r>
          </w:p>
        </w:tc>
        <w:tc>
          <w:tcPr>
            <w:tcW w:w="9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二类</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拟建肇深19-斜1井东北2.22km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姜泡屯</w:t>
            </w:r>
          </w:p>
        </w:tc>
        <w:tc>
          <w:tcPr>
            <w:tcW w:w="21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g125.313299，45.799890</w:t>
            </w:r>
          </w:p>
        </w:tc>
        <w:tc>
          <w:tcPr>
            <w:tcW w:w="11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居民，约120人</w:t>
            </w:r>
          </w:p>
        </w:tc>
        <w:tc>
          <w:tcPr>
            <w:tcW w:w="1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居住区空气质量</w:t>
            </w:r>
          </w:p>
        </w:tc>
        <w:tc>
          <w:tcPr>
            <w:tcW w:w="9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二类</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拟建肇深19-斜1井东1.28km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平等村</w:t>
            </w:r>
          </w:p>
        </w:tc>
        <w:tc>
          <w:tcPr>
            <w:tcW w:w="21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g125.291883，45.785324</w:t>
            </w:r>
          </w:p>
        </w:tc>
        <w:tc>
          <w:tcPr>
            <w:tcW w:w="11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居民，约180人</w:t>
            </w:r>
          </w:p>
        </w:tc>
        <w:tc>
          <w:tcPr>
            <w:tcW w:w="1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居住区空气质量</w:t>
            </w:r>
          </w:p>
        </w:tc>
        <w:tc>
          <w:tcPr>
            <w:tcW w:w="9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二类</w:t>
            </w:r>
          </w:p>
        </w:tc>
        <w:tc>
          <w:tcPr>
            <w:tcW w:w="1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拟建肇深19-斜1井南1.2</w:t>
            </w:r>
            <w:r>
              <w:rPr>
                <w:rFonts w:hint="eastAsia" w:ascii="Times New Roman" w:hAnsi="Times New Roman" w:cs="Times New Roman"/>
                <w:color w:val="auto"/>
                <w:sz w:val="24"/>
                <w:szCs w:val="24"/>
                <w:highlight w:val="none"/>
                <w:vertAlign w:val="baseline"/>
                <w:lang w:val="en-US" w:eastAsia="zh-CN"/>
              </w:rPr>
              <w:t>8</w:t>
            </w:r>
            <w:r>
              <w:rPr>
                <w:rFonts w:hint="default" w:ascii="Times New Roman" w:hAnsi="Times New Roman" w:cs="Times New Roman"/>
                <w:color w:val="auto"/>
                <w:sz w:val="24"/>
                <w:szCs w:val="24"/>
                <w:highlight w:val="none"/>
                <w:vertAlign w:val="baseline"/>
                <w:lang w:val="en-US" w:eastAsia="zh-CN"/>
              </w:rPr>
              <w:t>Km</w:t>
            </w:r>
          </w:p>
        </w:tc>
      </w:tr>
    </w:tbl>
    <w:p>
      <w:pPr>
        <w:pStyle w:val="7"/>
        <w:pageBreakBefore w:val="0"/>
        <w:bidi w:val="0"/>
        <w:spacing w:before="31" w:after="31" w:line="360" w:lineRule="auto"/>
        <w:rPr>
          <w:rFonts w:hint="default" w:ascii="Times New Roman" w:hAnsi="Times New Roman" w:eastAsia="宋体" w:cs="Times New Roman"/>
          <w:b w:val="0"/>
          <w:bCs w:val="0"/>
          <w:caps w:val="0"/>
          <w:smallCaps w:val="0"/>
          <w:color w:val="auto"/>
          <w:spacing w:val="0"/>
          <w:w w:val="100"/>
          <w:kern w:val="0"/>
          <w:sz w:val="28"/>
          <w:highlight w:val="none"/>
          <w:lang w:val="en-US" w:eastAsia="zh-CN"/>
        </w:rPr>
      </w:pPr>
      <w:bookmarkStart w:id="76" w:name="_Toc8083"/>
      <w:bookmarkStart w:id="77" w:name="_Toc1048"/>
      <w:bookmarkStart w:id="78" w:name="_Toc5935"/>
      <w:r>
        <w:rPr>
          <w:rFonts w:hint="default" w:ascii="Times New Roman" w:hAnsi="Times New Roman" w:eastAsia="宋体" w:cs="Times New Roman"/>
          <w:b w:val="0"/>
          <w:bCs w:val="0"/>
          <w:caps w:val="0"/>
          <w:smallCaps w:val="0"/>
          <w:color w:val="auto"/>
          <w:spacing w:val="0"/>
          <w:w w:val="100"/>
          <w:kern w:val="0"/>
          <w:sz w:val="28"/>
          <w:highlight w:val="none"/>
          <w:lang w:val="en-US" w:eastAsia="zh-CN"/>
        </w:rPr>
        <w:t>2.6.2地表水环境评价范围及保护目标</w:t>
      </w:r>
      <w:bookmarkEnd w:id="76"/>
      <w:bookmarkEnd w:id="77"/>
      <w:bookmarkEnd w:id="78"/>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本项目地表水评价范围为拟建井场东侧的北大干渠，位于拟建井场东侧，相对最近距离为1.8km，由北向南流经，为排水干渠，为T型，水渠东西宽30-40m，深度约为4m，在非降雨期为干涸状态。</w:t>
      </w:r>
      <w:r>
        <w:rPr>
          <w:rFonts w:hint="eastAsia" w:ascii="Times New Roman" w:hAnsi="Times New Roman" w:eastAsia="宋体" w:cs="Times New Roman"/>
          <w:color w:val="auto"/>
          <w:kern w:val="0"/>
          <w:sz w:val="28"/>
          <w:szCs w:val="28"/>
          <w:highlight w:val="none"/>
          <w:lang w:val="en-US" w:eastAsia="zh-CN" w:bidi="ar"/>
        </w:rPr>
        <w:t>在降雨期，可能有少量存水。</w:t>
      </w:r>
      <w:r>
        <w:rPr>
          <w:rFonts w:hint="default" w:ascii="Times New Roman" w:hAnsi="Times New Roman" w:eastAsia="宋体" w:cs="Times New Roman"/>
          <w:color w:val="auto"/>
          <w:kern w:val="0"/>
          <w:sz w:val="28"/>
          <w:szCs w:val="28"/>
          <w:highlight w:val="none"/>
          <w:lang w:val="en-US" w:eastAsia="zh-CN" w:bidi="ar"/>
        </w:rPr>
        <w:t>本项目地表水环境保护目标具体见表2.6-2。</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表2.6-2本项目地表水环境保护目标一览表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33"/>
        <w:gridCol w:w="2825"/>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保护目标</w:t>
            </w:r>
          </w:p>
        </w:tc>
        <w:tc>
          <w:tcPr>
            <w:tcW w:w="28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距井场方位及最近距离</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环境特征</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北大干渠</w:t>
            </w:r>
          </w:p>
        </w:tc>
        <w:tc>
          <w:tcPr>
            <w:tcW w:w="28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井场东侧，距离肇深19-斜1井1.8km</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排水干渠，在肇州县境内由北向南流经</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bl>
    <w:p>
      <w:pPr>
        <w:pStyle w:val="7"/>
        <w:pageBreakBefore w:val="0"/>
        <w:bidi w:val="0"/>
        <w:spacing w:before="31" w:after="31" w:line="360" w:lineRule="auto"/>
        <w:rPr>
          <w:rFonts w:hint="default" w:ascii="Times New Roman" w:hAnsi="Times New Roman" w:eastAsia="宋体" w:cs="Times New Roman"/>
          <w:caps w:val="0"/>
          <w:smallCaps w:val="0"/>
          <w:color w:val="auto"/>
          <w:spacing w:val="0"/>
          <w:w w:val="100"/>
          <w:kern w:val="0"/>
          <w:sz w:val="28"/>
          <w:highlight w:val="none"/>
          <w:lang w:val="en-US" w:eastAsia="zh-CN"/>
        </w:rPr>
      </w:pPr>
      <w:bookmarkStart w:id="79" w:name="_Toc31901"/>
      <w:bookmarkStart w:id="80" w:name="_Toc25790"/>
      <w:bookmarkStart w:id="81" w:name="_Toc28061"/>
      <w:r>
        <w:rPr>
          <w:rFonts w:hint="default" w:ascii="Times New Roman" w:hAnsi="Times New Roman" w:eastAsia="宋体" w:cs="Times New Roman"/>
          <w:caps w:val="0"/>
          <w:smallCaps w:val="0"/>
          <w:color w:val="auto"/>
          <w:spacing w:val="0"/>
          <w:w w:val="100"/>
          <w:kern w:val="0"/>
          <w:sz w:val="28"/>
          <w:highlight w:val="none"/>
          <w:lang w:val="en-US" w:eastAsia="zh-CN"/>
        </w:rPr>
        <w:t>2.6.3地下水环境评价范围及保护目标</w:t>
      </w:r>
      <w:bookmarkEnd w:id="79"/>
      <w:bookmarkEnd w:id="80"/>
      <w:bookmarkEnd w:id="81"/>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根据《环境影响评价技术导则-地下水环境》（HJ610-2016）要求，首先采用公式计算法确定评价范围，计算公式为：</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L=α×K×I×T/n</w:t>
      </w:r>
      <w:r>
        <w:rPr>
          <w:rFonts w:hint="default" w:ascii="Times New Roman" w:hAnsi="Times New Roman" w:eastAsia="宋体" w:cs="Times New Roman"/>
          <w:color w:val="auto"/>
          <w:kern w:val="0"/>
          <w:sz w:val="28"/>
          <w:szCs w:val="28"/>
          <w:highlight w:val="none"/>
          <w:vertAlign w:val="subscript"/>
          <w:lang w:val="en-US" w:eastAsia="zh-CN" w:bidi="ar"/>
        </w:rPr>
        <w:t>e</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式中：L-下游迁移距离，m；</w:t>
      </w:r>
    </w:p>
    <w:p>
      <w:pPr>
        <w:keepNext w:val="0"/>
        <w:keepLines w:val="0"/>
        <w:widowControl/>
        <w:suppressLineNumbers w:val="0"/>
        <w:spacing w:line="360" w:lineRule="auto"/>
        <w:ind w:firstLine="1400" w:firstLineChars="5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α-变化系数，α≥1，一般取2；</w:t>
      </w:r>
    </w:p>
    <w:p>
      <w:pPr>
        <w:keepNext w:val="0"/>
        <w:keepLines w:val="0"/>
        <w:widowControl/>
        <w:suppressLineNumbers w:val="0"/>
        <w:spacing w:line="360" w:lineRule="auto"/>
        <w:ind w:firstLine="1400" w:firstLineChars="5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K-渗透系数，m/d</w:t>
      </w:r>
      <w:r>
        <w:rPr>
          <w:rFonts w:hint="eastAsia" w:ascii="Times New Roman" w:hAnsi="Times New Roman" w:eastAsia="宋体" w:cs="Times New Roman"/>
          <w:color w:val="auto"/>
          <w:kern w:val="0"/>
          <w:sz w:val="28"/>
          <w:szCs w:val="28"/>
          <w:highlight w:val="none"/>
          <w:lang w:val="en-US" w:eastAsia="zh-CN" w:bidi="ar"/>
        </w:rPr>
        <w:t>，取0.05</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1400" w:firstLineChars="5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I-水力坡度</w:t>
      </w:r>
      <w:r>
        <w:rPr>
          <w:rFonts w:hint="eastAsia" w:ascii="Times New Roman" w:hAnsi="Times New Roman" w:eastAsia="宋体" w:cs="Times New Roman"/>
          <w:color w:val="auto"/>
          <w:kern w:val="0"/>
          <w:sz w:val="28"/>
          <w:szCs w:val="28"/>
          <w:highlight w:val="none"/>
          <w:lang w:val="en-US" w:eastAsia="zh-CN" w:bidi="ar"/>
        </w:rPr>
        <w:t>，取0.0012</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1400" w:firstLineChars="5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T-质点迁移天数</w:t>
      </w:r>
      <w:r>
        <w:rPr>
          <w:rFonts w:hint="eastAsia" w:ascii="Times New Roman" w:hAnsi="Times New Roman" w:eastAsia="宋体" w:cs="Times New Roman"/>
          <w:color w:val="auto"/>
          <w:kern w:val="0"/>
          <w:sz w:val="28"/>
          <w:szCs w:val="28"/>
          <w:highlight w:val="none"/>
          <w:lang w:val="en-US" w:eastAsia="zh-CN" w:bidi="ar"/>
        </w:rPr>
        <w:t>，取5000d</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1400" w:firstLineChars="5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n</w:t>
      </w:r>
      <w:r>
        <w:rPr>
          <w:rFonts w:hint="default" w:ascii="Times New Roman" w:hAnsi="Times New Roman" w:eastAsia="宋体" w:cs="Times New Roman"/>
          <w:color w:val="auto"/>
          <w:kern w:val="0"/>
          <w:sz w:val="28"/>
          <w:szCs w:val="28"/>
          <w:highlight w:val="none"/>
          <w:vertAlign w:val="subscript"/>
          <w:lang w:val="en-US" w:eastAsia="zh-CN" w:bidi="ar"/>
        </w:rPr>
        <w:t>e</w:t>
      </w:r>
      <w:r>
        <w:rPr>
          <w:rFonts w:hint="default" w:ascii="Times New Roman" w:hAnsi="Times New Roman" w:eastAsia="宋体" w:cs="Times New Roman"/>
          <w:color w:val="auto"/>
          <w:kern w:val="0"/>
          <w:sz w:val="28"/>
          <w:szCs w:val="28"/>
          <w:highlight w:val="none"/>
          <w:lang w:val="en-US" w:eastAsia="zh-CN" w:bidi="ar"/>
        </w:rPr>
        <w:t>-有效孔隙度，量纲为1</w:t>
      </w:r>
      <w:r>
        <w:rPr>
          <w:rFonts w:hint="eastAsia" w:ascii="Times New Roman" w:hAnsi="Times New Roman" w:eastAsia="宋体" w:cs="Times New Roman"/>
          <w:color w:val="auto"/>
          <w:kern w:val="0"/>
          <w:sz w:val="28"/>
          <w:szCs w:val="28"/>
          <w:highlight w:val="none"/>
          <w:lang w:val="en-US" w:eastAsia="zh-CN" w:bidi="ar"/>
        </w:rPr>
        <w:t>，取0.342</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得出L=1.75m。结合项目周围村屯取水井分布的实际情况，兼顾本项目地下水流向为自东北向西南方向，确定本工项目地下水评价范围为以拟建井场为中心，并适当进行外扩，最终确定本项目的地下水评价范围为东西长4.2km、南北宽4.8km、总面积约20.16k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的区域。本项目地下水保护目标见下表。</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表2.6-3本项目地下水环境保护目标一览表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55"/>
        <w:gridCol w:w="2115"/>
        <w:gridCol w:w="3150"/>
        <w:gridCol w:w="16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保护目标</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相对最近井场方位/距离</w:t>
            </w:r>
          </w:p>
        </w:tc>
        <w:tc>
          <w:tcPr>
            <w:tcW w:w="18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环境特征</w:t>
            </w:r>
          </w:p>
        </w:tc>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李珍窝棚</w:t>
            </w:r>
            <w:r>
              <w:rPr>
                <w:rFonts w:hint="eastAsia" w:ascii="Times New Roman" w:hAnsi="Times New Roman" w:cs="Times New Roman"/>
                <w:color w:val="auto"/>
                <w:sz w:val="24"/>
                <w:szCs w:val="24"/>
                <w:highlight w:val="none"/>
                <w:vertAlign w:val="baseline"/>
                <w:lang w:val="en-US" w:eastAsia="zh-CN"/>
              </w:rPr>
              <w:t>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拟建肇深19-平3井</w:t>
            </w:r>
            <w:r>
              <w:rPr>
                <w:rFonts w:hint="eastAsia" w:ascii="Times New Roman" w:hAnsi="Times New Roman" w:cs="Times New Roman"/>
                <w:color w:val="auto"/>
                <w:sz w:val="24"/>
                <w:szCs w:val="24"/>
                <w:highlight w:val="none"/>
                <w:vertAlign w:val="baseline"/>
                <w:lang w:val="en-US" w:eastAsia="zh-CN"/>
              </w:rPr>
              <w:t>西北侧276m</w:t>
            </w:r>
          </w:p>
        </w:tc>
        <w:tc>
          <w:tcPr>
            <w:tcW w:w="18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居民饮用水源为村屯内1口集中饮用水井，供全村80人饮用，井深约100m；另有分散水井约10口，井深20m～3</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m，主要用于灌溉。</w:t>
            </w:r>
          </w:p>
        </w:tc>
        <w:tc>
          <w:tcPr>
            <w:tcW w:w="99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《地下水质量标准》（GB/T14848-2017）III类</w:t>
            </w:r>
            <w:r>
              <w:rPr>
                <w:rFonts w:hint="eastAsia" w:ascii="Times New Roman" w:hAnsi="Times New Roman" w:cs="Times New Roman"/>
                <w:color w:val="auto"/>
                <w:sz w:val="24"/>
                <w:szCs w:val="24"/>
                <w:highlight w:val="none"/>
                <w:vertAlign w:val="baseline"/>
                <w:lang w:val="en-US" w:eastAsia="zh-CN"/>
              </w:rPr>
              <w:t>；石油类参照《地表水环境质量标准》（GB3838-2002）</w:t>
            </w:r>
            <w:r>
              <w:rPr>
                <w:rFonts w:hint="default" w:ascii="Times New Roman" w:hAnsi="Times New Roman" w:cs="Times New Roman"/>
                <w:color w:val="auto"/>
                <w:sz w:val="24"/>
                <w:szCs w:val="24"/>
                <w:highlight w:val="none"/>
                <w:vertAlign w:val="baseline"/>
                <w:lang w:val="en-US" w:eastAsia="zh-CN"/>
              </w:rPr>
              <w:t>III</w:t>
            </w:r>
            <w:r>
              <w:rPr>
                <w:rFonts w:hint="eastAsia" w:ascii="Times New Roman" w:hAnsi="Times New Roman" w:cs="Times New Roman"/>
                <w:color w:val="auto"/>
                <w:sz w:val="24"/>
                <w:szCs w:val="24"/>
                <w:highlight w:val="none"/>
                <w:vertAlign w:val="baseline"/>
                <w:lang w:val="en-US" w:eastAsia="zh-CN"/>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三门董家</w:t>
            </w:r>
            <w:r>
              <w:rPr>
                <w:rFonts w:hint="eastAsia" w:ascii="Times New Roman" w:hAnsi="Times New Roman" w:cs="Times New Roman"/>
                <w:color w:val="auto"/>
                <w:sz w:val="24"/>
                <w:szCs w:val="24"/>
                <w:highlight w:val="none"/>
                <w:vertAlign w:val="baseline"/>
                <w:lang w:val="en-US" w:eastAsia="zh-CN"/>
              </w:rPr>
              <w:t>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拟建肇深19-平3井</w:t>
            </w:r>
            <w:r>
              <w:rPr>
                <w:rFonts w:hint="eastAsia" w:ascii="Times New Roman" w:hAnsi="Times New Roman" w:cs="Times New Roman"/>
                <w:color w:val="auto"/>
                <w:sz w:val="24"/>
                <w:szCs w:val="24"/>
                <w:highlight w:val="none"/>
                <w:vertAlign w:val="baseline"/>
                <w:lang w:val="en-US" w:eastAsia="zh-CN"/>
              </w:rPr>
              <w:t>西南侧610m</w:t>
            </w:r>
          </w:p>
        </w:tc>
        <w:tc>
          <w:tcPr>
            <w:tcW w:w="18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居民饮用水源为村屯内1口集中饮用水井，供全村250人饮用，井深约100m；另有分散水井约18口，井深20m～</w:t>
            </w:r>
            <w:r>
              <w:rPr>
                <w:rFonts w:hint="eastAsia" w:ascii="Times New Roman" w:hAnsi="Times New Roman" w:cs="Times New Roman"/>
                <w:color w:val="auto"/>
                <w:sz w:val="24"/>
                <w:szCs w:val="24"/>
                <w:highlight w:val="none"/>
                <w:vertAlign w:val="baseline"/>
                <w:lang w:val="en-US" w:eastAsia="zh-CN"/>
              </w:rPr>
              <w:t>50</w:t>
            </w:r>
            <w:r>
              <w:rPr>
                <w:rFonts w:hint="default" w:ascii="Times New Roman" w:hAnsi="Times New Roman" w:cs="Times New Roman"/>
                <w:color w:val="auto"/>
                <w:sz w:val="24"/>
                <w:szCs w:val="24"/>
                <w:highlight w:val="none"/>
                <w:vertAlign w:val="baseline"/>
                <w:lang w:val="en-US" w:eastAsia="zh-CN"/>
              </w:rPr>
              <w:t>m，主要用于灌溉。</w:t>
            </w:r>
          </w:p>
        </w:tc>
        <w:tc>
          <w:tcPr>
            <w:tcW w:w="995" w:type="pct"/>
            <w:vMerge w:val="continue"/>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color w:val="auto"/>
                <w:kern w:val="0"/>
                <w:sz w:val="28"/>
                <w:szCs w:val="28"/>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范家窝棚</w:t>
            </w:r>
            <w:r>
              <w:rPr>
                <w:rFonts w:hint="eastAsia" w:ascii="Times New Roman" w:hAnsi="Times New Roman" w:cs="Times New Roman"/>
                <w:color w:val="auto"/>
                <w:sz w:val="24"/>
                <w:szCs w:val="24"/>
                <w:highlight w:val="none"/>
                <w:vertAlign w:val="baseline"/>
                <w:lang w:val="en-US" w:eastAsia="zh-CN"/>
              </w:rPr>
              <w:t>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拟建肇深19-斜1井东北侧551m</w:t>
            </w:r>
          </w:p>
        </w:tc>
        <w:tc>
          <w:tcPr>
            <w:tcW w:w="18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居民饮用水源为村屯内1口集中饮用水井，供全村120人饮用，井深约100m；另有分散水井约24口，井深20m～30m，主要用于灌溉。</w:t>
            </w:r>
          </w:p>
        </w:tc>
        <w:tc>
          <w:tcPr>
            <w:tcW w:w="995" w:type="pct"/>
            <w:vMerge w:val="continue"/>
            <w:tcBorders>
              <w:tl2br w:val="nil"/>
              <w:tr2bl w:val="nil"/>
            </w:tcBorders>
            <w:noWrap w:val="0"/>
            <w:vAlign w:val="top"/>
          </w:tcPr>
          <w:p>
            <w:pPr>
              <w:keepNext w:val="0"/>
              <w:keepLines w:val="0"/>
              <w:widowControl/>
              <w:suppressLineNumbers w:val="0"/>
              <w:jc w:val="left"/>
              <w:rPr>
                <w:rFonts w:hint="default" w:ascii="Times New Roman" w:hAnsi="Times New Roman" w:eastAsia="宋体" w:cs="Times New Roman"/>
                <w:color w:val="auto"/>
                <w:kern w:val="0"/>
                <w:sz w:val="28"/>
                <w:szCs w:val="28"/>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姜泡屯</w:t>
            </w:r>
            <w:r>
              <w:rPr>
                <w:rFonts w:hint="eastAsia" w:ascii="Times New Roman" w:hAnsi="Times New Roman" w:cs="Times New Roman"/>
                <w:color w:val="auto"/>
                <w:sz w:val="24"/>
                <w:szCs w:val="24"/>
                <w:highlight w:val="none"/>
                <w:vertAlign w:val="baseline"/>
                <w:lang w:val="en-US" w:eastAsia="zh-CN"/>
              </w:rPr>
              <w:t>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拟建肇深19-斜1井东侧1.29km</w:t>
            </w:r>
          </w:p>
        </w:tc>
        <w:tc>
          <w:tcPr>
            <w:tcW w:w="18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居民饮用水源为村屯内1口集中饮用水井，供全村120人饮用，井深约100m；另有分散水井约20口，井深20m～30m，主要用于灌溉。</w:t>
            </w:r>
          </w:p>
        </w:tc>
        <w:tc>
          <w:tcPr>
            <w:tcW w:w="995"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平等村</w:t>
            </w:r>
            <w:r>
              <w:rPr>
                <w:rFonts w:hint="eastAsia" w:ascii="Times New Roman" w:hAnsi="Times New Roman" w:cs="Times New Roman"/>
                <w:color w:val="auto"/>
                <w:sz w:val="24"/>
                <w:szCs w:val="24"/>
                <w:highlight w:val="none"/>
                <w:vertAlign w:val="baseline"/>
                <w:lang w:val="en-US" w:eastAsia="zh-CN"/>
              </w:rPr>
              <w:t>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拟建肇深19-斜1井西南侧1.28km</w:t>
            </w:r>
          </w:p>
        </w:tc>
        <w:tc>
          <w:tcPr>
            <w:tcW w:w="1849"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居民饮用水源为村屯内1口集中饮用水井，供全村180人饮用，井深约100m；另有分散水井约22口，井深20m～30m，主要用于灌溉。</w:t>
            </w:r>
          </w:p>
        </w:tc>
        <w:tc>
          <w:tcPr>
            <w:tcW w:w="995"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三家子屯</w:t>
            </w:r>
            <w:r>
              <w:rPr>
                <w:rFonts w:hint="eastAsia" w:ascii="Times New Roman" w:hAnsi="Times New Roman" w:cs="Times New Roman"/>
                <w:color w:val="auto"/>
                <w:sz w:val="24"/>
                <w:szCs w:val="24"/>
                <w:highlight w:val="none"/>
                <w:vertAlign w:val="baseline"/>
                <w:lang w:val="en-US" w:eastAsia="zh-CN"/>
              </w:rPr>
              <w:t>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拟建肇深19-斜1井西南侧1.94km</w:t>
            </w:r>
          </w:p>
        </w:tc>
        <w:tc>
          <w:tcPr>
            <w:tcW w:w="1849"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居民饮用水源为村屯内1口分散式饮用水井，供全村120人饮用，井深约100m；另有分散水井约19口，井深20m～30m，主要用于灌溉。</w:t>
            </w:r>
          </w:p>
        </w:tc>
        <w:tc>
          <w:tcPr>
            <w:tcW w:w="995"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天主堂水井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拟建肇深19-平3井北1.88km</w:t>
            </w:r>
          </w:p>
        </w:tc>
        <w:tc>
          <w:tcPr>
            <w:tcW w:w="1849"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居民饮用水源为村屯内1口分散式饮用水井，供全村</w:t>
            </w:r>
            <w:r>
              <w:rPr>
                <w:rFonts w:hint="eastAsia" w:ascii="Times New Roman" w:hAnsi="Times New Roman" w:cs="Times New Roman"/>
                <w:color w:val="auto"/>
                <w:sz w:val="24"/>
                <w:szCs w:val="24"/>
                <w:highlight w:val="none"/>
                <w:vertAlign w:val="baseline"/>
                <w:lang w:val="en-US" w:eastAsia="zh-CN"/>
              </w:rPr>
              <w:t>150</w:t>
            </w:r>
            <w:r>
              <w:rPr>
                <w:rFonts w:hint="default" w:ascii="Times New Roman" w:hAnsi="Times New Roman" w:cs="Times New Roman"/>
                <w:color w:val="auto"/>
                <w:sz w:val="24"/>
                <w:szCs w:val="24"/>
                <w:highlight w:val="none"/>
                <w:vertAlign w:val="baseline"/>
                <w:lang w:val="en-US" w:eastAsia="zh-CN"/>
              </w:rPr>
              <w:t>人饮用，井深约100m；另有分散水井约25口，井深20m～30m，主要用于灌溉</w:t>
            </w:r>
          </w:p>
        </w:tc>
        <w:tc>
          <w:tcPr>
            <w:tcW w:w="995"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胜强村水井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拟建肇深19-平3井</w:t>
            </w:r>
            <w:r>
              <w:rPr>
                <w:rFonts w:hint="eastAsia" w:ascii="Times New Roman" w:hAnsi="Times New Roman" w:cs="Times New Roman"/>
                <w:color w:val="auto"/>
                <w:sz w:val="24"/>
                <w:szCs w:val="24"/>
                <w:highlight w:val="none"/>
                <w:vertAlign w:val="baseline"/>
                <w:lang w:val="en-US" w:eastAsia="zh-CN"/>
              </w:rPr>
              <w:t>东北2.59km</w:t>
            </w:r>
          </w:p>
        </w:tc>
        <w:tc>
          <w:tcPr>
            <w:tcW w:w="1849"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居民饮用水源为村屯内1口分散式饮用水井，供全村</w:t>
            </w:r>
            <w:r>
              <w:rPr>
                <w:rFonts w:hint="eastAsia" w:ascii="Times New Roman" w:hAnsi="Times New Roman" w:cs="Times New Roman"/>
                <w:color w:val="auto"/>
                <w:sz w:val="24"/>
                <w:szCs w:val="24"/>
                <w:highlight w:val="none"/>
                <w:vertAlign w:val="baseline"/>
                <w:lang w:val="en-US" w:eastAsia="zh-CN"/>
              </w:rPr>
              <w:t>180</w:t>
            </w:r>
            <w:r>
              <w:rPr>
                <w:rFonts w:hint="default" w:ascii="Times New Roman" w:hAnsi="Times New Roman" w:cs="Times New Roman"/>
                <w:color w:val="auto"/>
                <w:sz w:val="24"/>
                <w:szCs w:val="24"/>
                <w:highlight w:val="none"/>
                <w:vertAlign w:val="baseline"/>
                <w:lang w:val="en-US" w:eastAsia="zh-CN"/>
              </w:rPr>
              <w:t>人饮用，井深约</w:t>
            </w:r>
            <w:r>
              <w:rPr>
                <w:rFonts w:hint="eastAsia" w:ascii="Times New Roman" w:hAnsi="Times New Roman" w:cs="Times New Roman"/>
                <w:color w:val="auto"/>
                <w:sz w:val="24"/>
                <w:szCs w:val="24"/>
                <w:highlight w:val="none"/>
                <w:vertAlign w:val="baseline"/>
                <w:lang w:val="en-US" w:eastAsia="zh-CN"/>
              </w:rPr>
              <w:t>70-90</w:t>
            </w:r>
            <w:r>
              <w:rPr>
                <w:rFonts w:hint="default" w:ascii="Times New Roman" w:hAnsi="Times New Roman" w:cs="Times New Roman"/>
                <w:color w:val="auto"/>
                <w:sz w:val="24"/>
                <w:szCs w:val="24"/>
                <w:highlight w:val="none"/>
                <w:vertAlign w:val="baseline"/>
                <w:lang w:val="en-US" w:eastAsia="zh-CN"/>
              </w:rPr>
              <w:t>m；另有分散水井约20口，井深20m～30m，主要用于灌溉。</w:t>
            </w:r>
          </w:p>
        </w:tc>
        <w:tc>
          <w:tcPr>
            <w:tcW w:w="995"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王纯屯水井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拟建肇深19-斜1井西南侧2.2km</w:t>
            </w:r>
          </w:p>
        </w:tc>
        <w:tc>
          <w:tcPr>
            <w:tcW w:w="1849"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居民饮用水源为村屯内1口分散式饮用水井，供全村</w:t>
            </w:r>
            <w:r>
              <w:rPr>
                <w:rFonts w:hint="eastAsia" w:ascii="Times New Roman" w:hAnsi="Times New Roman" w:cs="Times New Roman"/>
                <w:color w:val="auto"/>
                <w:sz w:val="24"/>
                <w:szCs w:val="24"/>
                <w:highlight w:val="none"/>
                <w:vertAlign w:val="baseline"/>
                <w:lang w:val="en-US" w:eastAsia="zh-CN"/>
              </w:rPr>
              <w:t>15</w:t>
            </w:r>
            <w:r>
              <w:rPr>
                <w:rFonts w:hint="default" w:ascii="Times New Roman" w:hAnsi="Times New Roman" w:cs="Times New Roman"/>
                <w:color w:val="auto"/>
                <w:sz w:val="24"/>
                <w:szCs w:val="24"/>
                <w:highlight w:val="none"/>
                <w:vertAlign w:val="baseline"/>
                <w:lang w:val="en-US" w:eastAsia="zh-CN"/>
              </w:rPr>
              <w:t>0人饮用，井深约</w:t>
            </w:r>
            <w:r>
              <w:rPr>
                <w:rFonts w:hint="eastAsia" w:ascii="Times New Roman" w:hAnsi="Times New Roman" w:cs="Times New Roman"/>
                <w:color w:val="auto"/>
                <w:sz w:val="24"/>
                <w:szCs w:val="24"/>
                <w:highlight w:val="none"/>
                <w:vertAlign w:val="baseline"/>
                <w:lang w:val="en-US" w:eastAsia="zh-CN"/>
              </w:rPr>
              <w:t>80-90</w:t>
            </w:r>
            <w:r>
              <w:rPr>
                <w:rFonts w:hint="default" w:ascii="Times New Roman" w:hAnsi="Times New Roman" w:cs="Times New Roman"/>
                <w:color w:val="auto"/>
                <w:sz w:val="24"/>
                <w:szCs w:val="24"/>
                <w:highlight w:val="none"/>
                <w:vertAlign w:val="baseline"/>
                <w:lang w:val="en-US" w:eastAsia="zh-CN"/>
              </w:rPr>
              <w:t>m；另有分散水井约</w:t>
            </w:r>
            <w:r>
              <w:rPr>
                <w:rFonts w:hint="eastAsia" w:ascii="Times New Roman" w:hAnsi="Times New Roman" w:cs="Times New Roman"/>
                <w:color w:val="auto"/>
                <w:sz w:val="24"/>
                <w:szCs w:val="24"/>
                <w:highlight w:val="none"/>
                <w:vertAlign w:val="baseline"/>
                <w:lang w:val="en-US" w:eastAsia="zh-CN"/>
              </w:rPr>
              <w:t>25</w:t>
            </w:r>
            <w:r>
              <w:rPr>
                <w:rFonts w:hint="default" w:ascii="Times New Roman" w:hAnsi="Times New Roman" w:cs="Times New Roman"/>
                <w:color w:val="auto"/>
                <w:sz w:val="24"/>
                <w:szCs w:val="24"/>
                <w:highlight w:val="none"/>
                <w:vertAlign w:val="baseline"/>
                <w:lang w:val="en-US" w:eastAsia="zh-CN"/>
              </w:rPr>
              <w:t>口，井深20m～</w:t>
            </w:r>
            <w:r>
              <w:rPr>
                <w:rFonts w:hint="eastAsia" w:ascii="Times New Roman" w:hAnsi="Times New Roman" w:cs="Times New Roman"/>
                <w:color w:val="auto"/>
                <w:sz w:val="24"/>
                <w:szCs w:val="24"/>
                <w:highlight w:val="none"/>
                <w:vertAlign w:val="baseline"/>
                <w:lang w:val="en-US" w:eastAsia="zh-CN"/>
              </w:rPr>
              <w:t>40</w:t>
            </w:r>
            <w:r>
              <w:rPr>
                <w:rFonts w:hint="default" w:ascii="Times New Roman" w:hAnsi="Times New Roman" w:cs="Times New Roman"/>
                <w:color w:val="auto"/>
                <w:sz w:val="24"/>
                <w:szCs w:val="24"/>
                <w:highlight w:val="none"/>
                <w:vertAlign w:val="baseline"/>
                <w:lang w:val="en-US" w:eastAsia="zh-CN"/>
              </w:rPr>
              <w:t>m，主要用于灌溉。</w:t>
            </w:r>
          </w:p>
        </w:tc>
        <w:tc>
          <w:tcPr>
            <w:tcW w:w="995"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bl>
    <w:p>
      <w:pPr>
        <w:pStyle w:val="7"/>
        <w:pageBreakBefore w:val="0"/>
        <w:bidi w:val="0"/>
        <w:spacing w:before="31" w:after="31" w:line="360" w:lineRule="auto"/>
        <w:rPr>
          <w:rFonts w:hint="default" w:ascii="Times New Roman" w:hAnsi="Times New Roman" w:eastAsia="宋体" w:cs="Times New Roman"/>
          <w:b w:val="0"/>
          <w:bCs w:val="0"/>
          <w:caps w:val="0"/>
          <w:smallCaps w:val="0"/>
          <w:color w:val="auto"/>
          <w:spacing w:val="0"/>
          <w:w w:val="100"/>
          <w:kern w:val="0"/>
          <w:sz w:val="28"/>
          <w:highlight w:val="none"/>
          <w:lang w:val="en-US" w:eastAsia="zh-CN"/>
        </w:rPr>
      </w:pPr>
      <w:bookmarkStart w:id="82" w:name="_Toc21105"/>
      <w:bookmarkStart w:id="83" w:name="_Toc1540"/>
      <w:bookmarkStart w:id="84" w:name="_Toc8990"/>
      <w:r>
        <w:rPr>
          <w:rFonts w:hint="default" w:ascii="Times New Roman" w:hAnsi="Times New Roman" w:eastAsia="宋体" w:cs="Times New Roman"/>
          <w:b w:val="0"/>
          <w:bCs w:val="0"/>
          <w:caps w:val="0"/>
          <w:smallCaps w:val="0"/>
          <w:color w:val="auto"/>
          <w:spacing w:val="0"/>
          <w:w w:val="100"/>
          <w:kern w:val="0"/>
          <w:sz w:val="28"/>
          <w:highlight w:val="none"/>
          <w:lang w:val="en-US" w:eastAsia="zh-CN"/>
        </w:rPr>
        <w:t>2.6.4声环境评价范围及保护目标</w:t>
      </w:r>
      <w:bookmarkEnd w:id="82"/>
      <w:bookmarkEnd w:id="83"/>
      <w:bookmarkEnd w:id="84"/>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本项目声环境评价范围为拟建井场厂界向外200m。本项目200m范围内无声环境保护目标。</w:t>
      </w:r>
    </w:p>
    <w:p>
      <w:pPr>
        <w:pStyle w:val="7"/>
        <w:pageBreakBefore w:val="0"/>
        <w:bidi w:val="0"/>
        <w:spacing w:before="31" w:after="31" w:line="360" w:lineRule="auto"/>
        <w:rPr>
          <w:rFonts w:hint="default" w:ascii="Times New Roman" w:hAnsi="Times New Roman" w:eastAsia="宋体" w:cs="Times New Roman"/>
          <w:b w:val="0"/>
          <w:bCs w:val="0"/>
          <w:caps w:val="0"/>
          <w:smallCaps w:val="0"/>
          <w:color w:val="auto"/>
          <w:spacing w:val="0"/>
          <w:w w:val="100"/>
          <w:kern w:val="0"/>
          <w:sz w:val="28"/>
          <w:highlight w:val="none"/>
          <w:lang w:val="en-US" w:eastAsia="zh-CN"/>
        </w:rPr>
      </w:pPr>
      <w:bookmarkStart w:id="85" w:name="_Toc15247"/>
      <w:bookmarkStart w:id="86" w:name="_Toc11579"/>
      <w:bookmarkStart w:id="87" w:name="_Toc26799"/>
      <w:r>
        <w:rPr>
          <w:rFonts w:hint="default" w:ascii="Times New Roman" w:hAnsi="Times New Roman" w:eastAsia="宋体" w:cs="Times New Roman"/>
          <w:b w:val="0"/>
          <w:bCs w:val="0"/>
          <w:caps w:val="0"/>
          <w:smallCaps w:val="0"/>
          <w:color w:val="auto"/>
          <w:spacing w:val="0"/>
          <w:w w:val="100"/>
          <w:kern w:val="0"/>
          <w:sz w:val="28"/>
          <w:highlight w:val="none"/>
          <w:lang w:val="en-US" w:eastAsia="zh-CN"/>
        </w:rPr>
        <w:t>2.6.5土壤环境评价范围及保护目标</w:t>
      </w:r>
      <w:bookmarkEnd w:id="85"/>
      <w:bookmarkEnd w:id="86"/>
      <w:bookmarkEnd w:id="87"/>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本项目土壤环境评价范围为拟建井场边界外扩200m，根据现场调查，本项目土壤环境敏感目标见表2.6-4，评价范围见图。</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表2.6-</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本项目土壤环境保护目标</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73"/>
        <w:gridCol w:w="1827"/>
        <w:gridCol w:w="1868"/>
        <w:gridCol w:w="3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保护目标</w:t>
            </w:r>
          </w:p>
        </w:tc>
        <w:tc>
          <w:tcPr>
            <w:tcW w:w="1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方位/距离（m）</w:t>
            </w:r>
          </w:p>
        </w:tc>
        <w:tc>
          <w:tcPr>
            <w:tcW w:w="1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环境特征</w:t>
            </w:r>
          </w:p>
        </w:tc>
        <w:tc>
          <w:tcPr>
            <w:tcW w:w="34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w:t>
            </w:r>
          </w:p>
        </w:tc>
        <w:tc>
          <w:tcPr>
            <w:tcW w:w="1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拟建井场边界外扩200m</w:t>
            </w:r>
          </w:p>
        </w:tc>
        <w:tc>
          <w:tcPr>
            <w:tcW w:w="1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基本农田</w:t>
            </w:r>
          </w:p>
        </w:tc>
        <w:tc>
          <w:tcPr>
            <w:tcW w:w="3448"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《土壤环境质量农用地土壤污染风险管控标准（试行）》（GB15618-2018）农用地土壤污染风险筛选值</w:t>
            </w:r>
          </w:p>
        </w:tc>
      </w:tr>
    </w:tbl>
    <w:p>
      <w:pPr>
        <w:pStyle w:val="7"/>
        <w:pageBreakBefore w:val="0"/>
        <w:bidi w:val="0"/>
        <w:spacing w:before="31" w:after="31" w:line="360" w:lineRule="auto"/>
        <w:rPr>
          <w:rFonts w:hint="default" w:ascii="Times New Roman" w:hAnsi="Times New Roman" w:eastAsia="宋体" w:cs="Times New Roman"/>
          <w:b w:val="0"/>
          <w:bCs w:val="0"/>
          <w:caps w:val="0"/>
          <w:smallCaps w:val="0"/>
          <w:color w:val="auto"/>
          <w:spacing w:val="0"/>
          <w:w w:val="100"/>
          <w:kern w:val="0"/>
          <w:sz w:val="28"/>
          <w:highlight w:val="none"/>
          <w:lang w:val="en-US" w:eastAsia="zh-CN"/>
        </w:rPr>
      </w:pPr>
      <w:bookmarkStart w:id="88" w:name="_Toc29807"/>
      <w:bookmarkStart w:id="89" w:name="_Toc30912"/>
      <w:bookmarkStart w:id="90" w:name="_Toc19407"/>
      <w:r>
        <w:rPr>
          <w:rFonts w:hint="default" w:ascii="Times New Roman" w:hAnsi="Times New Roman" w:eastAsia="宋体" w:cs="Times New Roman"/>
          <w:b w:val="0"/>
          <w:bCs w:val="0"/>
          <w:caps w:val="0"/>
          <w:smallCaps w:val="0"/>
          <w:color w:val="auto"/>
          <w:spacing w:val="0"/>
          <w:w w:val="100"/>
          <w:kern w:val="0"/>
          <w:sz w:val="28"/>
          <w:highlight w:val="none"/>
          <w:lang w:val="en-US" w:eastAsia="zh-CN"/>
        </w:rPr>
        <w:t>2.6.</w:t>
      </w:r>
      <w:r>
        <w:rPr>
          <w:rFonts w:hint="eastAsia" w:ascii="Times New Roman" w:hAnsi="Times New Roman" w:eastAsia="宋体" w:cs="Times New Roman"/>
          <w:b w:val="0"/>
          <w:bCs w:val="0"/>
          <w:caps w:val="0"/>
          <w:smallCaps w:val="0"/>
          <w:color w:val="auto"/>
          <w:spacing w:val="0"/>
          <w:w w:val="100"/>
          <w:kern w:val="0"/>
          <w:sz w:val="28"/>
          <w:highlight w:val="none"/>
          <w:lang w:val="en-US" w:eastAsia="zh-CN"/>
        </w:rPr>
        <w:t>6</w:t>
      </w:r>
      <w:r>
        <w:rPr>
          <w:rFonts w:hint="default" w:ascii="Times New Roman" w:hAnsi="Times New Roman" w:eastAsia="宋体" w:cs="Times New Roman"/>
          <w:b w:val="0"/>
          <w:bCs w:val="0"/>
          <w:caps w:val="0"/>
          <w:smallCaps w:val="0"/>
          <w:color w:val="auto"/>
          <w:spacing w:val="0"/>
          <w:w w:val="100"/>
          <w:kern w:val="0"/>
          <w:sz w:val="28"/>
          <w:highlight w:val="none"/>
          <w:lang w:val="en-US" w:eastAsia="zh-CN"/>
        </w:rPr>
        <w:t>生态评价范围及保护目标</w:t>
      </w:r>
      <w:bookmarkEnd w:id="88"/>
      <w:bookmarkEnd w:id="89"/>
      <w:bookmarkEnd w:id="90"/>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本项目生态评价范围为拟建井场边界外扩1km</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生态保护目标详见表2.6-5</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表2.6-</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生态保护目标统计</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79"/>
        <w:gridCol w:w="237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7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保护目标</w:t>
            </w:r>
          </w:p>
        </w:tc>
        <w:tc>
          <w:tcPr>
            <w:tcW w:w="237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相对井场方位/距离</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环境特征</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土壤、植被</w:t>
            </w:r>
          </w:p>
        </w:tc>
        <w:tc>
          <w:tcPr>
            <w:tcW w:w="23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井场边界外扩1km</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基本农田、周围生态空间</w:t>
            </w:r>
          </w:p>
        </w:tc>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降低工程建设影响，对永久占地进行补偿，对临时占地进行复垦、恢复原有</w:t>
            </w:r>
            <w:r>
              <w:rPr>
                <w:rFonts w:hint="eastAsia" w:ascii="Times New Roman" w:hAnsi="Times New Roman" w:cs="Times New Roman"/>
                <w:color w:val="auto"/>
                <w:sz w:val="24"/>
                <w:szCs w:val="24"/>
                <w:highlight w:val="none"/>
                <w:vertAlign w:val="baseline"/>
                <w:lang w:val="en-US" w:eastAsia="zh-CN"/>
              </w:rPr>
              <w:t>生态</w:t>
            </w:r>
          </w:p>
        </w:tc>
      </w:tr>
    </w:tbl>
    <w:p>
      <w:pPr>
        <w:pStyle w:val="7"/>
        <w:pageBreakBefore w:val="0"/>
        <w:bidi w:val="0"/>
        <w:spacing w:before="31" w:after="31" w:line="360" w:lineRule="auto"/>
        <w:rPr>
          <w:rFonts w:hint="default" w:ascii="Times New Roman" w:hAnsi="Times New Roman" w:eastAsia="宋体" w:cs="Times New Roman"/>
          <w:b w:val="0"/>
          <w:bCs w:val="0"/>
          <w:caps w:val="0"/>
          <w:smallCaps w:val="0"/>
          <w:color w:val="auto"/>
          <w:spacing w:val="0"/>
          <w:w w:val="100"/>
          <w:kern w:val="0"/>
          <w:sz w:val="28"/>
          <w:highlight w:val="none"/>
          <w:lang w:val="en-US" w:eastAsia="zh-CN"/>
        </w:rPr>
      </w:pPr>
      <w:bookmarkStart w:id="91" w:name="_Toc20892"/>
      <w:bookmarkStart w:id="92" w:name="_Toc20421"/>
      <w:bookmarkStart w:id="93" w:name="_Toc28791"/>
      <w:r>
        <w:rPr>
          <w:rFonts w:hint="default" w:ascii="Times New Roman" w:hAnsi="Times New Roman" w:eastAsia="宋体" w:cs="Times New Roman"/>
          <w:b w:val="0"/>
          <w:bCs w:val="0"/>
          <w:caps w:val="0"/>
          <w:smallCaps w:val="0"/>
          <w:color w:val="auto"/>
          <w:spacing w:val="0"/>
          <w:w w:val="100"/>
          <w:kern w:val="0"/>
          <w:sz w:val="28"/>
          <w:highlight w:val="none"/>
          <w:lang w:val="en-US" w:eastAsia="zh-CN"/>
        </w:rPr>
        <w:t>2.6.</w:t>
      </w:r>
      <w:r>
        <w:rPr>
          <w:rFonts w:hint="eastAsia" w:ascii="Times New Roman" w:hAnsi="Times New Roman" w:eastAsia="宋体" w:cs="Times New Roman"/>
          <w:b w:val="0"/>
          <w:bCs w:val="0"/>
          <w:caps w:val="0"/>
          <w:smallCaps w:val="0"/>
          <w:color w:val="auto"/>
          <w:spacing w:val="0"/>
          <w:w w:val="100"/>
          <w:kern w:val="0"/>
          <w:sz w:val="28"/>
          <w:highlight w:val="none"/>
          <w:lang w:val="en-US" w:eastAsia="zh-CN"/>
        </w:rPr>
        <w:t>7</w:t>
      </w:r>
      <w:r>
        <w:rPr>
          <w:rFonts w:hint="default" w:ascii="Times New Roman" w:hAnsi="Times New Roman" w:eastAsia="宋体" w:cs="Times New Roman"/>
          <w:b w:val="0"/>
          <w:bCs w:val="0"/>
          <w:caps w:val="0"/>
          <w:smallCaps w:val="0"/>
          <w:color w:val="auto"/>
          <w:spacing w:val="0"/>
          <w:w w:val="100"/>
          <w:kern w:val="0"/>
          <w:sz w:val="28"/>
          <w:highlight w:val="none"/>
          <w:lang w:val="en-US" w:eastAsia="zh-CN"/>
        </w:rPr>
        <w:t>环境风险评价范围及保护目标</w:t>
      </w:r>
      <w:bookmarkEnd w:id="91"/>
      <w:bookmarkEnd w:id="92"/>
      <w:bookmarkEnd w:id="93"/>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本项目环境风险潜势为Ⅰ，风险评价等级为简单分析，因此不设置环境风险评价范围。本次评价风险保护目标为评价范围内大气环境、水环境、土壤环境及生态环境保护目标。</w:t>
      </w:r>
    </w:p>
    <w:p>
      <w:pPr>
        <w:pStyle w:val="6"/>
        <w:keepNext/>
        <w:keepLines/>
        <w:pageBreakBefore w:val="0"/>
        <w:numPr>
          <w:ilvl w:val="0"/>
          <w:numId w:val="0"/>
        </w:numPr>
        <w:bidi w:val="0"/>
        <w:spacing w:before="78" w:beforeLines="25" w:beforeAutospacing="0" w:after="78" w:afterLines="25" w:afterAutospacing="0" w:line="360" w:lineRule="auto"/>
        <w:outlineLvl w:val="1"/>
        <w:rPr>
          <w:rFonts w:hint="default" w:ascii="Times New Roman" w:hAnsi="Times New Roman" w:eastAsia="宋体" w:cs="Times New Roman"/>
          <w:caps w:val="0"/>
          <w:smallCaps w:val="0"/>
          <w:color w:val="auto"/>
          <w:spacing w:val="0"/>
          <w:w w:val="100"/>
          <w:kern w:val="0"/>
          <w:sz w:val="30"/>
          <w:szCs w:val="30"/>
          <w:highlight w:val="none"/>
          <w:lang w:val="en-US" w:eastAsia="zh-CN" w:bidi="ar-SA"/>
        </w:rPr>
      </w:pPr>
      <w:bookmarkStart w:id="94" w:name="_Toc28842"/>
      <w:r>
        <w:rPr>
          <w:rFonts w:hint="default" w:ascii="Times New Roman" w:hAnsi="Times New Roman" w:eastAsia="宋体" w:cs="Times New Roman"/>
          <w:caps w:val="0"/>
          <w:smallCaps w:val="0"/>
          <w:color w:val="auto"/>
          <w:spacing w:val="0"/>
          <w:w w:val="100"/>
          <w:kern w:val="0"/>
          <w:sz w:val="30"/>
          <w:szCs w:val="30"/>
          <w:highlight w:val="none"/>
          <w:lang w:val="en-US" w:eastAsia="zh-CN" w:bidi="ar-SA"/>
        </w:rPr>
        <w:t>2.7评价工作内容及重点</w:t>
      </w:r>
      <w:bookmarkEnd w:id="94"/>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评价区域的环境特征及本项目的具体特点，在工程分析的基础上，以生态环境影响评价、土壤环境影响评价、地下水环境影响评价、环境风险评价及工程污染防治措施评价为重点，同时进行项目大气环境影响评价、地表水环境影响评价、声环境影响评价等项目的评价与分析，在评价过程中力求工业污染防治与生态保护并重，提出相应的污染防治措施和生态保护措施及建议。</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5"/>
        <w:keepNext w:val="0"/>
        <w:keepLines w:val="0"/>
        <w:pageBreakBefore w:val="0"/>
        <w:numPr>
          <w:ilvl w:val="0"/>
          <w:numId w:val="0"/>
        </w:numPr>
        <w:bidi w:val="0"/>
        <w:adjustRightInd w:val="0"/>
        <w:snapToGrid w:val="0"/>
        <w:spacing w:before="120" w:after="120" w:line="360" w:lineRule="auto"/>
        <w:ind w:left="0" w:firstLine="0" w:firstLineChars="0"/>
        <w:jc w:val="center"/>
        <w:rPr>
          <w:rFonts w:hint="default" w:ascii="Times New Roman" w:hAnsi="Times New Roman" w:eastAsia="宋体" w:cs="Times New Roman"/>
          <w:caps w:val="0"/>
          <w:smallCaps w:val="0"/>
          <w:color w:val="auto"/>
          <w:spacing w:val="0"/>
          <w:w w:val="100"/>
          <w:sz w:val="32"/>
          <w:highlight w:val="none"/>
        </w:rPr>
      </w:pPr>
      <w:bookmarkStart w:id="95" w:name="_Toc6009"/>
      <w:r>
        <w:rPr>
          <w:rFonts w:hint="eastAsia" w:ascii="Times New Roman" w:hAnsi="Times New Roman" w:eastAsia="宋体" w:cs="Times New Roman"/>
          <w:caps w:val="0"/>
          <w:smallCaps w:val="0"/>
          <w:color w:val="auto"/>
          <w:spacing w:val="0"/>
          <w:w w:val="100"/>
          <w:sz w:val="32"/>
          <w:highlight w:val="none"/>
          <w:lang w:val="en-US" w:eastAsia="zh-CN"/>
        </w:rPr>
        <w:t>第三章   建设项目工程分析</w:t>
      </w:r>
      <w:bookmarkEnd w:id="95"/>
    </w:p>
    <w:p>
      <w:pPr>
        <w:pStyle w:val="6"/>
        <w:keepNext/>
        <w:keepLines/>
        <w:pageBreakBefore w:val="0"/>
        <w:numPr>
          <w:ilvl w:val="0"/>
          <w:numId w:val="0"/>
        </w:numPr>
        <w:bidi w:val="0"/>
        <w:spacing w:before="78" w:beforeLines="25" w:beforeAutospacing="0" w:after="78" w:afterLines="25" w:afterAutospacing="0" w:line="360" w:lineRule="auto"/>
        <w:outlineLvl w:val="1"/>
        <w:rPr>
          <w:rFonts w:hint="default" w:ascii="Times New Roman" w:hAnsi="Times New Roman" w:eastAsia="宋体" w:cs="Times New Roman"/>
          <w:caps w:val="0"/>
          <w:smallCaps w:val="0"/>
          <w:color w:val="auto"/>
          <w:spacing w:val="0"/>
          <w:w w:val="100"/>
          <w:kern w:val="0"/>
          <w:sz w:val="30"/>
          <w:szCs w:val="30"/>
          <w:highlight w:val="none"/>
          <w:lang w:val="en-US" w:eastAsia="zh-CN" w:bidi="ar-SA"/>
        </w:rPr>
      </w:pPr>
      <w:bookmarkStart w:id="96" w:name="_Toc21642"/>
      <w:r>
        <w:rPr>
          <w:rFonts w:hint="default" w:ascii="Times New Roman" w:hAnsi="Times New Roman" w:eastAsia="宋体" w:cs="Times New Roman"/>
          <w:caps w:val="0"/>
          <w:smallCaps w:val="0"/>
          <w:color w:val="auto"/>
          <w:spacing w:val="0"/>
          <w:w w:val="100"/>
          <w:kern w:val="0"/>
          <w:sz w:val="30"/>
          <w:szCs w:val="30"/>
          <w:highlight w:val="none"/>
          <w:lang w:val="en-US" w:eastAsia="zh-CN" w:bidi="ar-SA"/>
        </w:rPr>
        <w:t>3.1</w:t>
      </w:r>
      <w:r>
        <w:rPr>
          <w:rFonts w:hint="eastAsia" w:ascii="Times New Roman" w:hAnsi="Times New Roman" w:eastAsia="宋体" w:cs="Times New Roman"/>
          <w:caps w:val="0"/>
          <w:smallCaps w:val="0"/>
          <w:color w:val="auto"/>
          <w:spacing w:val="0"/>
          <w:w w:val="100"/>
          <w:kern w:val="0"/>
          <w:sz w:val="30"/>
          <w:szCs w:val="30"/>
          <w:highlight w:val="none"/>
          <w:lang w:val="en-US" w:eastAsia="zh-CN" w:bidi="ar-SA"/>
        </w:rPr>
        <w:t>建设项目概况</w:t>
      </w:r>
      <w:bookmarkEnd w:id="96"/>
    </w:p>
    <w:p>
      <w:pPr>
        <w:pStyle w:val="7"/>
        <w:pageBreakBefore w:val="0"/>
        <w:bidi w:val="0"/>
        <w:spacing w:before="31" w:after="31" w:line="360" w:lineRule="auto"/>
        <w:rPr>
          <w:rFonts w:hint="default" w:ascii="Times New Roman" w:hAnsi="Times New Roman" w:eastAsia="宋体" w:cs="Times New Roman"/>
          <w:b/>
          <w:bCs/>
          <w:caps w:val="0"/>
          <w:smallCaps w:val="0"/>
          <w:color w:val="auto"/>
          <w:spacing w:val="0"/>
          <w:w w:val="100"/>
          <w:kern w:val="0"/>
          <w:sz w:val="28"/>
          <w:highlight w:val="none"/>
          <w:lang w:val="en-US" w:eastAsia="zh-CN"/>
        </w:rPr>
      </w:pPr>
      <w:bookmarkStart w:id="97" w:name="_Toc1867"/>
      <w:bookmarkStart w:id="98" w:name="_Toc24163"/>
      <w:bookmarkStart w:id="99" w:name="_Toc20943"/>
      <w:r>
        <w:rPr>
          <w:rFonts w:hint="default" w:ascii="Times New Roman" w:hAnsi="Times New Roman" w:eastAsia="宋体" w:cs="Times New Roman"/>
          <w:b/>
          <w:bCs/>
          <w:caps w:val="0"/>
          <w:smallCaps w:val="0"/>
          <w:color w:val="auto"/>
          <w:spacing w:val="0"/>
          <w:w w:val="100"/>
          <w:kern w:val="0"/>
          <w:sz w:val="28"/>
          <w:highlight w:val="none"/>
          <w:lang w:val="en-US" w:eastAsia="zh-CN"/>
        </w:rPr>
        <w:t>3.1.1</w:t>
      </w:r>
      <w:r>
        <w:rPr>
          <w:rFonts w:hint="eastAsia" w:ascii="Times New Roman" w:hAnsi="Times New Roman" w:eastAsia="宋体" w:cs="Times New Roman"/>
          <w:b/>
          <w:bCs/>
          <w:caps w:val="0"/>
          <w:smallCaps w:val="0"/>
          <w:color w:val="auto"/>
          <w:spacing w:val="0"/>
          <w:w w:val="100"/>
          <w:kern w:val="0"/>
          <w:sz w:val="28"/>
          <w:highlight w:val="none"/>
          <w:lang w:val="en-US" w:eastAsia="zh-CN"/>
        </w:rPr>
        <w:t>基本情况</w:t>
      </w:r>
      <w:bookmarkEnd w:id="97"/>
      <w:bookmarkEnd w:id="98"/>
      <w:bookmarkEnd w:id="99"/>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项目名称：肇深19—斜1等3口井钻井工程项目。</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建设单位：大庆油田有限责任公司采气分公司。</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建设地点：黑龙江省大庆市肇州县双发乡境内</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建设性质：扩建。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工程规模：本项目在已开发气田区块内新钻天然气开发井3口。其中2口为水平井，1口为定向井，设计完钻垂深3356.31～3690m，设计完钻斜深3761～4607m。钻井后继续开展压裂试气作业，至压裂试气结束后，完成全部施工工作。</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本项目工程施工仅为钻井及压裂试气作业，后续管线铺设及地面场站等配套设施，根据气井实际产量建设。新钻井基本情况见表3.1-1。</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3.1-1</w:t>
      </w:r>
      <w:r>
        <w:rPr>
          <w:rFonts w:hint="eastAsia" w:ascii="Times New Roman" w:hAnsi="Times New Roman" w:eastAsia="宋体" w:cs="Times New Roman"/>
          <w:b/>
          <w:bCs/>
          <w:color w:val="auto"/>
          <w:kern w:val="0"/>
          <w:sz w:val="24"/>
          <w:szCs w:val="24"/>
          <w:highlight w:val="none"/>
          <w:lang w:val="en-US" w:eastAsia="zh-CN" w:bidi="ar"/>
        </w:rPr>
        <w:t>新钻井基本情况表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02"/>
        <w:gridCol w:w="1255"/>
        <w:gridCol w:w="1356"/>
        <w:gridCol w:w="1476"/>
        <w:gridCol w:w="964"/>
        <w:gridCol w:w="920"/>
        <w:gridCol w:w="921"/>
        <w:gridCol w:w="10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2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井号</w:t>
            </w:r>
          </w:p>
        </w:tc>
        <w:tc>
          <w:tcPr>
            <w:tcW w:w="13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地面</w:t>
            </w:r>
            <w:r>
              <w:rPr>
                <w:rFonts w:hint="default" w:ascii="Times New Roman" w:hAnsi="Times New Roman" w:cs="Times New Roman"/>
                <w:color w:val="auto"/>
                <w:sz w:val="24"/>
                <w:szCs w:val="24"/>
                <w:highlight w:val="none"/>
                <w:vertAlign w:val="baseline"/>
                <w:lang w:val="en-US" w:eastAsia="zh-CN"/>
              </w:rPr>
              <w:t>X</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地面</w:t>
            </w:r>
            <w:r>
              <w:rPr>
                <w:rFonts w:hint="default" w:ascii="Times New Roman" w:hAnsi="Times New Roman" w:cs="Times New Roman"/>
                <w:color w:val="auto"/>
                <w:sz w:val="24"/>
                <w:szCs w:val="24"/>
                <w:highlight w:val="none"/>
                <w:vertAlign w:val="baseline"/>
                <w:lang w:val="en-US" w:eastAsia="zh-CN"/>
              </w:rPr>
              <w:t>Y</w:t>
            </w:r>
          </w:p>
        </w:tc>
        <w:tc>
          <w:tcPr>
            <w:tcW w:w="9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目的层</w:t>
            </w:r>
          </w:p>
        </w:tc>
        <w:tc>
          <w:tcPr>
            <w:tcW w:w="9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井型</w:t>
            </w:r>
          </w:p>
        </w:tc>
        <w:tc>
          <w:tcPr>
            <w:tcW w:w="9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井别</w:t>
            </w:r>
          </w:p>
        </w:tc>
        <w:tc>
          <w:tcPr>
            <w:tcW w:w="10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设计井深（m）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2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肇深19-斜1</w:t>
            </w:r>
          </w:p>
        </w:tc>
        <w:tc>
          <w:tcPr>
            <w:tcW w:w="13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5076105.00</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21677903.00</w:t>
            </w:r>
          </w:p>
        </w:tc>
        <w:tc>
          <w:tcPr>
            <w:tcW w:w="9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yc</w:t>
            </w:r>
            <w:r>
              <w:rPr>
                <w:rFonts w:hint="eastAsia"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vertAlign w:val="baseline"/>
                <w:lang w:val="en-US" w:eastAsia="zh-CN"/>
              </w:rPr>
              <w:t>Ⅰ</w:t>
            </w:r>
          </w:p>
        </w:tc>
        <w:tc>
          <w:tcPr>
            <w:tcW w:w="9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定向井</w:t>
            </w:r>
          </w:p>
        </w:tc>
        <w:tc>
          <w:tcPr>
            <w:tcW w:w="9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开发井</w:t>
            </w:r>
          </w:p>
        </w:tc>
        <w:tc>
          <w:tcPr>
            <w:tcW w:w="10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3761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2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肇深19-平2</w:t>
            </w:r>
          </w:p>
        </w:tc>
        <w:tc>
          <w:tcPr>
            <w:tcW w:w="13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5076865.00</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21677008.00</w:t>
            </w:r>
          </w:p>
        </w:tc>
        <w:tc>
          <w:tcPr>
            <w:tcW w:w="9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yc</w:t>
            </w:r>
            <w:r>
              <w:rPr>
                <w:rFonts w:hint="eastAsia"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vertAlign w:val="baseline"/>
                <w:lang w:val="en-US" w:eastAsia="zh-CN"/>
              </w:rPr>
              <w:t>Ⅰ</w:t>
            </w:r>
          </w:p>
        </w:tc>
        <w:tc>
          <w:tcPr>
            <w:tcW w:w="9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水平井</w:t>
            </w:r>
          </w:p>
        </w:tc>
        <w:tc>
          <w:tcPr>
            <w:tcW w:w="9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开发井</w:t>
            </w:r>
          </w:p>
        </w:tc>
        <w:tc>
          <w:tcPr>
            <w:tcW w:w="10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4607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2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肇深19-平3</w:t>
            </w:r>
          </w:p>
        </w:tc>
        <w:tc>
          <w:tcPr>
            <w:tcW w:w="13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5077150.00</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21676935.00</w:t>
            </w:r>
          </w:p>
        </w:tc>
        <w:tc>
          <w:tcPr>
            <w:tcW w:w="9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yc</w:t>
            </w:r>
            <w:r>
              <w:rPr>
                <w:rFonts w:hint="eastAsia"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vertAlign w:val="baseline"/>
                <w:lang w:val="en-US" w:eastAsia="zh-CN"/>
              </w:rPr>
              <w:t>Ⅰ</w:t>
            </w:r>
          </w:p>
        </w:tc>
        <w:tc>
          <w:tcPr>
            <w:tcW w:w="9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水平井</w:t>
            </w:r>
          </w:p>
        </w:tc>
        <w:tc>
          <w:tcPr>
            <w:tcW w:w="9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开发井</w:t>
            </w:r>
          </w:p>
        </w:tc>
        <w:tc>
          <w:tcPr>
            <w:tcW w:w="10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4423</w:t>
            </w:r>
          </w:p>
        </w:tc>
      </w:tr>
    </w:tbl>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占地面积：永久占地0.48</w:t>
      </w:r>
      <w:r>
        <w:rPr>
          <w:rFonts w:hint="default" w:ascii="Times New Roman" w:hAnsi="Times New Roman" w:eastAsia="宋体" w:cs="Times New Roman"/>
          <w:color w:val="auto"/>
          <w:kern w:val="0"/>
          <w:sz w:val="28"/>
          <w:szCs w:val="28"/>
          <w:highlight w:val="none"/>
          <w:lang w:val="en-US" w:eastAsia="zh-CN" w:bidi="ar"/>
        </w:rPr>
        <w:t>hm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，临时占地2.64</w:t>
      </w:r>
      <w:r>
        <w:rPr>
          <w:rFonts w:hint="default" w:ascii="Times New Roman" w:hAnsi="Times New Roman" w:eastAsia="宋体" w:cs="Times New Roman"/>
          <w:color w:val="auto"/>
          <w:kern w:val="0"/>
          <w:sz w:val="28"/>
          <w:szCs w:val="28"/>
          <w:highlight w:val="none"/>
          <w:lang w:val="en-US" w:eastAsia="zh-CN" w:bidi="ar"/>
        </w:rPr>
        <w:t>hm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。占地类型均为基本农田。</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工程投资：20466.4万元。</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项目组成：本项目工程组成情况见表</w:t>
      </w:r>
      <w:r>
        <w:rPr>
          <w:rFonts w:hint="default" w:ascii="Times New Roman" w:hAnsi="Times New Roman" w:eastAsia="宋体" w:cs="Times New Roman"/>
          <w:color w:val="auto"/>
          <w:kern w:val="0"/>
          <w:sz w:val="28"/>
          <w:szCs w:val="28"/>
          <w:highlight w:val="none"/>
          <w:lang w:val="en-US" w:eastAsia="zh-CN" w:bidi="ar"/>
        </w:rPr>
        <w:t>3.1-2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总平面布置：本项目新建天然气井3口，共形成3座井场。</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3.1-2</w:t>
      </w:r>
      <w:r>
        <w:rPr>
          <w:rFonts w:hint="eastAsia" w:ascii="Times New Roman" w:hAnsi="Times New Roman" w:eastAsia="宋体" w:cs="Times New Roman"/>
          <w:b/>
          <w:bCs/>
          <w:color w:val="auto"/>
          <w:kern w:val="0"/>
          <w:sz w:val="24"/>
          <w:szCs w:val="24"/>
          <w:highlight w:val="none"/>
          <w:lang w:val="en-US" w:eastAsia="zh-CN" w:bidi="ar"/>
        </w:rPr>
        <w:t>本项目工程组成表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73"/>
        <w:gridCol w:w="1241"/>
        <w:gridCol w:w="5086"/>
        <w:gridCol w:w="11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类别</w:t>
            </w: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工程名称</w:t>
            </w: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规模及建设内容</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主体</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工程</w:t>
            </w: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钻井作业</w:t>
            </w: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新钻井3口，设计井深3761～4607m。主要工程内容包括钻井成套设备搬运、安装、调试、钻进、录井、测井、固井、完井。</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w:t>
            </w: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新建井场3座，每座井场110m</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90m，井场设备包括钻机、钻台、柴油罐、发电机、配料罐、泥浆泵、泥浆罐、空压机、泥浆槽等。</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井架基础</w:t>
            </w: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1座/井，均为撬装式钢制基础，每座规格为</w:t>
            </w:r>
            <w:r>
              <w:rPr>
                <w:rFonts w:hint="default" w:ascii="Times New Roman" w:hAnsi="Times New Roman" w:cs="Times New Roman"/>
                <w:color w:val="auto"/>
                <w:sz w:val="24"/>
                <w:szCs w:val="24"/>
                <w:highlight w:val="none"/>
                <w:vertAlign w:val="baseline"/>
                <w:lang w:val="en-US" w:eastAsia="zh-CN"/>
              </w:rPr>
              <w:t>43.3m×11.7m</w:t>
            </w:r>
            <w:r>
              <w:rPr>
                <w:rFonts w:hint="eastAsia" w:ascii="Times New Roman" w:hAnsi="Times New Roman" w:cs="Times New Roman"/>
                <w:color w:val="auto"/>
                <w:sz w:val="24"/>
                <w:szCs w:val="24"/>
                <w:highlight w:val="none"/>
                <w:vertAlign w:val="baseline"/>
                <w:lang w:val="en-US" w:eastAsia="zh-CN"/>
              </w:rPr>
              <w:t>，用于架设钻井井架。</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射孔作业</w:t>
            </w: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对新钻井进行射孔作业。</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压裂试气作业</w:t>
            </w: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对新钻气井进行压裂试气作业。压裂试气作业设备包括主要为采气树、试气井架、放喷管线、放喷池、防喷器、三相分离器、计量池、临时放空火炬等。</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储运</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工程</w:t>
            </w: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泥浆</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循环罐</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每座井场设置3个泥浆循环罐，容积为50m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/个，占地面积共100m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材料房</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每座设置3座，占地面积共50m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，用于存放配置钻井液、压裂液等原料，包括膨润土、纯碱、氢氧化钾、WDYZ-1、HX-D、NH4-HPAN-2、JS-1、JS-2、SPNH、重晶石粉及润滑剂等。各种配置原料均为袋装储存，一次储存量可满足5天消耗。</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柴油罐区</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每座井场设置钢制柴油罐2座，均为双层卧式罐；单座储罐容积为40m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，总储量约</w:t>
            </w:r>
            <w:r>
              <w:rPr>
                <w:rFonts w:hint="default" w:ascii="Times New Roman" w:hAnsi="Times New Roman" w:cs="Times New Roman"/>
                <w:color w:val="auto"/>
                <w:sz w:val="24"/>
                <w:szCs w:val="24"/>
                <w:highlight w:val="none"/>
                <w:vertAlign w:val="baseline"/>
                <w:lang w:val="en-US" w:eastAsia="zh-CN"/>
              </w:rPr>
              <w:t>6</w:t>
            </w:r>
            <w:r>
              <w:rPr>
                <w:rFonts w:hint="eastAsia" w:ascii="Times New Roman" w:hAnsi="Times New Roman" w:cs="Times New Roman"/>
                <w:color w:val="auto"/>
                <w:sz w:val="24"/>
                <w:szCs w:val="24"/>
                <w:highlight w:val="none"/>
                <w:vertAlign w:val="baseline"/>
                <w:lang w:val="en-US" w:eastAsia="zh-CN"/>
              </w:rPr>
              <w:t>7</w:t>
            </w:r>
            <w:r>
              <w:rPr>
                <w:rFonts w:hint="default" w:ascii="Times New Roman" w:hAnsi="Times New Roman" w:cs="Times New Roman"/>
                <w:color w:val="auto"/>
                <w:sz w:val="24"/>
                <w:szCs w:val="24"/>
                <w:highlight w:val="none"/>
                <w:vertAlign w:val="baseline"/>
                <w:lang w:val="en-US" w:eastAsia="zh-CN"/>
              </w:rPr>
              <w:t>t</w:t>
            </w:r>
            <w:r>
              <w:rPr>
                <w:rFonts w:hint="eastAsia" w:ascii="Times New Roman" w:hAnsi="Times New Roman" w:cs="Times New Roman"/>
                <w:color w:val="auto"/>
                <w:sz w:val="24"/>
                <w:szCs w:val="24"/>
                <w:highlight w:val="none"/>
                <w:vertAlign w:val="baseline"/>
                <w:lang w:val="en-US" w:eastAsia="zh-CN"/>
              </w:rPr>
              <w:t>，占地面积</w:t>
            </w:r>
            <w:r>
              <w:rPr>
                <w:rFonts w:hint="default" w:ascii="Times New Roman" w:hAnsi="Times New Roman" w:cs="Times New Roman"/>
                <w:color w:val="auto"/>
                <w:sz w:val="24"/>
                <w:szCs w:val="24"/>
                <w:highlight w:val="none"/>
                <w:vertAlign w:val="baseline"/>
                <w:lang w:val="en-US" w:eastAsia="zh-CN"/>
              </w:rPr>
              <w:t>40m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；储罐为撬装式结构，储罐区周围设置围堰，并配备泡沫灭火器。</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水罐</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每座井场设置钢制水罐1座，容积为30m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/个，占地面积56m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，由罐车拉运新鲜水存储在水罐内，用于配置钻井液及压裂液使用。</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放喷池</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每座井场设置放喷池1座，容积</w:t>
            </w:r>
            <w:r>
              <w:rPr>
                <w:rFonts w:hint="default" w:ascii="Times New Roman" w:hAnsi="Times New Roman" w:cs="Times New Roman"/>
                <w:color w:val="auto"/>
                <w:sz w:val="24"/>
                <w:szCs w:val="24"/>
                <w:highlight w:val="none"/>
                <w:vertAlign w:val="baseline"/>
                <w:lang w:val="en-US" w:eastAsia="zh-CN"/>
              </w:rPr>
              <w:t>100</w:t>
            </w:r>
            <w:r>
              <w:rPr>
                <w:rFonts w:hint="eastAsia"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10</w:t>
            </w:r>
            <w:r>
              <w:rPr>
                <w:rFonts w:hint="eastAsia"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baseline"/>
                <w:lang w:val="en-US" w:eastAsia="zh-CN"/>
              </w:rPr>
              <w:t>×4</w:t>
            </w:r>
            <w:r>
              <w:rPr>
                <w:rFonts w:hint="eastAsia"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baseline"/>
                <w:lang w:val="en-US" w:eastAsia="zh-CN"/>
              </w:rPr>
              <w:t>×2.5m</w:t>
            </w:r>
            <w:r>
              <w:rPr>
                <w:rFonts w:hint="eastAsia" w:ascii="Times New Roman" w:hAnsi="Times New Roman" w:cs="Times New Roman"/>
                <w:color w:val="auto"/>
                <w:sz w:val="24"/>
                <w:szCs w:val="24"/>
                <w:highlight w:val="none"/>
                <w:vertAlign w:val="baseline"/>
                <w:lang w:val="en-US" w:eastAsia="zh-CN"/>
              </w:rPr>
              <w:t>），放喷池设置位置距离井口不小于75</w:t>
            </w:r>
            <w:r>
              <w:rPr>
                <w:rFonts w:hint="default"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baseline"/>
                <w:lang w:val="en-US" w:eastAsia="zh-CN"/>
              </w:rPr>
              <w:t>，距离危险和易损害设施不小于50m。</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计量池</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1座/井场，用于压裂试气作业，容积为10m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，用于产液计量。</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压裂液罐</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每座井场设置压裂液罐20座，用于存放配置好待使用的压裂液，容积</w:t>
            </w:r>
            <w:r>
              <w:rPr>
                <w:rFonts w:hint="default" w:ascii="Times New Roman" w:hAnsi="Times New Roman" w:cs="Times New Roman"/>
                <w:color w:val="auto"/>
                <w:sz w:val="24"/>
                <w:szCs w:val="24"/>
                <w:highlight w:val="none"/>
                <w:vertAlign w:val="baseline"/>
                <w:lang w:val="en-US" w:eastAsia="zh-CN"/>
              </w:rPr>
              <w:t>50</w:t>
            </w:r>
            <w:r>
              <w:rPr>
                <w:rFonts w:hint="eastAsia"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/座。</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储液罐</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每座井场设置储液罐4座，分别用于暂存压裂期间产生的压裂返排液和试气采出液，容积为40m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/座。</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钢制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泥浆槽</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每座井场设置水基泥浆钢制泥浆槽1座，存储容积约为33m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，规格为</w:t>
            </w:r>
            <w:r>
              <w:rPr>
                <w:rFonts w:hint="default" w:ascii="Times New Roman" w:hAnsi="Times New Roman" w:cs="Times New Roman"/>
                <w:color w:val="auto"/>
                <w:sz w:val="24"/>
                <w:szCs w:val="24"/>
                <w:highlight w:val="none"/>
                <w:vertAlign w:val="baseline"/>
                <w:lang w:val="en-US" w:eastAsia="zh-CN"/>
              </w:rPr>
              <w:t>9</w:t>
            </w:r>
            <w:r>
              <w:rPr>
                <w:rFonts w:hint="eastAsia"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baseline"/>
                <w:lang w:val="en-US" w:eastAsia="zh-CN"/>
              </w:rPr>
              <w:t>×2.5</w:t>
            </w:r>
            <w:r>
              <w:rPr>
                <w:rFonts w:hint="eastAsia"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baseline"/>
                <w:lang w:val="en-US" w:eastAsia="zh-CN"/>
              </w:rPr>
              <w:t>×1.5m</w:t>
            </w:r>
            <w:r>
              <w:rPr>
                <w:rFonts w:hint="eastAsia" w:ascii="Times New Roman" w:hAnsi="Times New Roman" w:cs="Times New Roman"/>
                <w:color w:val="auto"/>
                <w:sz w:val="24"/>
                <w:szCs w:val="24"/>
                <w:highlight w:val="none"/>
                <w:vertAlign w:val="baseline"/>
                <w:lang w:val="en-US" w:eastAsia="zh-CN"/>
              </w:rPr>
              <w:t>，占地面积22.5m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，用于存储废弃水基钻井液、一般钻井污水、一般岩屑，由罐车拉运至黑龙江</w:t>
            </w:r>
            <w:r>
              <w:rPr>
                <w:rFonts w:hint="default" w:ascii="Times New Roman" w:hAnsi="Times New Roman" w:cs="Times New Roman"/>
                <w:color w:val="auto"/>
                <w:sz w:val="24"/>
                <w:szCs w:val="24"/>
                <w:highlight w:val="none"/>
                <w:vertAlign w:val="baseline"/>
                <w:lang w:val="en-US" w:eastAsia="zh-CN"/>
              </w:rPr>
              <w:t>龙之润五厂处理站处理</w:t>
            </w:r>
            <w:r>
              <w:rPr>
                <w:rFonts w:hint="eastAsia" w:ascii="Times New Roman" w:hAnsi="Times New Roman" w:cs="Times New Roman"/>
                <w:color w:val="auto"/>
                <w:sz w:val="24"/>
                <w:szCs w:val="24"/>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设置油基泥浆槽1座，有效容积为100m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，占地面积50m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，规格为10×5×2m储存含油钻井废水、废弃油基钻井液、含油岩屑，由罐车拉运至大庆市云泰石化产品有限公司建设的废弃泥浆无害化处理油基泥浆站处理。</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公用</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工程</w:t>
            </w: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办公用房</w:t>
            </w: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包括活动房（</w:t>
            </w: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座</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井场，占地面积</w:t>
            </w:r>
            <w:r>
              <w:rPr>
                <w:rFonts w:hint="default" w:ascii="Times New Roman" w:hAnsi="Times New Roman" w:cs="Times New Roman"/>
                <w:color w:val="auto"/>
                <w:sz w:val="24"/>
                <w:szCs w:val="24"/>
                <w:highlight w:val="none"/>
                <w:vertAlign w:val="baseline"/>
                <w:lang w:val="en-US" w:eastAsia="zh-CN"/>
              </w:rPr>
              <w:t>50m</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）、综合房（</w:t>
            </w: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座</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井场，占地面积</w:t>
            </w:r>
            <w:r>
              <w:rPr>
                <w:rFonts w:hint="default" w:ascii="Times New Roman" w:hAnsi="Times New Roman" w:cs="Times New Roman"/>
                <w:color w:val="auto"/>
                <w:sz w:val="24"/>
                <w:szCs w:val="24"/>
                <w:highlight w:val="none"/>
                <w:vertAlign w:val="baseline"/>
                <w:lang w:val="en-US" w:eastAsia="zh-CN"/>
              </w:rPr>
              <w:t>50m</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）、值班房（</w:t>
            </w: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座</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井场，占地面积</w:t>
            </w:r>
            <w:r>
              <w:rPr>
                <w:rFonts w:hint="default" w:ascii="Times New Roman" w:hAnsi="Times New Roman" w:cs="Times New Roman"/>
                <w:color w:val="auto"/>
                <w:sz w:val="24"/>
                <w:szCs w:val="24"/>
                <w:highlight w:val="none"/>
                <w:vertAlign w:val="baseline"/>
                <w:lang w:val="en-US" w:eastAsia="zh-CN"/>
              </w:rPr>
              <w:t>20m</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）、发电房（</w:t>
            </w: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座</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井场，占地面积</w:t>
            </w:r>
            <w:r>
              <w:rPr>
                <w:rFonts w:hint="default" w:ascii="Times New Roman" w:hAnsi="Times New Roman" w:cs="Times New Roman"/>
                <w:color w:val="auto"/>
                <w:sz w:val="24"/>
                <w:szCs w:val="24"/>
                <w:highlight w:val="none"/>
                <w:vertAlign w:val="baseline"/>
                <w:lang w:val="en-US" w:eastAsia="zh-CN"/>
              </w:rPr>
              <w:t>100m</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）、井控房（</w:t>
            </w: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座</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井场，占地面积</w:t>
            </w:r>
            <w:r>
              <w:rPr>
                <w:rFonts w:hint="default" w:ascii="Times New Roman" w:hAnsi="Times New Roman" w:cs="Times New Roman"/>
                <w:color w:val="auto"/>
                <w:sz w:val="24"/>
                <w:szCs w:val="24"/>
                <w:highlight w:val="none"/>
                <w:vertAlign w:val="baseline"/>
                <w:lang w:val="en-US" w:eastAsia="zh-CN"/>
              </w:rPr>
              <w:t>50m</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）等。</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供水工程</w:t>
            </w: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生产用水由水罐车运送至水罐内暂存；生活用水外购桶装水运到施工场地。</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排水工程</w:t>
            </w: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生活污水排入井场防渗生活污水池，施工结束后进行卫生处理，场地进行平整。一般</w:t>
            </w:r>
            <w:r>
              <w:rPr>
                <w:rFonts w:hint="default" w:ascii="Times New Roman" w:hAnsi="Times New Roman" w:cs="Times New Roman"/>
                <w:color w:val="auto"/>
                <w:sz w:val="24"/>
                <w:szCs w:val="24"/>
                <w:highlight w:val="none"/>
                <w:vertAlign w:val="baseline"/>
                <w:lang w:val="en-US" w:eastAsia="zh-CN"/>
              </w:rPr>
              <w:t>钻井</w:t>
            </w:r>
            <w:r>
              <w:rPr>
                <w:rFonts w:hint="eastAsia" w:ascii="Times New Roman" w:hAnsi="Times New Roman" w:cs="Times New Roman"/>
                <w:color w:val="auto"/>
                <w:sz w:val="24"/>
                <w:szCs w:val="24"/>
                <w:highlight w:val="none"/>
                <w:vertAlign w:val="baseline"/>
                <w:lang w:val="en-US" w:eastAsia="zh-CN"/>
              </w:rPr>
              <w:t>污</w:t>
            </w:r>
            <w:r>
              <w:rPr>
                <w:rFonts w:hint="default" w:ascii="Times New Roman" w:hAnsi="Times New Roman" w:cs="Times New Roman"/>
                <w:color w:val="auto"/>
                <w:sz w:val="24"/>
                <w:szCs w:val="24"/>
                <w:highlight w:val="none"/>
                <w:vertAlign w:val="baseline"/>
                <w:lang w:val="en-US" w:eastAsia="zh-CN"/>
              </w:rPr>
              <w:t>水由罐车拉运至</w:t>
            </w:r>
            <w:r>
              <w:rPr>
                <w:rFonts w:hint="eastAsia" w:ascii="Times New Roman" w:hAnsi="Times New Roman" w:cs="Times New Roman"/>
                <w:color w:val="auto"/>
                <w:sz w:val="24"/>
                <w:szCs w:val="24"/>
                <w:highlight w:val="none"/>
                <w:vertAlign w:val="baseline"/>
                <w:lang w:val="en-US" w:eastAsia="zh-CN"/>
              </w:rPr>
              <w:t>黑龙江</w:t>
            </w:r>
            <w:r>
              <w:rPr>
                <w:rFonts w:hint="default" w:ascii="Times New Roman" w:hAnsi="Times New Roman" w:cs="Times New Roman"/>
                <w:color w:val="auto"/>
                <w:sz w:val="24"/>
                <w:szCs w:val="24"/>
                <w:highlight w:val="none"/>
                <w:vertAlign w:val="baseline"/>
                <w:lang w:val="en-US" w:eastAsia="zh-CN"/>
              </w:rPr>
              <w:t>龙之润五厂处理站处理</w:t>
            </w:r>
            <w:r>
              <w:rPr>
                <w:rFonts w:hint="eastAsia" w:ascii="Times New Roman" w:hAnsi="Times New Roman" w:cs="Times New Roman"/>
                <w:color w:val="auto"/>
                <w:sz w:val="24"/>
                <w:szCs w:val="24"/>
                <w:highlight w:val="none"/>
                <w:vertAlign w:val="baseline"/>
                <w:lang w:val="en-US" w:eastAsia="zh-CN"/>
              </w:rPr>
              <w:t>；含油钻井废水由罐车拉运至大庆市云泰石化产品有限公司建设的废弃泥浆无害化处理油基泥浆站处理。</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井场四周、井架、储罐及泥浆槽周围均设置排水沟，防止降雨期间，大量冲刷雨水携带污染物进入外环境。</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压裂返排液由罐车拉运哈19卸液站处理，处理达标后回注现役油层。</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试气产出液拉运至升一联气田污水预处理站处理，处理达标后回注现役油层。</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供电工程</w:t>
            </w:r>
          </w:p>
        </w:tc>
        <w:tc>
          <w:tcPr>
            <w:tcW w:w="50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每座井场设置柴油发电机3台，</w:t>
            </w:r>
            <w:r>
              <w:rPr>
                <w:rFonts w:hint="default" w:ascii="Times New Roman" w:hAnsi="Times New Roman" w:cs="Times New Roman"/>
                <w:color w:val="auto"/>
                <w:sz w:val="24"/>
                <w:szCs w:val="24"/>
                <w:highlight w:val="none"/>
                <w:vertAlign w:val="baseline"/>
                <w:lang w:val="en-US" w:eastAsia="zh-CN"/>
              </w:rPr>
              <w:t>使用低标号柴油</w:t>
            </w:r>
            <w:r>
              <w:rPr>
                <w:rFonts w:hint="eastAsia" w:ascii="Times New Roman" w:hAnsi="Times New Roman" w:cs="Times New Roman"/>
                <w:color w:val="auto"/>
                <w:sz w:val="24"/>
                <w:szCs w:val="24"/>
                <w:highlight w:val="none"/>
                <w:vertAlign w:val="baseline"/>
                <w:lang w:val="en-US" w:eastAsia="zh-CN"/>
              </w:rPr>
              <w:t>。</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道路工程</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临时占用部分基本农田，其余依托乡村内现有道路。</w:t>
            </w:r>
          </w:p>
        </w:tc>
        <w:tc>
          <w:tcPr>
            <w:tcW w:w="1116" w:type="dxa"/>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环保</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工程</w:t>
            </w: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废气治理措施</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钻井施工期柴油发电机使用低标号柴油，调节好柴油机运行工况，</w:t>
            </w:r>
            <w:r>
              <w:rPr>
                <w:rFonts w:hint="eastAsia" w:ascii="Times New Roman" w:hAnsi="Times New Roman" w:cs="Times New Roman"/>
                <w:color w:val="auto"/>
                <w:sz w:val="24"/>
                <w:szCs w:val="24"/>
                <w:highlight w:val="none"/>
                <w:vertAlign w:val="baseline"/>
                <w:lang w:val="en-US" w:eastAsia="zh-CN"/>
              </w:rPr>
              <w:t>降低燃烧烟气中污染物的浓度；施工场地内，采取洒水抑尘措施，对井场内临时堆放的清挖土方堆土表面设纱网或草栅覆盖；井场设置防尘挡板。试气作业期间采出气直接通过井场放空火炬燃烧后排放。</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废水治理措施</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施工期间，每座井场设置防渗生活污水储池1座，容积8</w:t>
            </w:r>
            <w:r>
              <w:rPr>
                <w:rFonts w:hint="default"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。生活污水进入施工营地设置的生活污水池，施工结束后进行卫生处理，场地进行平整。</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一般钻井废水与废弃水基钻井液、一般岩屑一起暂存于水基钢制泥浆槽，定期由罐车拉运至黑龙江</w:t>
            </w:r>
            <w:r>
              <w:rPr>
                <w:rFonts w:hint="default" w:ascii="Times New Roman" w:hAnsi="Times New Roman" w:cs="Times New Roman"/>
                <w:color w:val="auto"/>
                <w:sz w:val="24"/>
                <w:szCs w:val="24"/>
                <w:highlight w:val="none"/>
                <w:vertAlign w:val="baseline"/>
                <w:lang w:val="en-US" w:eastAsia="zh-CN"/>
              </w:rPr>
              <w:t>龙之润五厂处理站处理，</w:t>
            </w:r>
            <w:r>
              <w:rPr>
                <w:rFonts w:hint="eastAsia" w:ascii="Times New Roman" w:hAnsi="Times New Roman" w:cs="Times New Roman"/>
                <w:color w:val="auto"/>
                <w:sz w:val="24"/>
                <w:szCs w:val="24"/>
                <w:highlight w:val="none"/>
                <w:vertAlign w:val="baseline"/>
                <w:lang w:val="en-US" w:eastAsia="zh-CN"/>
              </w:rPr>
              <w:t>处理过程中产生的滤液由罐车送至杏十五一联合站污水处理站处理，满足《大庆油田地面工程建设设计规定》（Q/SYDQ0639-2015）限值要求“含油量≤20mg/L、悬浮固体含量≤20mg/L”，回注现役油层。</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油钻井废水与废弃油基钻井液、油基岩屑一起暂存油基钢制泥浆槽，由罐车拉运至大庆市云泰石化产品有限公司建设的废弃泥浆无害化处理油基泥浆站处理。处理过程中产生的滤液由罐车运至龙一联含油污水站处理，处理后水质满足《大庆油田地面工程建设设计规定》（Q/SYDQ0639-2015）限值要求（含油量≤8mg/L、悬浮固体含量≤3mg/L）后回注。</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压裂返排液由罐车拉运哈19卸液站处理，</w:t>
            </w:r>
            <w:r>
              <w:rPr>
                <w:rFonts w:hint="default" w:ascii="Times New Roman" w:hAnsi="Times New Roman" w:cs="Times New Roman"/>
                <w:color w:val="auto"/>
                <w:sz w:val="24"/>
                <w:szCs w:val="24"/>
                <w:highlight w:val="none"/>
                <w:vertAlign w:val="baseline"/>
                <w:lang w:val="en-US" w:eastAsia="zh-CN"/>
              </w:rPr>
              <w:t>处理后水质满足《大庆油田地面工程建设设计规定》（Q/SYDQ0639-2015）限值要求（含油量≤20mg/L，悬浮固体含量≤20mg/L），回注现役油层。</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试气产出液拉运至升一联气田污水预处理站处理，满足《大庆油田地面工程建设设计规定》（Q/SYDQ0639-2015）限值要求（含油量≤10mg/L，悬浮固体含量≤5mg/L）回注现役油层。</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噪声治理措施</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合理安排施工进度，避免大量高噪声设备同时施工；除钻进外，其它施工严格禁止夜间进行，合理布置施工现场；运输车辆在路过附近村屯时，尽量不鸣笛。</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固废处置措施</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项目产生的一般钻井岩屑、废弃水基钻井液、废射孔液暂存由罐车拉运至黑龙江</w:t>
            </w:r>
            <w:r>
              <w:rPr>
                <w:rFonts w:hint="default" w:ascii="Times New Roman" w:hAnsi="Times New Roman" w:cs="Times New Roman"/>
                <w:color w:val="auto"/>
                <w:sz w:val="24"/>
                <w:szCs w:val="24"/>
                <w:highlight w:val="none"/>
                <w:vertAlign w:val="baseline"/>
                <w:lang w:val="en-US" w:eastAsia="zh-CN"/>
              </w:rPr>
              <w:t>龙之润五厂处理站处理</w:t>
            </w:r>
            <w:r>
              <w:rPr>
                <w:rFonts w:hint="eastAsia" w:ascii="Times New Roman" w:hAnsi="Times New Roman" w:cs="Times New Roman"/>
                <w:color w:val="auto"/>
                <w:sz w:val="24"/>
                <w:szCs w:val="24"/>
                <w:highlight w:val="none"/>
                <w:vertAlign w:val="baseline"/>
                <w:lang w:val="en-US" w:eastAsia="zh-CN"/>
              </w:rPr>
              <w:t>，处理后的废渣满足《废弃钻井液处理规范》（DB23/T693-2000）和《一般工业固体废物贮存和填埋污染控制标准》（GB18599-2020）中第Ⅰ类一般工业固体废物标准要求，由油田统一调配，用于井场平整及道路建设等综合利用。</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油基钻井液、含油岩屑由罐车拉运至大庆市云泰石化产品有限公司建设的废弃泥浆无害化处理油基泥浆站处理，经无害化处理后，废渣满足《废弃钻井液处理规范》（DB23/T693-2000）和《一般工业固体废物贮存和填埋污染控制标准》（GB18599-2020）中第Ⅰ类一般工业固体废物标准要求，由采油九厂综合利用垫井场或铺路。</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废弃过硫酸钾和氢氧化钾包装袋属于危险废物，废物类别为：HW49其他废物，废物代码为：900-041-49，暂存于钻井液材料房专用钢制桶内，施工结束后统一委托有资质的单位进行处置。</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项目水平井井场施工产生的废弃防渗布为含油防渗布，属于危险废物，废物类别为：HW08废矿物油与含矿物油废物，废物代码为：900-249-08。施工结束后，设备搬离井场时产生，直接暂存于指定容器中，交由有资质单位处置。</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生活垃圾统一收集，</w:t>
            </w:r>
            <w:r>
              <w:rPr>
                <w:rFonts w:hint="default" w:ascii="Times New Roman" w:hAnsi="Times New Roman" w:cs="Times New Roman"/>
                <w:color w:val="auto"/>
                <w:sz w:val="24"/>
                <w:szCs w:val="24"/>
                <w:highlight w:val="none"/>
                <w:vertAlign w:val="baseline"/>
                <w:lang w:val="en-US" w:eastAsia="zh-CN"/>
              </w:rPr>
              <w:t>委托大庆三联实业有限公司拉运处置</w:t>
            </w:r>
            <w:r>
              <w:rPr>
                <w:rFonts w:hint="eastAsia" w:ascii="Times New Roman" w:hAnsi="Times New Roman" w:cs="Times New Roman"/>
                <w:color w:val="auto"/>
                <w:sz w:val="24"/>
                <w:szCs w:val="24"/>
                <w:highlight w:val="none"/>
                <w:vertAlign w:val="baseline"/>
                <w:lang w:val="en-US" w:eastAsia="zh-CN"/>
              </w:rPr>
              <w:t>；</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一般废弃防渗布与一般固废包装袋统一收集后送大庆市岗源环保科技有限责任公司工业废弃物处置中心处置。</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地下水污</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染防范措</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罐区、放喷池区域及油基泥浆槽区域做重点防渗处理；油基泥浆泥浆槽区域及柴油罐区采取地面采用基底层压实（压实度不小于93%）+HDPE防渗膜（厚2.0mm）+抗渗混凝土层措施；放喷坑采用耐火砂浆砌页岩砖结构，底部100mm厚C15砼垫层。防渗系数≤10</w:t>
            </w:r>
            <w:r>
              <w:rPr>
                <w:rFonts w:hint="eastAsia" w:ascii="Times New Roman" w:hAnsi="Times New Roman" w:cs="Times New Roman"/>
                <w:color w:val="auto"/>
                <w:sz w:val="24"/>
                <w:szCs w:val="24"/>
                <w:highlight w:val="none"/>
                <w:vertAlign w:val="superscript"/>
                <w:lang w:val="en-US" w:eastAsia="zh-CN"/>
              </w:rPr>
              <w:t>-10</w:t>
            </w:r>
            <w:r>
              <w:rPr>
                <w:rFonts w:hint="eastAsia" w:ascii="Times New Roman" w:hAnsi="Times New Roman" w:cs="Times New Roman"/>
                <w:color w:val="auto"/>
                <w:sz w:val="24"/>
                <w:szCs w:val="24"/>
                <w:highlight w:val="none"/>
                <w:vertAlign w:val="baseline"/>
                <w:lang w:val="en-US" w:eastAsia="zh-CN"/>
              </w:rPr>
              <w:t>cm/s。满足《石油化工工程防渗技术规范》（GB/T50934-2013）及《危险废物贮存污染控制标准》（GB18597-2001）及2013修改单规定要求；</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生活污水池、循环罐、水基钢制泥浆槽、材料房、计量池、储液罐、压裂液罐做一般防渗处理，</w:t>
            </w:r>
            <w:r>
              <w:rPr>
                <w:rFonts w:hint="default" w:ascii="Times New Roman" w:hAnsi="Times New Roman" w:cs="Times New Roman"/>
                <w:color w:val="auto"/>
                <w:sz w:val="24"/>
                <w:szCs w:val="24"/>
                <w:highlight w:val="none"/>
                <w:vertAlign w:val="baseline"/>
                <w:lang w:val="en-US" w:eastAsia="zh-CN"/>
              </w:rPr>
              <w:t>10cm厚C15砼基层+30cm厚C25钢筋砼面层防渗</w:t>
            </w:r>
            <w:r>
              <w:rPr>
                <w:rFonts w:hint="eastAsia" w:ascii="Times New Roman" w:hAnsi="Times New Roman" w:cs="Times New Roman"/>
                <w:color w:val="auto"/>
                <w:sz w:val="24"/>
                <w:szCs w:val="24"/>
                <w:highlight w:val="none"/>
                <w:vertAlign w:val="baseline"/>
                <w:lang w:val="en-US" w:eastAsia="zh-CN"/>
              </w:rPr>
              <w:t>；渗透系数≤10</w:t>
            </w:r>
            <w:r>
              <w:rPr>
                <w:rFonts w:hint="eastAsia" w:ascii="Times New Roman" w:hAnsi="Times New Roman" w:cs="Times New Roman"/>
                <w:color w:val="auto"/>
                <w:sz w:val="24"/>
                <w:szCs w:val="24"/>
                <w:highlight w:val="none"/>
                <w:vertAlign w:val="superscript"/>
                <w:lang w:val="en-US" w:eastAsia="zh-CN"/>
              </w:rPr>
              <w:t>-7</w:t>
            </w:r>
            <w:r>
              <w:rPr>
                <w:rFonts w:hint="eastAsia" w:ascii="Times New Roman" w:hAnsi="Times New Roman" w:cs="Times New Roman"/>
                <w:color w:val="auto"/>
                <w:sz w:val="24"/>
                <w:szCs w:val="24"/>
                <w:highlight w:val="none"/>
                <w:vertAlign w:val="baseline"/>
                <w:lang w:val="en-US" w:eastAsia="zh-CN"/>
              </w:rPr>
              <w:t>cm/s，满足《环境影响评价技术导则 地下水环境》（HJ610-2016）表7一般防渗技术要求。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井场地面做简单防渗处理，7%水泥稳定面层200mm+砂砾石压实基层200mm。</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地下水跟踪监测</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本项目设置地下水跟踪监测井3口；井场上游监测井：依托李珍窝棚水井（g125.281343，45.811839），井场下游监测井：依托三门董家水井（g125.275417，45.805872），平等村（g125.291883，45.785324）。</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生态恢复措施</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本项目临时占地2.64hm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，施工前剥离表层耕植土，单独堆放，堆土表面设纱网或草栅覆盖；</w:t>
            </w:r>
            <w:r>
              <w:rPr>
                <w:rFonts w:hint="default" w:ascii="Times New Roman" w:hAnsi="Times New Roman" w:cs="Times New Roman"/>
                <w:color w:val="auto"/>
                <w:sz w:val="24"/>
                <w:szCs w:val="24"/>
                <w:highlight w:val="none"/>
                <w:vertAlign w:val="baseline"/>
                <w:lang w:val="en-US" w:eastAsia="zh-CN"/>
              </w:rPr>
              <w:t>施工作业时，采用分层开挖、分层堆放及分层回填的方式</w:t>
            </w:r>
            <w:r>
              <w:rPr>
                <w:rFonts w:hint="eastAsia" w:ascii="Times New Roman" w:hAnsi="Times New Roman" w:cs="Times New Roman"/>
                <w:color w:val="auto"/>
                <w:sz w:val="24"/>
                <w:szCs w:val="24"/>
                <w:highlight w:val="none"/>
                <w:vertAlign w:val="baseline"/>
                <w:lang w:val="en-US" w:eastAsia="zh-CN"/>
              </w:rPr>
              <w:t>，施工结束后，对临时占地进行复垦。对永久占地，按照“占多少，垦多少”的原则，由建设单位负责开垦与所占用耕地的数量和质量相当的耕地，如果没有条件开垦时，按黑龙江省的规定缴纳耕地开垦费，用于开垦新的耕地。</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8"/>
                <w:szCs w:val="28"/>
                <w:highlight w:val="none"/>
                <w:vertAlign w:val="baseline"/>
                <w:lang w:val="en-US" w:eastAsia="zh-CN" w:bidi="ar"/>
              </w:rPr>
            </w:pPr>
          </w:p>
        </w:tc>
        <w:tc>
          <w:tcPr>
            <w:tcW w:w="1241"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事故防范措施</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钻进过程中，井口安装防喷器及配套井控设备，防止发生井喷事故。每座井场设置放喷池1座。</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依托</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工程</w:t>
            </w: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黑龙江</w:t>
            </w:r>
            <w:r>
              <w:rPr>
                <w:rFonts w:hint="default" w:ascii="Times New Roman" w:hAnsi="Times New Roman" w:cs="Times New Roman"/>
                <w:color w:val="auto"/>
                <w:sz w:val="24"/>
                <w:szCs w:val="24"/>
                <w:highlight w:val="none"/>
                <w:vertAlign w:val="baseline"/>
                <w:lang w:val="en-US" w:eastAsia="zh-CN"/>
              </w:rPr>
              <w:t>龙之润五厂处理站</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产生的一般钻井废水、废弃水基钻井液、一般岩屑及废射孔液委托黑龙江龙之润环保工程有限公司处理站处理站处理。处理工艺采用“一级处理（高频脱水振动筛）-二级处理（除砂一体机）-三级处理（中速离心机）-压裂絮凝-四级处理-清水收集”流程；处理后泥饼满足《废弃钻井液处理规范》（DB23/T693-2000）要求，由油田统一调配用于井场平整及道路建设等综合利用；处置过程中产生的滤液由罐车拉运至杏十五一联合站污水处理站处理，满足《大庆油田地面工程建设设计规定》（Q/SYDQ0639-2015）限值要求“含油量≤20mg/L、悬浮固体含量≤20mg/L”，回注现役油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该站处理能力为15×10</w:t>
            </w:r>
            <w:r>
              <w:rPr>
                <w:rFonts w:hint="eastAsia" w:ascii="Times New Roman" w:hAnsi="Times New Roman" w:cs="Times New Roman"/>
                <w:color w:val="auto"/>
                <w:sz w:val="24"/>
                <w:szCs w:val="24"/>
                <w:highlight w:val="none"/>
                <w:vertAlign w:val="superscript"/>
                <w:lang w:val="en-US" w:eastAsia="zh-CN"/>
              </w:rPr>
              <w:t>4</w:t>
            </w:r>
            <w:r>
              <w:rPr>
                <w:rFonts w:hint="eastAsia"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/a，本项目产生的一般钻井废水、水基岩屑及废射孔液产生量共2277m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，废弃水基钻井液4484t，根据油田设计资料，废弃水基钻井密度以1.6g/cm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计，本项目产生的水基泥浆量共2826m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同期工程《葡北及太南区块产能建设钻井工程》、《葡南区块产能建设钻井工程》、《敖包塔及敖南区块产能建设钻井工程》产生的不含油废射孔液也进入该站处理。本项目及同期工程合计产生水基泥浆81811m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，目前该站剩余处理量为134016m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/a，能满足本工程及同期工程处理需要。该站环评批复文号为岗环审[2019]016号，于2019年12月完成自主验收。</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哈19</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卸液站</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该站采用</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氧化</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溶气气浮</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旋流气浮</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过滤联合处理</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处理工艺，设计能力为1800m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/d。本项目产生的压裂返排液为17100m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/a，570m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/d，约占总处理能力的31.7%，哈19返排液处理站满足本项目处理需求。</w:t>
            </w:r>
            <w:r>
              <w:rPr>
                <w:rFonts w:hint="eastAsia" w:ascii="Times New Roman" w:hAnsi="Times New Roman" w:cs="Times New Roman"/>
                <w:color w:val="auto"/>
                <w:sz w:val="24"/>
                <w:szCs w:val="24"/>
                <w:highlight w:val="none"/>
                <w:vertAlign w:val="baseline"/>
                <w:lang w:val="en-US" w:eastAsia="zh-CN"/>
              </w:rPr>
              <w:t>处理后水质满足</w:t>
            </w:r>
            <w:r>
              <w:rPr>
                <w:rFonts w:hint="default" w:ascii="Times New Roman" w:hAnsi="Times New Roman" w:cs="Times New Roman"/>
                <w:color w:val="auto"/>
                <w:sz w:val="24"/>
                <w:szCs w:val="24"/>
                <w:highlight w:val="none"/>
                <w:vertAlign w:val="baseline"/>
                <w:lang w:val="en-US" w:eastAsia="zh-CN"/>
              </w:rPr>
              <w:t>《大庆油田地面工程建设设计规定》（Q/SYDQ0639-2015）限值要求（含油量≤20mg/L，悬浮固体含量≤20mg/L）</w:t>
            </w:r>
            <w:r>
              <w:rPr>
                <w:rFonts w:hint="eastAsia" w:ascii="Times New Roman" w:hAnsi="Times New Roman" w:cs="Times New Roman"/>
                <w:color w:val="auto"/>
                <w:sz w:val="24"/>
                <w:szCs w:val="24"/>
                <w:highlight w:val="none"/>
                <w:vertAlign w:val="baseline"/>
                <w:lang w:val="en-US" w:eastAsia="zh-CN"/>
              </w:rPr>
              <w:t>，通过回注井回注。</w:t>
            </w:r>
            <w:r>
              <w:rPr>
                <w:rFonts w:hint="default" w:ascii="Times New Roman" w:hAnsi="Times New Roman" w:cs="Times New Roman"/>
                <w:color w:val="auto"/>
                <w:sz w:val="24"/>
                <w:szCs w:val="24"/>
                <w:highlight w:val="none"/>
                <w:vertAlign w:val="baseline"/>
                <w:lang w:val="en-US" w:eastAsia="zh-CN"/>
              </w:rPr>
              <w:t>哈19卸液站于2021年12月取得大庆市生态环境局批复（庆环审〔2021〕154号），目前正在组织竣工环境保护验收。</w:t>
            </w:r>
          </w:p>
        </w:tc>
        <w:tc>
          <w:tcPr>
            <w:tcW w:w="11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0"/>
                <w:szCs w:val="20"/>
                <w:highlight w:val="no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大庆市岗源环保科技有限责任公司工业废弃物处置中心</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该工业废弃物处置中心处理能力为14000t/a，本项目产生的废弃防渗布及一般固废包装袋量约为0.475t，处理能力满足本工程新增固废处理要求。大庆市岗源环保科技有限责任公司工业废弃物处置中心于2016年取得环评批复，批复文号为庆环审[2016]280号，目前正在组织竣工环境保护验收。</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0"/>
                <w:szCs w:val="20"/>
                <w:highlight w:val="none"/>
                <w:lang w:val="en-US" w:eastAsia="zh-CN" w:bidi="ar"/>
              </w:rPr>
            </w:pPr>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废弃泥浆无害化处理油基泥浆站</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由</w:t>
            </w:r>
            <w:r>
              <w:rPr>
                <w:rFonts w:hint="default" w:ascii="Times New Roman" w:hAnsi="Times New Roman" w:cs="Times New Roman"/>
                <w:color w:val="auto"/>
                <w:sz w:val="24"/>
                <w:szCs w:val="24"/>
                <w:highlight w:val="none"/>
                <w:vertAlign w:val="baseline"/>
                <w:lang w:val="en-US" w:eastAsia="zh-CN"/>
              </w:rPr>
              <w:t>大庆市云泰石化产品有限公司建设</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位于黑龙江省大庆市杜尔伯特蒙古族自治县杏树岗村北侧3km处，年处理量10万t/a，其中油田钻井油基钻屑年处理量为5万t/a</w:t>
            </w:r>
            <w:r>
              <w:rPr>
                <w:rFonts w:hint="eastAsia" w:ascii="Times New Roman" w:hAnsi="Times New Roman" w:cs="Times New Roman"/>
                <w:color w:val="auto"/>
                <w:sz w:val="24"/>
                <w:szCs w:val="24"/>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主要设备有油水分离器、多级分离装置、深度脱附装置等，采用</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预处理+深度脱附</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工艺处理油基钻屑以</w:t>
            </w:r>
            <w:r>
              <w:rPr>
                <w:rFonts w:hint="eastAsia" w:ascii="Times New Roman" w:hAnsi="Times New Roman" w:cs="Times New Roman"/>
                <w:color w:val="auto"/>
                <w:sz w:val="24"/>
                <w:szCs w:val="24"/>
                <w:highlight w:val="none"/>
                <w:vertAlign w:val="baseline"/>
                <w:lang w:val="en-US" w:eastAsia="zh-CN"/>
              </w:rPr>
              <w:t>油基泥浆</w:t>
            </w:r>
            <w:r>
              <w:rPr>
                <w:rFonts w:hint="default" w:ascii="Times New Roman" w:hAnsi="Times New Roman" w:cs="Times New Roman"/>
                <w:color w:val="auto"/>
                <w:sz w:val="24"/>
                <w:szCs w:val="24"/>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处置过程中产生的滤液由罐车运至龙一联含油污水站处理指标满足《大庆油田地面工程建设设计规定》（Q/SYDQ0639-2015）限值要求（含油量≤8mg/L、悬浮固体含量≤3mg/L）后回注。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目前进入该站的油基泥浆量为10000t/a，本项目产生的</w:t>
            </w:r>
            <w:r>
              <w:rPr>
                <w:rFonts w:hint="eastAsia" w:ascii="Times New Roman" w:hAnsi="Times New Roman" w:cs="Times New Roman"/>
                <w:color w:val="auto"/>
                <w:sz w:val="24"/>
                <w:szCs w:val="24"/>
                <w:highlight w:val="none"/>
                <w:vertAlign w:val="baseline"/>
                <w:lang w:val="en-US" w:eastAsia="zh-CN"/>
              </w:rPr>
              <w:t>含油钻井废水及油基岩屑共5198m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根据油田单位多年生产经验，液固混合物质密度以2.8g/cm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计</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折算后液固混合物质产生量为</w:t>
            </w:r>
            <w:r>
              <w:rPr>
                <w:rFonts w:hint="eastAsia" w:ascii="Times New Roman" w:hAnsi="Times New Roman" w:cs="Times New Roman"/>
                <w:color w:val="auto"/>
                <w:sz w:val="24"/>
                <w:szCs w:val="24"/>
                <w:highlight w:val="none"/>
                <w:vertAlign w:val="baseline"/>
                <w:lang w:val="en-US" w:eastAsia="zh-CN"/>
              </w:rPr>
              <w:t>14554；产生的废弃油基钻井液为4484t，处理站</w:t>
            </w:r>
            <w:r>
              <w:rPr>
                <w:rFonts w:hint="default" w:ascii="Times New Roman" w:hAnsi="Times New Roman" w:cs="Times New Roman"/>
                <w:color w:val="auto"/>
                <w:sz w:val="24"/>
                <w:szCs w:val="24"/>
                <w:highlight w:val="none"/>
                <w:vertAlign w:val="baseline"/>
                <w:lang w:val="en-US" w:eastAsia="zh-CN"/>
              </w:rPr>
              <w:t>新增负荷后该站负荷率为</w:t>
            </w:r>
            <w:r>
              <w:rPr>
                <w:rFonts w:hint="eastAsia" w:ascii="Times New Roman" w:hAnsi="Times New Roman" w:cs="Times New Roman"/>
                <w:color w:val="auto"/>
                <w:sz w:val="24"/>
                <w:szCs w:val="24"/>
                <w:highlight w:val="none"/>
                <w:vertAlign w:val="baseline"/>
                <w:lang w:val="en-US" w:eastAsia="zh-CN"/>
              </w:rPr>
              <w:t>29</w:t>
            </w:r>
            <w:r>
              <w:rPr>
                <w:rFonts w:hint="default" w:ascii="Times New Roman" w:hAnsi="Times New Roman" w:cs="Times New Roman"/>
                <w:color w:val="auto"/>
                <w:sz w:val="24"/>
                <w:szCs w:val="24"/>
                <w:highlight w:val="none"/>
                <w:vertAlign w:val="baseline"/>
                <w:lang w:val="en-US" w:eastAsia="zh-CN"/>
              </w:rPr>
              <w:t>%，处理能力满足本</w:t>
            </w:r>
            <w:r>
              <w:rPr>
                <w:rFonts w:hint="eastAsia" w:ascii="Times New Roman" w:hAnsi="Times New Roman" w:cs="Times New Roman"/>
                <w:color w:val="auto"/>
                <w:sz w:val="24"/>
                <w:szCs w:val="24"/>
                <w:highlight w:val="none"/>
                <w:vertAlign w:val="baseline"/>
                <w:lang w:val="en-US" w:eastAsia="zh-CN"/>
              </w:rPr>
              <w:t>项目</w:t>
            </w:r>
            <w:r>
              <w:rPr>
                <w:rFonts w:hint="default" w:ascii="Times New Roman" w:hAnsi="Times New Roman" w:cs="Times New Roman"/>
                <w:color w:val="auto"/>
                <w:sz w:val="24"/>
                <w:szCs w:val="24"/>
                <w:highlight w:val="none"/>
                <w:vertAlign w:val="baseline"/>
                <w:lang w:val="en-US" w:eastAsia="zh-CN"/>
              </w:rPr>
              <w:t>依托需求。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该站已在大庆市云泰石化产品有限公司《废弃泥浆无害化处理油基泥浆站项目》中进行了环境影响评价，环评批复文号为庆环审〔2020〕21号，目前正在组织验收。</w:t>
            </w:r>
          </w:p>
        </w:tc>
        <w:tc>
          <w:tcPr>
            <w:tcW w:w="1116" w:type="dxa"/>
            <w:tcBorders>
              <w:tl2br w:val="nil"/>
              <w:tr2bl w:val="nil"/>
            </w:tcBorders>
            <w:noWrap w:val="0"/>
            <w:vAlign w:val="center"/>
          </w:tcPr>
          <w:p>
            <w:pPr>
              <w:keepNext w:val="0"/>
              <w:keepLines w:val="0"/>
              <w:widowControl/>
              <w:suppressLineNumbers w:val="0"/>
              <w:jc w:val="center"/>
              <w:rPr>
                <w:rFonts w:hint="eastAsia" w:ascii="宋体" w:hAnsi="宋体" w:eastAsia="宋体" w:cs="宋体"/>
                <w:color w:val="auto"/>
                <w:kern w:val="0"/>
                <w:sz w:val="28"/>
                <w:szCs w:val="28"/>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73" w:type="dxa"/>
            <w:vMerge w:val="continue"/>
            <w:tcBorders>
              <w:tl2br w:val="nil"/>
              <w:tr2bl w:val="nil"/>
            </w:tcBorders>
            <w:noWrap w:val="0"/>
            <w:vAlign w:val="top"/>
          </w:tcPr>
          <w:p>
            <w:pPr>
              <w:keepNext w:val="0"/>
              <w:keepLines w:val="0"/>
              <w:widowControl/>
              <w:suppressLineNumbers w:val="0"/>
              <w:jc w:val="left"/>
              <w:rPr>
                <w:rFonts w:hint="eastAsia" w:ascii="宋体" w:hAnsi="宋体" w:eastAsia="宋体" w:cs="宋体"/>
                <w:color w:val="auto"/>
                <w:kern w:val="0"/>
                <w:sz w:val="20"/>
                <w:szCs w:val="20"/>
                <w:highlight w:val="none"/>
                <w:lang w:val="en-US" w:eastAsia="zh-CN" w:bidi="ar"/>
              </w:rPr>
            </w:pPr>
            <w:bookmarkStart w:id="100" w:name="_Toc20077"/>
            <w:bookmarkStart w:id="101" w:name="_Toc18163"/>
            <w:bookmarkStart w:id="102" w:name="_Toc8648"/>
          </w:p>
        </w:tc>
        <w:tc>
          <w:tcPr>
            <w:tcW w:w="12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升一联气田污水预处理站</w:t>
            </w:r>
          </w:p>
        </w:tc>
        <w:tc>
          <w:tcPr>
            <w:tcW w:w="5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升一联气田污水预处理站于2015年取得环评批复文件，文号为绥环函[2015]423号，2019年9月完成自主验收工作。该站采用“调储缓冲→气浮→缓冲→两级过滤”的处理工艺，设计处理能力为1400m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/d，目前实际处理量为240m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/d，负荷率为17%，本项目试气采出液产生量为3</w:t>
            </w: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，2.27m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/d，升一联气田污水预处理站剩余处理能力满足本项目处理需 求。</w:t>
            </w:r>
          </w:p>
        </w:tc>
        <w:tc>
          <w:tcPr>
            <w:tcW w:w="1116"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依托</w:t>
            </w:r>
          </w:p>
        </w:tc>
      </w:tr>
    </w:tbl>
    <w:p>
      <w:pPr>
        <w:pStyle w:val="7"/>
        <w:pageBreakBefore w:val="0"/>
        <w:bidi w:val="0"/>
        <w:spacing w:before="31" w:after="31" w:line="360" w:lineRule="auto"/>
        <w:rPr>
          <w:rFonts w:hint="default" w:ascii="Times New Roman" w:hAnsi="Times New Roman" w:eastAsia="宋体" w:cs="Times New Roman"/>
          <w:b w:val="0"/>
          <w:bCs w:val="0"/>
          <w:caps w:val="0"/>
          <w:smallCaps w:val="0"/>
          <w:color w:val="auto"/>
          <w:spacing w:val="0"/>
          <w:w w:val="100"/>
          <w:kern w:val="0"/>
          <w:sz w:val="28"/>
          <w:highlight w:val="none"/>
          <w:lang w:val="en-US" w:eastAsia="zh-CN"/>
        </w:rPr>
      </w:pPr>
      <w:r>
        <w:rPr>
          <w:rFonts w:hint="default" w:ascii="Times New Roman" w:hAnsi="Times New Roman" w:eastAsia="宋体" w:cs="Times New Roman"/>
          <w:b w:val="0"/>
          <w:bCs w:val="0"/>
          <w:caps w:val="0"/>
          <w:smallCaps w:val="0"/>
          <w:color w:val="auto"/>
          <w:spacing w:val="0"/>
          <w:w w:val="100"/>
          <w:kern w:val="0"/>
          <w:sz w:val="28"/>
          <w:highlight w:val="none"/>
          <w:lang w:val="en-US" w:eastAsia="zh-CN"/>
        </w:rPr>
        <w:t>3.1.2</w:t>
      </w:r>
      <w:r>
        <w:rPr>
          <w:rFonts w:hint="eastAsia" w:ascii="Times New Roman" w:hAnsi="Times New Roman" w:eastAsia="宋体" w:cs="Times New Roman"/>
          <w:b w:val="0"/>
          <w:bCs w:val="0"/>
          <w:caps w:val="0"/>
          <w:smallCaps w:val="0"/>
          <w:color w:val="auto"/>
          <w:spacing w:val="0"/>
          <w:w w:val="100"/>
          <w:kern w:val="0"/>
          <w:sz w:val="28"/>
          <w:highlight w:val="none"/>
          <w:lang w:val="en-US" w:eastAsia="zh-CN"/>
        </w:rPr>
        <w:t>钻井工程</w:t>
      </w:r>
      <w:bookmarkEnd w:id="100"/>
      <w:bookmarkEnd w:id="101"/>
      <w:bookmarkEnd w:id="102"/>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（1）钻井</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1）井身结构</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本项目井身结构设计数据见表</w:t>
      </w:r>
      <w:r>
        <w:rPr>
          <w:rFonts w:hint="default" w:ascii="Times New Roman" w:hAnsi="Times New Roman" w:eastAsia="宋体" w:cs="Times New Roman"/>
          <w:color w:val="auto"/>
          <w:kern w:val="0"/>
          <w:sz w:val="28"/>
          <w:szCs w:val="28"/>
          <w:highlight w:val="none"/>
          <w:lang w:val="en-US" w:eastAsia="zh-CN" w:bidi="ar"/>
        </w:rPr>
        <w:t>3.1-3</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3.1-3</w:t>
      </w:r>
      <w:r>
        <w:rPr>
          <w:rFonts w:hint="eastAsia" w:ascii="Times New Roman" w:hAnsi="Times New Roman" w:eastAsia="宋体" w:cs="Times New Roman"/>
          <w:b/>
          <w:bCs/>
          <w:color w:val="auto"/>
          <w:kern w:val="0"/>
          <w:sz w:val="24"/>
          <w:szCs w:val="24"/>
          <w:highlight w:val="none"/>
          <w:lang w:val="en-US" w:eastAsia="zh-CN" w:bidi="ar"/>
        </w:rPr>
        <w:t>本项目井身结构设计数据一览表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4"/>
        <w:gridCol w:w="1064"/>
        <w:gridCol w:w="1064"/>
        <w:gridCol w:w="1064"/>
        <w:gridCol w:w="1065"/>
        <w:gridCol w:w="1065"/>
        <w:gridCol w:w="1065"/>
        <w:gridCol w:w="1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肇深19-斜1</w:t>
            </w:r>
            <w:r>
              <w:rPr>
                <w:rFonts w:hint="eastAsia" w:ascii="Times New Roman" w:hAnsi="Times New Roman" w:cs="Times New Roman"/>
                <w:color w:val="auto"/>
                <w:sz w:val="24"/>
                <w:szCs w:val="24"/>
                <w:highlight w:val="none"/>
                <w:vertAlign w:val="baseline"/>
                <w:lang w:val="en-US" w:eastAsia="zh-CN"/>
              </w:rPr>
              <w:t>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开钻</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次序</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井深</w:t>
            </w:r>
            <w:r>
              <w:rPr>
                <w:rFonts w:hint="default" w:ascii="Times New Roman" w:hAnsi="Times New Roman" w:cs="Times New Roman"/>
                <w:color w:val="auto"/>
                <w:sz w:val="24"/>
                <w:szCs w:val="24"/>
                <w:highlight w:val="none"/>
                <w:vertAlign w:val="baseline"/>
                <w:lang w:val="en-US" w:eastAsia="zh-CN"/>
              </w:rPr>
              <w:t>m</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钻头尺寸</w:t>
            </w:r>
            <w:r>
              <w:rPr>
                <w:rFonts w:hint="default" w:ascii="Times New Roman" w:hAnsi="Times New Roman" w:cs="Times New Roman"/>
                <w:color w:val="auto"/>
                <w:sz w:val="24"/>
                <w:szCs w:val="24"/>
                <w:highlight w:val="none"/>
                <w:vertAlign w:val="baseline"/>
                <w:lang w:val="en-US" w:eastAsia="zh-CN"/>
              </w:rPr>
              <w:t>mm</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套管柱类型</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套管尺寸</w:t>
            </w:r>
            <w:r>
              <w:rPr>
                <w:rFonts w:hint="default" w:ascii="Times New Roman" w:hAnsi="Times New Roman" w:cs="Times New Roman"/>
                <w:color w:val="auto"/>
                <w:sz w:val="24"/>
                <w:szCs w:val="24"/>
                <w:highlight w:val="none"/>
                <w:vertAlign w:val="baseline"/>
                <w:lang w:val="en-US" w:eastAsia="zh-CN"/>
              </w:rPr>
              <w:t>mm</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套管下入地层层位</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套管下入深度</w:t>
            </w:r>
            <w:r>
              <w:rPr>
                <w:rFonts w:hint="default" w:ascii="Times New Roman" w:hAnsi="Times New Roman" w:cs="Times New Roman"/>
                <w:color w:val="auto"/>
                <w:sz w:val="24"/>
                <w:szCs w:val="24"/>
                <w:highlight w:val="none"/>
                <w:vertAlign w:val="baseline"/>
                <w:lang w:val="en-US" w:eastAsia="zh-CN"/>
              </w:rPr>
              <w:t>m</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环空水泥浆返高</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一开</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165</w:t>
            </w:r>
            <w:r>
              <w:rPr>
                <w:rFonts w:hint="default" w:ascii="Times New Roman" w:hAnsi="Times New Roman" w:cs="Times New Roman"/>
                <w:color w:val="auto"/>
                <w:sz w:val="24"/>
                <w:szCs w:val="24"/>
                <w:highlight w:val="none"/>
                <w:vertAlign w:val="baseline"/>
                <w:lang w:val="en-US" w:eastAsia="zh-CN"/>
              </w:rPr>
              <w:t>.00</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444.5</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表层</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套管</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339.7</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四方</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台组</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164.00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二开</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250</w:t>
            </w:r>
            <w:r>
              <w:rPr>
                <w:rFonts w:hint="eastAsia" w:ascii="Times New Roman" w:hAnsi="Times New Roman" w:cs="Times New Roman"/>
                <w:color w:val="auto"/>
                <w:sz w:val="24"/>
                <w:szCs w:val="24"/>
                <w:highlight w:val="none"/>
                <w:vertAlign w:val="baseline"/>
                <w:lang w:val="en-US" w:eastAsia="zh-CN"/>
              </w:rPr>
              <w:t>9</w:t>
            </w:r>
            <w:r>
              <w:rPr>
                <w:rFonts w:hint="default" w:ascii="Times New Roman" w:hAnsi="Times New Roman" w:cs="Times New Roman"/>
                <w:color w:val="auto"/>
                <w:sz w:val="24"/>
                <w:szCs w:val="24"/>
                <w:highlight w:val="none"/>
                <w:vertAlign w:val="baseline"/>
                <w:lang w:val="en-US" w:eastAsia="zh-CN"/>
              </w:rPr>
              <w:t>.00</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311.2</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技术</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套管</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244.5</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泉二段</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2508</w:t>
            </w:r>
            <w:r>
              <w:rPr>
                <w:rFonts w:hint="eastAsia" w:ascii="Times New Roman" w:hAnsi="Times New Roman" w:cs="Times New Roman"/>
                <w:color w:val="auto"/>
                <w:sz w:val="24"/>
                <w:szCs w:val="24"/>
                <w:highlight w:val="none"/>
                <w:vertAlign w:val="baseline"/>
                <w:lang w:val="en-US" w:eastAsia="zh-CN"/>
              </w:rPr>
              <w:t>.00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三开</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3761</w:t>
            </w:r>
            <w:r>
              <w:rPr>
                <w:rFonts w:hint="eastAsia" w:ascii="Times New Roman" w:hAnsi="Times New Roman" w:cs="Times New Roman"/>
                <w:color w:val="auto"/>
                <w:sz w:val="24"/>
                <w:szCs w:val="24"/>
                <w:highlight w:val="none"/>
                <w:vertAlign w:val="baseline"/>
                <w:lang w:val="en-US" w:eastAsia="zh-CN"/>
              </w:rPr>
              <w:t>.00</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215.9</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生产</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套管</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139.7</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基底</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3758.00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肇深19-</w:t>
            </w:r>
            <w:r>
              <w:rPr>
                <w:rFonts w:hint="eastAsia" w:ascii="Times New Roman" w:hAnsi="Times New Roman" w:cs="Times New Roman"/>
                <w:color w:val="auto"/>
                <w:sz w:val="24"/>
                <w:szCs w:val="24"/>
                <w:highlight w:val="none"/>
                <w:vertAlign w:val="baseline"/>
                <w:lang w:val="en-US" w:eastAsia="zh-CN"/>
              </w:rPr>
              <w:t>平2井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开钻</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次序</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井深</w:t>
            </w:r>
            <w:r>
              <w:rPr>
                <w:rFonts w:hint="default" w:ascii="Times New Roman" w:hAnsi="Times New Roman" w:cs="Times New Roman"/>
                <w:color w:val="auto"/>
                <w:sz w:val="24"/>
                <w:szCs w:val="24"/>
                <w:highlight w:val="none"/>
                <w:vertAlign w:val="baseline"/>
                <w:lang w:val="en-US" w:eastAsia="zh-CN"/>
              </w:rPr>
              <w:t>m</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钻头尺</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寸</w:t>
            </w:r>
            <w:r>
              <w:rPr>
                <w:rFonts w:hint="default" w:ascii="Times New Roman" w:hAnsi="Times New Roman" w:cs="Times New Roman"/>
                <w:color w:val="auto"/>
                <w:sz w:val="24"/>
                <w:szCs w:val="24"/>
                <w:highlight w:val="none"/>
                <w:vertAlign w:val="baseline"/>
                <w:lang w:val="en-US" w:eastAsia="zh-CN"/>
              </w:rPr>
              <w:t>mm</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套管柱类型</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套管尺寸</w:t>
            </w:r>
            <w:r>
              <w:rPr>
                <w:rFonts w:hint="default" w:ascii="Times New Roman" w:hAnsi="Times New Roman" w:cs="Times New Roman"/>
                <w:color w:val="auto"/>
                <w:sz w:val="24"/>
                <w:szCs w:val="24"/>
                <w:highlight w:val="none"/>
                <w:vertAlign w:val="baseline"/>
                <w:lang w:val="en-US" w:eastAsia="zh-CN"/>
              </w:rPr>
              <w:t>mm</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套管下入地层层位</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套管下入深度</w:t>
            </w:r>
            <w:r>
              <w:rPr>
                <w:rFonts w:hint="default" w:ascii="Times New Roman" w:hAnsi="Times New Roman" w:cs="Times New Roman"/>
                <w:color w:val="auto"/>
                <w:sz w:val="24"/>
                <w:szCs w:val="24"/>
                <w:highlight w:val="none"/>
                <w:vertAlign w:val="baseline"/>
                <w:lang w:val="en-US" w:eastAsia="zh-CN"/>
              </w:rPr>
              <w:t>m</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环空水泥浆返高</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一开</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157</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444.5</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表层</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套管</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339.7</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四方</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台组</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156</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二开</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2730</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311.2</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技术</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套管</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244.5</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泉一段</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2730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三开</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4423</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215.9</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生产套管+封隔器+压裂滑套</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139.7</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营城组</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4420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肇深19-</w:t>
            </w:r>
            <w:r>
              <w:rPr>
                <w:rFonts w:hint="eastAsia" w:ascii="Times New Roman" w:hAnsi="Times New Roman" w:cs="Times New Roman"/>
                <w:color w:val="auto"/>
                <w:sz w:val="24"/>
                <w:szCs w:val="24"/>
                <w:highlight w:val="none"/>
                <w:vertAlign w:val="baseline"/>
                <w:lang w:val="en-US" w:eastAsia="zh-CN"/>
              </w:rPr>
              <w:t>平3井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开钻</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次序</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井深</w:t>
            </w:r>
            <w:r>
              <w:rPr>
                <w:rFonts w:hint="default" w:ascii="Times New Roman" w:hAnsi="Times New Roman" w:cs="Times New Roman"/>
                <w:color w:val="auto"/>
                <w:sz w:val="24"/>
                <w:szCs w:val="24"/>
                <w:highlight w:val="none"/>
                <w:vertAlign w:val="baseline"/>
                <w:lang w:val="en-US" w:eastAsia="zh-CN"/>
              </w:rPr>
              <w:t>m</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钻头尺寸</w:t>
            </w:r>
            <w:r>
              <w:rPr>
                <w:rFonts w:hint="default" w:ascii="Times New Roman" w:hAnsi="Times New Roman" w:cs="Times New Roman"/>
                <w:color w:val="auto"/>
                <w:sz w:val="24"/>
                <w:szCs w:val="24"/>
                <w:highlight w:val="none"/>
                <w:vertAlign w:val="baseline"/>
                <w:lang w:val="en-US" w:eastAsia="zh-CN"/>
              </w:rPr>
              <w:t>mm</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套管柱类型</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套管尺寸</w:t>
            </w:r>
            <w:r>
              <w:rPr>
                <w:rFonts w:hint="default" w:ascii="Times New Roman" w:hAnsi="Times New Roman" w:cs="Times New Roman"/>
                <w:color w:val="auto"/>
                <w:sz w:val="24"/>
                <w:szCs w:val="24"/>
                <w:highlight w:val="none"/>
                <w:vertAlign w:val="baseline"/>
                <w:lang w:val="en-US" w:eastAsia="zh-CN"/>
              </w:rPr>
              <w:t>mm</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套管下入地层层位</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套管下入深度</w:t>
            </w:r>
            <w:r>
              <w:rPr>
                <w:rFonts w:hint="default" w:ascii="Times New Roman" w:hAnsi="Times New Roman" w:cs="Times New Roman"/>
                <w:color w:val="auto"/>
                <w:sz w:val="24"/>
                <w:szCs w:val="24"/>
                <w:highlight w:val="none"/>
                <w:vertAlign w:val="baseline"/>
                <w:lang w:val="en-US" w:eastAsia="zh-CN"/>
              </w:rPr>
              <w:t>m</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环空水泥浆返高</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一开</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157</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444.5</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表层</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套管</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339.7</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四方</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台组</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156</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二开</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2750</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311.2</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技术</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套管</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244.5</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泉一段</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2749</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三开</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4607</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215.9</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生产套管+封隔器+压裂滑套</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139.7</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营一段</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4604</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地面</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本项目井身结构示意图见图</w:t>
      </w:r>
      <w:r>
        <w:rPr>
          <w:rFonts w:hint="default" w:ascii="Times New Roman" w:hAnsi="Times New Roman" w:eastAsia="宋体" w:cs="Times New Roman"/>
          <w:color w:val="auto"/>
          <w:kern w:val="0"/>
          <w:sz w:val="28"/>
          <w:szCs w:val="28"/>
          <w:highlight w:val="none"/>
          <w:lang w:val="en-US" w:eastAsia="zh-CN" w:bidi="ar"/>
        </w:rPr>
        <w:t>3.1-</w:t>
      </w:r>
      <w:r>
        <w:rPr>
          <w:rFonts w:hint="eastAsia" w:ascii="Times New Roman" w:hAnsi="Times New Roman" w:eastAsia="宋体" w:cs="Times New Roman"/>
          <w:color w:val="auto"/>
          <w:kern w:val="0"/>
          <w:sz w:val="28"/>
          <w:szCs w:val="28"/>
          <w:highlight w:val="none"/>
          <w:lang w:val="en-US" w:eastAsia="zh-CN" w:bidi="ar"/>
        </w:rPr>
        <w:t>1-图3.1-3。</w:t>
      </w:r>
    </w:p>
    <w:p>
      <w:pPr>
        <w:keepNext w:val="0"/>
        <w:keepLines w:val="0"/>
        <w:widowControl/>
        <w:suppressLineNumbers w:val="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drawing>
          <wp:inline distT="0" distB="0" distL="114300" distR="114300">
            <wp:extent cx="5264150" cy="4907915"/>
            <wp:effectExtent l="0" t="0" r="12700" b="6985"/>
            <wp:docPr id="9" name="图片 12" descr="肇深19-斜1井设计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肇深19-斜1井设计结构图"/>
                    <pic:cNvPicPr>
                      <a:picLocks noChangeAspect="1"/>
                    </pic:cNvPicPr>
                  </pic:nvPicPr>
                  <pic:blipFill>
                    <a:blip r:embed="rId10"/>
                    <a:stretch>
                      <a:fillRect/>
                    </a:stretch>
                  </pic:blipFill>
                  <pic:spPr>
                    <a:xfrm>
                      <a:off x="0" y="0"/>
                      <a:ext cx="5264150" cy="4907915"/>
                    </a:xfrm>
                    <a:prstGeom prst="rect">
                      <a:avLst/>
                    </a:prstGeom>
                    <a:noFill/>
                    <a:ln>
                      <a:noFill/>
                    </a:ln>
                  </pic:spPr>
                </pic:pic>
              </a:graphicData>
            </a:graphic>
          </wp:inline>
        </w:drawing>
      </w:r>
    </w:p>
    <w:p>
      <w:pPr>
        <w:pStyle w:val="2"/>
        <w:ind w:left="0" w:leftChars="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图3.1-</w:t>
      </w:r>
      <w:r>
        <w:rPr>
          <w:rFonts w:hint="eastAsia" w:ascii="Times New Roman" w:hAnsi="Times New Roman" w:eastAsia="宋体"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肇深19-斜1井设计结构图</w:t>
      </w:r>
    </w:p>
    <w:p>
      <w:pPr>
        <w:pStyle w:val="3"/>
        <w:rPr>
          <w:rFonts w:hint="eastAsia" w:ascii="宋体" w:hAnsi="宋体" w:eastAsia="宋体" w:cs="宋体"/>
          <w:color w:val="auto"/>
          <w:kern w:val="0"/>
          <w:sz w:val="28"/>
          <w:szCs w:val="28"/>
          <w:highlight w:val="none"/>
          <w:lang w:val="en-US" w:eastAsia="zh-CN" w:bidi="ar"/>
        </w:rPr>
      </w:pPr>
    </w:p>
    <w:p>
      <w:pPr>
        <w:pStyle w:val="4"/>
        <w:rPr>
          <w:rFonts w:hint="eastAsia"/>
          <w:color w:val="auto"/>
          <w:highlight w:val="none"/>
          <w:lang w:val="en-US" w:eastAsia="zh-CN"/>
        </w:rPr>
      </w:pPr>
    </w:p>
    <w:p>
      <w:pPr>
        <w:pStyle w:val="2"/>
        <w:ind w:left="0" w:leftChars="0" w:firstLine="0" w:firstLineChars="0"/>
        <w:rPr>
          <w:rFonts w:hint="default"/>
          <w:color w:val="auto"/>
          <w:highlight w:val="none"/>
        </w:rPr>
      </w:pPr>
    </w:p>
    <w:p>
      <w:pPr>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br w:type="page"/>
      </w:r>
    </w:p>
    <w:p>
      <w:pPr>
        <w:pStyle w:val="2"/>
        <w:ind w:left="0" w:leftChars="0" w:firstLine="0" w:firstLineChars="0"/>
        <w:rPr>
          <w:rFonts w:hint="default"/>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pStyle w:val="3"/>
        <w:ind w:left="0" w:leftChars="0" w:firstLine="0" w:firstLineChars="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8490585" cy="4645025"/>
            <wp:effectExtent l="0" t="0" r="5715" b="3175"/>
            <wp:docPr id="10" name="图片 14" descr="肇深19-平2井设计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肇深19-平2井设计结构图"/>
                    <pic:cNvPicPr>
                      <a:picLocks noChangeAspect="1"/>
                    </pic:cNvPicPr>
                  </pic:nvPicPr>
                  <pic:blipFill>
                    <a:blip r:embed="rId11"/>
                    <a:stretch>
                      <a:fillRect/>
                    </a:stretch>
                  </pic:blipFill>
                  <pic:spPr>
                    <a:xfrm>
                      <a:off x="0" y="0"/>
                      <a:ext cx="8490585" cy="4645025"/>
                    </a:xfrm>
                    <a:prstGeom prst="rect">
                      <a:avLst/>
                    </a:prstGeom>
                    <a:noFill/>
                    <a:ln>
                      <a:noFill/>
                    </a:ln>
                  </pic:spPr>
                </pic:pic>
              </a:graphicData>
            </a:graphic>
          </wp:inline>
        </w:drawing>
      </w:r>
    </w:p>
    <w:p>
      <w:pPr>
        <w:pStyle w:val="2"/>
        <w:ind w:left="0" w:leftChars="0"/>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图3.1-2肇深19-平2井设计结构图</w:t>
      </w:r>
    </w:p>
    <w:p>
      <w:pPr>
        <w:pStyle w:val="4"/>
        <w:spacing w:line="240" w:lineRule="auto"/>
        <w:jc w:val="both"/>
        <w:rPr>
          <w:rFonts w:hint="eastAsia"/>
          <w:color w:val="auto"/>
          <w:highlight w:val="none"/>
          <w:lang w:eastAsia="zh-CN"/>
        </w:rPr>
      </w:pPr>
      <w:r>
        <w:rPr>
          <w:rFonts w:hint="eastAsia"/>
          <w:color w:val="auto"/>
          <w:highlight w:val="none"/>
          <w:lang w:eastAsia="zh-CN"/>
        </w:rPr>
        <w:drawing>
          <wp:inline distT="0" distB="0" distL="114300" distR="114300">
            <wp:extent cx="8308340" cy="4669155"/>
            <wp:effectExtent l="0" t="0" r="16510" b="17145"/>
            <wp:docPr id="11" name="图片 15" descr="肇深19-平3井设计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肇深19-平3井设计结构图"/>
                    <pic:cNvPicPr>
                      <a:picLocks noChangeAspect="1"/>
                    </pic:cNvPicPr>
                  </pic:nvPicPr>
                  <pic:blipFill>
                    <a:blip r:embed="rId12"/>
                    <a:stretch>
                      <a:fillRect/>
                    </a:stretch>
                  </pic:blipFill>
                  <pic:spPr>
                    <a:xfrm>
                      <a:off x="0" y="0"/>
                      <a:ext cx="8308340" cy="4669155"/>
                    </a:xfrm>
                    <a:prstGeom prst="rect">
                      <a:avLst/>
                    </a:prstGeom>
                    <a:noFill/>
                    <a:ln>
                      <a:noFill/>
                    </a:ln>
                  </pic:spPr>
                </pic:pic>
              </a:graphicData>
            </a:graphic>
          </wp:inline>
        </w:drawing>
      </w:r>
    </w:p>
    <w:p>
      <w:pPr>
        <w:pStyle w:val="2"/>
        <w:ind w:left="0" w:leftChars="0"/>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图3.1-3肇深19-平3井设计结构图</w:t>
      </w:r>
    </w:p>
    <w:p>
      <w:pPr>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br w:type="page"/>
      </w:r>
    </w:p>
    <w:p>
      <w:pPr>
        <w:pStyle w:val="3"/>
        <w:ind w:left="0" w:leftChars="0" w:firstLine="0" w:firstLineChars="0"/>
        <w:rPr>
          <w:rFonts w:hint="default"/>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2）钻机选型及钻井主要设备</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本项目水平井钻井机选用ZJ-50D/3150钻机，定向井钻井机选用ZJ-40D/2250钻机，主要设备性能见表</w:t>
      </w:r>
      <w:r>
        <w:rPr>
          <w:rFonts w:hint="default" w:ascii="Times New Roman" w:hAnsi="Times New Roman" w:eastAsia="宋体" w:cs="Times New Roman"/>
          <w:color w:val="auto"/>
          <w:kern w:val="0"/>
          <w:sz w:val="28"/>
          <w:szCs w:val="28"/>
          <w:highlight w:val="none"/>
          <w:lang w:val="en-US" w:eastAsia="zh-CN" w:bidi="ar"/>
        </w:rPr>
        <w:t>3.1-4</w:t>
      </w:r>
      <w:r>
        <w:rPr>
          <w:rFonts w:hint="eastAsia" w:ascii="Times New Roman" w:hAnsi="Times New Roman" w:eastAsia="宋体" w:cs="Times New Roman"/>
          <w:color w:val="auto"/>
          <w:kern w:val="0"/>
          <w:sz w:val="28"/>
          <w:szCs w:val="28"/>
          <w:highlight w:val="none"/>
          <w:lang w:val="en-US" w:eastAsia="zh-CN" w:bidi="ar"/>
        </w:rPr>
        <w:t>-表</w:t>
      </w:r>
      <w:r>
        <w:rPr>
          <w:rFonts w:hint="default" w:ascii="Times New Roman" w:hAnsi="Times New Roman" w:eastAsia="宋体" w:cs="Times New Roman"/>
          <w:color w:val="auto"/>
          <w:kern w:val="0"/>
          <w:sz w:val="28"/>
          <w:szCs w:val="28"/>
          <w:highlight w:val="none"/>
          <w:lang w:val="en-US" w:eastAsia="zh-CN" w:bidi="ar"/>
        </w:rPr>
        <w:t>3.1-</w:t>
      </w:r>
      <w:r>
        <w:rPr>
          <w:rFonts w:hint="eastAsia" w:ascii="Times New Roman" w:hAnsi="Times New Roman" w:eastAsia="宋体" w:cs="Times New Roman"/>
          <w:color w:val="auto"/>
          <w:kern w:val="0"/>
          <w:sz w:val="28"/>
          <w:szCs w:val="28"/>
          <w:highlight w:val="none"/>
          <w:lang w:val="en-US" w:eastAsia="zh-CN" w:bidi="ar"/>
        </w:rPr>
        <w:t>5。</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3.1-4ZJ-50D/3150</w:t>
      </w:r>
      <w:r>
        <w:rPr>
          <w:rFonts w:hint="eastAsia" w:ascii="Times New Roman" w:hAnsi="Times New Roman" w:eastAsia="宋体" w:cs="Times New Roman"/>
          <w:b/>
          <w:bCs/>
          <w:color w:val="auto"/>
          <w:kern w:val="0"/>
          <w:sz w:val="24"/>
          <w:szCs w:val="24"/>
          <w:highlight w:val="none"/>
          <w:lang w:val="en-US" w:eastAsia="zh-CN" w:bidi="ar"/>
        </w:rPr>
        <w:t>钻机及钻井主要设备性能</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8"/>
        <w:gridCol w:w="858"/>
        <w:gridCol w:w="1939"/>
        <w:gridCol w:w="1445"/>
        <w:gridCol w:w="2320"/>
        <w:gridCol w:w="13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279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名称</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规格型号</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主要技术参数</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279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钻机</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ZJ-50D/3150</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279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井架</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JJ315/45-K</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最大载荷3150kN</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8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提升</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系统</w:t>
            </w: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绞车</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JC-50D</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快绳拉力340kN</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天车</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TC-315</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最大载荷3150kN</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游动滑车</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YC-315</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最大载荷3150kN</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大钩</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DG-315</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最大载荷3150kN</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水龙头</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SL-450-Z</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最大载荷4500kN</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279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顶部驱动装置</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TDS</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11SA</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最大载荷5000kN</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279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转盘</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ZP-375</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最大载荷5</w:t>
            </w:r>
            <w:r>
              <w:rPr>
                <w:rFonts w:hint="eastAsia" w:ascii="Times New Roman" w:hAnsi="Times New Roman" w:cs="Times New Roman"/>
                <w:color w:val="auto"/>
                <w:sz w:val="24"/>
                <w:szCs w:val="24"/>
                <w:highlight w:val="none"/>
                <w:vertAlign w:val="baseline"/>
                <w:lang w:val="en-US" w:eastAsia="zh-CN"/>
              </w:rPr>
              <w:t>85</w:t>
            </w:r>
            <w:r>
              <w:rPr>
                <w:rFonts w:hint="default" w:ascii="Times New Roman" w:hAnsi="Times New Roman" w:cs="Times New Roman"/>
                <w:color w:val="auto"/>
                <w:sz w:val="24"/>
                <w:szCs w:val="24"/>
                <w:highlight w:val="none"/>
                <w:vertAlign w:val="baseline"/>
                <w:lang w:val="en-US" w:eastAsia="zh-CN"/>
              </w:rPr>
              <w:t>0kN</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最大工作扭矩32362N</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8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循环</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系统</w:t>
            </w: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钻井泵</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F-1300</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3</w:t>
            </w:r>
            <w:r>
              <w:rPr>
                <w:rFonts w:hint="default" w:ascii="Times New Roman" w:hAnsi="Times New Roman" w:cs="Times New Roman"/>
                <w:color w:val="auto"/>
                <w:sz w:val="24"/>
                <w:szCs w:val="24"/>
                <w:highlight w:val="none"/>
                <w:vertAlign w:val="baseline"/>
                <w:lang w:val="en-US" w:eastAsia="zh-CN"/>
              </w:rPr>
              <w:t>00HP</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钻井液罐</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380m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（循环罐）</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8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动力</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系统</w:t>
            </w: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直流电动机</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YZ08</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w:t>
            </w:r>
            <w:r>
              <w:rPr>
                <w:rFonts w:hint="default" w:ascii="Times New Roman" w:hAnsi="Times New Roman" w:cs="Times New Roman"/>
                <w:color w:val="auto"/>
                <w:sz w:val="24"/>
                <w:szCs w:val="24"/>
                <w:highlight w:val="none"/>
                <w:vertAlign w:val="baseline"/>
                <w:lang w:val="en-US" w:eastAsia="zh-CN"/>
              </w:rPr>
              <w:t>0</w:t>
            </w:r>
            <w:r>
              <w:rPr>
                <w:rFonts w:hint="eastAsia" w:ascii="Times New Roman" w:hAnsi="Times New Roman" w:cs="Times New Roman"/>
                <w:color w:val="auto"/>
                <w:sz w:val="24"/>
                <w:szCs w:val="24"/>
                <w:highlight w:val="none"/>
                <w:vertAlign w:val="baseline"/>
                <w:lang w:val="en-US" w:eastAsia="zh-CN"/>
              </w:rPr>
              <w:t>k</w:t>
            </w:r>
            <w:r>
              <w:rPr>
                <w:rFonts w:hint="default" w:ascii="Times New Roman" w:hAnsi="Times New Roman" w:cs="Times New Roman"/>
                <w:color w:val="auto"/>
                <w:sz w:val="24"/>
                <w:szCs w:val="24"/>
                <w:highlight w:val="none"/>
                <w:vertAlign w:val="baseline"/>
                <w:lang w:val="en-US" w:eastAsia="zh-CN"/>
              </w:rPr>
              <w:t>W</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柴油机</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G12V190/ZLD</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1200HP</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8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发电</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机组</w:t>
            </w: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发电机组</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GF800</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800</w:t>
            </w:r>
            <w:r>
              <w:rPr>
                <w:rFonts w:hint="default" w:ascii="Times New Roman" w:hAnsi="Times New Roman" w:cs="Times New Roman"/>
                <w:color w:val="auto"/>
                <w:sz w:val="24"/>
                <w:szCs w:val="24"/>
                <w:highlight w:val="none"/>
                <w:vertAlign w:val="baseline"/>
                <w:lang w:val="en-US" w:eastAsia="zh-CN"/>
              </w:rPr>
              <w:t>kW</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辅助发电机</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MND604B</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500 kW</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8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钻机控制系统</w:t>
            </w: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螺杆压缩机</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XK06/10LGFD-6/10X</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处理量6m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/min</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r>
              <w:rPr>
                <w:rFonts w:hint="eastAsia" w:ascii="Times New Roman" w:hAnsi="Times New Roman" w:cs="Times New Roman"/>
                <w:color w:val="auto"/>
                <w:sz w:val="24"/>
                <w:szCs w:val="24"/>
                <w:highlight w:val="none"/>
                <w:vertAlign w:val="baseli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气源净化装置</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SAD-6F</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处理量6m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/min</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r>
              <w:rPr>
                <w:rFonts w:hint="eastAsia" w:ascii="Times New Roman" w:hAnsi="Times New Roman" w:cs="Times New Roman"/>
                <w:color w:val="auto"/>
                <w:sz w:val="24"/>
                <w:szCs w:val="24"/>
                <w:highlight w:val="none"/>
                <w:vertAlign w:val="baseli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刹车系统</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FDWS-50D</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最大转矩110kN·m</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8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钻井液净化及处理系统</w:t>
            </w: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振动筛1#</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ATL-1000高·直</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振动筛2#</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ATL-1000高·直</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除砂</w:t>
            </w:r>
            <w:r>
              <w:rPr>
                <w:rFonts w:hint="eastAsia" w:ascii="Times New Roman" w:hAnsi="Times New Roman" w:cs="Times New Roman"/>
                <w:color w:val="auto"/>
                <w:sz w:val="24"/>
                <w:szCs w:val="24"/>
                <w:highlight w:val="none"/>
                <w:vertAlign w:val="baseline"/>
                <w:lang w:val="en-US" w:eastAsia="zh-CN"/>
              </w:rPr>
              <w:t>除泥一体机</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NQJ-250</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处理量200m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/h</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离心机1#</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LW</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500X125</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N</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处理量40m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/h</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离心机2#</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SWACO518</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处理量50m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/h</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除气器</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ZCQ2/6</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处理量360m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/h</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液气分离器</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YQF-8000</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w:t>
            </w:r>
          </w:p>
        </w:tc>
        <w:tc>
          <w:tcPr>
            <w:tcW w:w="279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vertAlign w:val="baseline"/>
                <w:lang w:val="en-US" w:eastAsia="zh-CN"/>
              </w:rPr>
              <w:t>监测仪</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w:t>
            </w:r>
          </w:p>
        </w:tc>
        <w:tc>
          <w:tcPr>
            <w:tcW w:w="279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天然气报警器</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2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4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3台</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表3.1-5ZJ-40D/2250钻机及钻井主要设备性能</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21"/>
        <w:gridCol w:w="886"/>
        <w:gridCol w:w="2081"/>
        <w:gridCol w:w="2103"/>
        <w:gridCol w:w="1349"/>
        <w:gridCol w:w="14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296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名称</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规格型号</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主要技术参数</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296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钻机</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ZJ-40D/2250</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296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井架</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JJ225/43-k1</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2250kN</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88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提升</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系统</w:t>
            </w: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大钩</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DG-225</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2250kN</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绞车</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JC-40DB1</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735kW</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水龙头</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SL-225</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2250kN</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天车</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TC-225</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2250kN</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游动滑车</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YC-225</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2250kN</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296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顶部驱动装置</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DQ40Y</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2250kN</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30kN·m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296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转盘</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ZP-275</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441kW</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27.46kN·m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88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循环系统</w:t>
            </w: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钻井泵</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3NB-1300</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956kW</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3台（备用1台）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钻井液储备罐</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30m3</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钻井液循环罐</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50m3</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88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动力</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系统</w:t>
            </w: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柴油机</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CAT3512t1DA</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1000kW</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发电机</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GF800</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800kW</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88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控制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系统</w:t>
            </w: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自动压风机</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5.5/12V</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5.5kW</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电动压风机</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5.5/12V</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5.5kW</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88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固控</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系统</w:t>
            </w: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振动筛1#</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KTL-48D</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处理量120 L/s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振动筛2#</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KTL-48D</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处理量120 L/s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除砂</w:t>
            </w:r>
            <w:r>
              <w:rPr>
                <w:rFonts w:hint="eastAsia" w:ascii="Times New Roman" w:hAnsi="Times New Roman" w:cs="Times New Roman"/>
                <w:color w:val="auto"/>
                <w:sz w:val="24"/>
                <w:szCs w:val="24"/>
                <w:highlight w:val="none"/>
                <w:vertAlign w:val="baseline"/>
                <w:lang w:val="en-US" w:eastAsia="zh-CN"/>
              </w:rPr>
              <w:t>除泥一体机</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NQJ-250</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处理量200</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离心机1#</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DMN×414（高速）</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处理量60</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离心机2#</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ZW450（中速）</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处理量40</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除气器</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ZCQ2/6</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处理量360</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液气分离器</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YQF-8000</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88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仪器</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仪表</w:t>
            </w: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钻井参数仪表</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ZJCB2</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1台（8参数）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测斜仪、测斜绞车</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各一台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w:t>
            </w:r>
          </w:p>
        </w:tc>
        <w:tc>
          <w:tcPr>
            <w:tcW w:w="296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液压大钳</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YQ-100</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100kN•m</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w:t>
            </w:r>
          </w:p>
        </w:tc>
        <w:tc>
          <w:tcPr>
            <w:tcW w:w="296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vertAlign w:val="baseline"/>
                <w:lang w:val="en-US" w:eastAsia="zh-CN"/>
              </w:rPr>
              <w:t>监测仪</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w:t>
            </w:r>
          </w:p>
        </w:tc>
        <w:tc>
          <w:tcPr>
            <w:tcW w:w="296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天然气报警器</w:t>
            </w:r>
          </w:p>
        </w:tc>
        <w:tc>
          <w:tcPr>
            <w:tcW w:w="21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4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3台</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3）钻井液设计</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钻井时需要使用钻井液构成循环流体，发挥冷却和润滑钻头、封闭和稳定井壁、清洁井底和将钻井岩屑从井底携带至地面等作用。为满足保护水源层的要求，</w:t>
      </w:r>
      <w:r>
        <w:rPr>
          <w:rFonts w:hint="eastAsia" w:ascii="Times New Roman" w:hAnsi="Times New Roman" w:eastAsia="宋体" w:cs="Times New Roman"/>
          <w:color w:val="auto"/>
          <w:kern w:val="0"/>
          <w:sz w:val="28"/>
          <w:szCs w:val="28"/>
          <w:highlight w:val="none"/>
          <w:lang w:val="en-US" w:eastAsia="zh-CN" w:bidi="ar"/>
        </w:rPr>
        <w:t>同时兼顾项目所在区域地质特性，</w:t>
      </w:r>
      <w:r>
        <w:rPr>
          <w:rFonts w:hint="default" w:ascii="Times New Roman" w:hAnsi="Times New Roman" w:eastAsia="宋体" w:cs="Times New Roman"/>
          <w:color w:val="auto"/>
          <w:kern w:val="0"/>
          <w:sz w:val="28"/>
          <w:szCs w:val="28"/>
          <w:highlight w:val="none"/>
          <w:lang w:val="en-US" w:eastAsia="zh-CN" w:bidi="ar"/>
        </w:rPr>
        <w:t>本项目</w:t>
      </w:r>
      <w:r>
        <w:rPr>
          <w:rFonts w:hint="eastAsia" w:ascii="Times New Roman" w:hAnsi="Times New Roman" w:eastAsia="宋体" w:cs="Times New Roman"/>
          <w:color w:val="auto"/>
          <w:kern w:val="0"/>
          <w:sz w:val="28"/>
          <w:szCs w:val="28"/>
          <w:highlight w:val="none"/>
          <w:lang w:val="en-US" w:eastAsia="zh-CN" w:bidi="ar"/>
        </w:rPr>
        <w:t>定向井三开均使用水基钻井液，水平井一开和二开使用水基钻井液，三开使用油基钻井液。</w:t>
      </w:r>
      <w:r>
        <w:rPr>
          <w:rFonts w:hint="default" w:ascii="Times New Roman" w:hAnsi="Times New Roman" w:eastAsia="宋体" w:cs="Times New Roman"/>
          <w:color w:val="auto"/>
          <w:kern w:val="0"/>
          <w:sz w:val="28"/>
          <w:szCs w:val="28"/>
          <w:highlight w:val="none"/>
          <w:lang w:val="en-US" w:eastAsia="zh-CN" w:bidi="ar"/>
        </w:rPr>
        <w:t>钻井液各成分理化性质见表3.1-</w:t>
      </w:r>
      <w:r>
        <w:rPr>
          <w:rFonts w:hint="eastAsia" w:ascii="Times New Roman" w:hAnsi="Times New Roman" w:eastAsia="宋体" w:cs="Times New Roman"/>
          <w:color w:val="auto"/>
          <w:kern w:val="0"/>
          <w:sz w:val="28"/>
          <w:szCs w:val="28"/>
          <w:highlight w:val="none"/>
          <w:lang w:val="en-US" w:eastAsia="zh-CN" w:bidi="ar"/>
        </w:rPr>
        <w:t>11</w:t>
      </w:r>
      <w:r>
        <w:rPr>
          <w:rFonts w:hint="default" w:ascii="Times New Roman" w:hAnsi="Times New Roman" w:eastAsia="宋体" w:cs="Times New Roman"/>
          <w:color w:val="auto"/>
          <w:kern w:val="0"/>
          <w:sz w:val="28"/>
          <w:szCs w:val="28"/>
          <w:highlight w:val="none"/>
          <w:lang w:val="en-US" w:eastAsia="zh-CN" w:bidi="ar"/>
        </w:rPr>
        <w:t>，钻井液材料用量设计见表3.1-</w:t>
      </w:r>
      <w:r>
        <w:rPr>
          <w:rFonts w:hint="eastAsia" w:ascii="Times New Roman" w:hAnsi="Times New Roman" w:eastAsia="宋体" w:cs="Times New Roman"/>
          <w:color w:val="auto"/>
          <w:kern w:val="0"/>
          <w:sz w:val="28"/>
          <w:szCs w:val="28"/>
          <w:highlight w:val="none"/>
          <w:lang w:val="en-US" w:eastAsia="zh-CN" w:bidi="ar"/>
        </w:rPr>
        <w:t>6-3.1-9</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6肇深19-斜1井钻井液材料用量设计数据表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34"/>
        <w:gridCol w:w="1382"/>
        <w:gridCol w:w="2385"/>
        <w:gridCol w:w="27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4"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开钻次序</w:t>
            </w:r>
          </w:p>
        </w:tc>
        <w:tc>
          <w:tcPr>
            <w:tcW w:w="1382"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一开</w:t>
            </w:r>
          </w:p>
        </w:tc>
        <w:tc>
          <w:tcPr>
            <w:tcW w:w="238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二开</w:t>
            </w:r>
          </w:p>
        </w:tc>
        <w:tc>
          <w:tcPr>
            <w:tcW w:w="271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三开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钻头尺寸mm</w:t>
            </w:r>
          </w:p>
        </w:tc>
        <w:tc>
          <w:tcPr>
            <w:tcW w:w="1382"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444.5</w:t>
            </w:r>
          </w:p>
        </w:tc>
        <w:tc>
          <w:tcPr>
            <w:tcW w:w="238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311.2</w:t>
            </w:r>
          </w:p>
        </w:tc>
        <w:tc>
          <w:tcPr>
            <w:tcW w:w="271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215.9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4"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井段</w:t>
            </w:r>
            <w:r>
              <w:rPr>
                <w:rFonts w:hint="default" w:ascii="Times New Roman" w:hAnsi="Times New Roman" w:eastAsia="宋体" w:cs="Times New Roman"/>
                <w:color w:val="auto"/>
                <w:kern w:val="0"/>
                <w:sz w:val="24"/>
                <w:szCs w:val="24"/>
                <w:highlight w:val="none"/>
                <w:vertAlign w:val="baseline"/>
                <w:lang w:val="en-US" w:eastAsia="zh-CN" w:bidi="ar"/>
              </w:rPr>
              <w:t>m~m</w:t>
            </w:r>
          </w:p>
        </w:tc>
        <w:tc>
          <w:tcPr>
            <w:tcW w:w="1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0~165</w:t>
            </w:r>
          </w:p>
        </w:tc>
        <w:tc>
          <w:tcPr>
            <w:tcW w:w="23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165~2509</w:t>
            </w:r>
          </w:p>
        </w:tc>
        <w:tc>
          <w:tcPr>
            <w:tcW w:w="27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2509~3761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4"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井筒容积</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44</w:t>
            </w:r>
          </w:p>
        </w:tc>
        <w:tc>
          <w:tcPr>
            <w:tcW w:w="23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250</w:t>
            </w:r>
          </w:p>
        </w:tc>
        <w:tc>
          <w:tcPr>
            <w:tcW w:w="27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4"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地面循环量</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p>
        </w:tc>
        <w:tc>
          <w:tcPr>
            <w:tcW w:w="23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120</w:t>
            </w:r>
          </w:p>
        </w:tc>
        <w:tc>
          <w:tcPr>
            <w:tcW w:w="27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4"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钻井液损耗量</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23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94</w:t>
            </w:r>
          </w:p>
        </w:tc>
        <w:tc>
          <w:tcPr>
            <w:tcW w:w="27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4"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储备钻井液</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23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50(≥1.65g/cm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27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50(≥1.45g/cm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4"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钻井液总量</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91</w:t>
            </w:r>
          </w:p>
        </w:tc>
        <w:tc>
          <w:tcPr>
            <w:tcW w:w="23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514</w:t>
            </w:r>
          </w:p>
        </w:tc>
        <w:tc>
          <w:tcPr>
            <w:tcW w:w="27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34"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钻井液体系</w:t>
            </w:r>
          </w:p>
        </w:tc>
        <w:tc>
          <w:tcPr>
            <w:tcW w:w="1382"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膨润土浆</w:t>
            </w:r>
          </w:p>
        </w:tc>
        <w:tc>
          <w:tcPr>
            <w:tcW w:w="238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钾盐共聚物</w:t>
            </w:r>
          </w:p>
        </w:tc>
        <w:tc>
          <w:tcPr>
            <w:tcW w:w="271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钾盐共聚物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noWrap w:val="0"/>
            <w:vAlign w:val="center"/>
          </w:tcPr>
          <w:p>
            <w:pPr>
              <w:keepNext w:val="0"/>
              <w:keepLines w:val="0"/>
              <w:widowControl/>
              <w:suppressLineNumbers w:val="0"/>
              <w:jc w:val="both"/>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注1：本井储备重晶石粉不少于60t。</w:t>
            </w:r>
          </w:p>
          <w:p>
            <w:pPr>
              <w:keepNext w:val="0"/>
              <w:keepLines w:val="0"/>
              <w:widowControl/>
              <w:suppressLineNumbers w:val="0"/>
              <w:jc w:val="both"/>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注2：本井储备随钻堵漏剂5t~10t，发生井漏时应急使用。</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7肇深19-平2井钻井液材料用量设计数据表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20"/>
        <w:gridCol w:w="1327"/>
        <w:gridCol w:w="2460"/>
        <w:gridCol w:w="27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开钻次序</w:t>
            </w:r>
          </w:p>
        </w:tc>
        <w:tc>
          <w:tcPr>
            <w:tcW w:w="1327"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一开</w:t>
            </w:r>
          </w:p>
        </w:tc>
        <w:tc>
          <w:tcPr>
            <w:tcW w:w="246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二开</w:t>
            </w:r>
          </w:p>
        </w:tc>
        <w:tc>
          <w:tcPr>
            <w:tcW w:w="2709"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三开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钻头尺寸mm</w:t>
            </w:r>
          </w:p>
        </w:tc>
        <w:tc>
          <w:tcPr>
            <w:tcW w:w="1327"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444.5</w:t>
            </w:r>
          </w:p>
        </w:tc>
        <w:tc>
          <w:tcPr>
            <w:tcW w:w="246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311.2</w:t>
            </w:r>
          </w:p>
        </w:tc>
        <w:tc>
          <w:tcPr>
            <w:tcW w:w="2709"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215.9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井段</w:t>
            </w:r>
            <w:r>
              <w:rPr>
                <w:rFonts w:hint="default" w:ascii="Times New Roman" w:hAnsi="Times New Roman" w:eastAsia="宋体" w:cs="Times New Roman"/>
                <w:color w:val="auto"/>
                <w:kern w:val="0"/>
                <w:sz w:val="24"/>
                <w:szCs w:val="24"/>
                <w:highlight w:val="none"/>
                <w:vertAlign w:val="baseline"/>
                <w:lang w:val="en-US" w:eastAsia="zh-CN" w:bidi="ar"/>
              </w:rPr>
              <w:t>m~m</w:t>
            </w:r>
          </w:p>
        </w:tc>
        <w:tc>
          <w:tcPr>
            <w:tcW w:w="13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0~157</w:t>
            </w:r>
          </w:p>
        </w:tc>
        <w:tc>
          <w:tcPr>
            <w:tcW w:w="2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157~2730</w:t>
            </w:r>
          </w:p>
        </w:tc>
        <w:tc>
          <w:tcPr>
            <w:tcW w:w="27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2730~4423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井筒容积</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3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42</w:t>
            </w:r>
          </w:p>
        </w:tc>
        <w:tc>
          <w:tcPr>
            <w:tcW w:w="2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272</w:t>
            </w:r>
          </w:p>
        </w:tc>
        <w:tc>
          <w:tcPr>
            <w:tcW w:w="27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地面循环量</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3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p>
        </w:tc>
        <w:tc>
          <w:tcPr>
            <w:tcW w:w="2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120</w:t>
            </w:r>
          </w:p>
        </w:tc>
        <w:tc>
          <w:tcPr>
            <w:tcW w:w="27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钻井液损耗量</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3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2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103</w:t>
            </w:r>
          </w:p>
        </w:tc>
        <w:tc>
          <w:tcPr>
            <w:tcW w:w="27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储备钻井液</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3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2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≥50(1.65g/cm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27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≥50（1.45g/cm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钻井液总量</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3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89</w:t>
            </w:r>
          </w:p>
        </w:tc>
        <w:tc>
          <w:tcPr>
            <w:tcW w:w="2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545</w:t>
            </w:r>
          </w:p>
        </w:tc>
        <w:tc>
          <w:tcPr>
            <w:tcW w:w="27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钻井液体系</w:t>
            </w:r>
          </w:p>
        </w:tc>
        <w:tc>
          <w:tcPr>
            <w:tcW w:w="1327"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膨润土浆</w:t>
            </w:r>
          </w:p>
        </w:tc>
        <w:tc>
          <w:tcPr>
            <w:tcW w:w="246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钾盐共聚物</w:t>
            </w:r>
          </w:p>
        </w:tc>
        <w:tc>
          <w:tcPr>
            <w:tcW w:w="2709"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胺基聚合物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noWrap w:val="0"/>
            <w:vAlign w:val="center"/>
          </w:tcPr>
          <w:p>
            <w:pPr>
              <w:keepNext w:val="0"/>
              <w:keepLines w:val="0"/>
              <w:widowControl/>
              <w:suppressLineNumbers w:val="0"/>
              <w:jc w:val="both"/>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注1：本井储备重晶石粉不少于60t。</w:t>
            </w:r>
          </w:p>
          <w:p>
            <w:pPr>
              <w:keepNext w:val="0"/>
              <w:keepLines w:val="0"/>
              <w:widowControl/>
              <w:suppressLineNumbers w:val="0"/>
              <w:jc w:val="both"/>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注2：本井储备随钻堵漏剂5t~10t，发生井漏时应急使用。</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9肇深19-平3井钻井液材料用量设计数据表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20"/>
        <w:gridCol w:w="1471"/>
        <w:gridCol w:w="2700"/>
        <w:gridCol w:w="23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开钻次序</w:t>
            </w:r>
          </w:p>
        </w:tc>
        <w:tc>
          <w:tcPr>
            <w:tcW w:w="1471"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一开</w:t>
            </w:r>
          </w:p>
        </w:tc>
        <w:tc>
          <w:tcPr>
            <w:tcW w:w="270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二开</w:t>
            </w:r>
          </w:p>
        </w:tc>
        <w:tc>
          <w:tcPr>
            <w:tcW w:w="232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三开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钻头尺寸mm</w:t>
            </w:r>
          </w:p>
        </w:tc>
        <w:tc>
          <w:tcPr>
            <w:tcW w:w="1471"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444.5</w:t>
            </w:r>
          </w:p>
        </w:tc>
        <w:tc>
          <w:tcPr>
            <w:tcW w:w="270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311.2</w:t>
            </w:r>
          </w:p>
        </w:tc>
        <w:tc>
          <w:tcPr>
            <w:tcW w:w="232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215.9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井段</w:t>
            </w:r>
            <w:r>
              <w:rPr>
                <w:rFonts w:hint="default" w:ascii="Times New Roman" w:hAnsi="Times New Roman" w:eastAsia="宋体" w:cs="Times New Roman"/>
                <w:color w:val="auto"/>
                <w:kern w:val="0"/>
                <w:sz w:val="24"/>
                <w:szCs w:val="24"/>
                <w:highlight w:val="none"/>
                <w:vertAlign w:val="baseline"/>
                <w:lang w:val="en-US" w:eastAsia="zh-CN" w:bidi="ar"/>
              </w:rPr>
              <w:t>m~m</w:t>
            </w:r>
          </w:p>
        </w:tc>
        <w:tc>
          <w:tcPr>
            <w:tcW w:w="14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0~157</w:t>
            </w:r>
          </w:p>
        </w:tc>
        <w:tc>
          <w:tcPr>
            <w:tcW w:w="2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157~2750</w:t>
            </w:r>
          </w:p>
        </w:tc>
        <w:tc>
          <w:tcPr>
            <w:tcW w:w="23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2750~4607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井筒容积</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4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42</w:t>
            </w:r>
          </w:p>
        </w:tc>
        <w:tc>
          <w:tcPr>
            <w:tcW w:w="2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274</w:t>
            </w:r>
          </w:p>
        </w:tc>
        <w:tc>
          <w:tcPr>
            <w:tcW w:w="23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地面循环量</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471"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40</w:t>
            </w:r>
          </w:p>
        </w:tc>
        <w:tc>
          <w:tcPr>
            <w:tcW w:w="270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120</w:t>
            </w:r>
          </w:p>
        </w:tc>
        <w:tc>
          <w:tcPr>
            <w:tcW w:w="232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钻井液损耗量</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4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2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104</w:t>
            </w:r>
          </w:p>
        </w:tc>
        <w:tc>
          <w:tcPr>
            <w:tcW w:w="23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储备钻井液</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4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2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≥50(1.60g/cm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23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≥50（1.45g/cm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钻井液总量</w:t>
            </w:r>
            <w:r>
              <w:rPr>
                <w:rFonts w:hint="default" w:ascii="Times New Roman" w:hAnsi="Times New Roman" w:eastAsia="宋体" w:cs="Times New Roman"/>
                <w:color w:val="auto"/>
                <w:kern w:val="0"/>
                <w:sz w:val="24"/>
                <w:szCs w:val="24"/>
                <w:highlight w:val="none"/>
                <w:vertAlign w:val="baseli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14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89</w:t>
            </w:r>
          </w:p>
        </w:tc>
        <w:tc>
          <w:tcPr>
            <w:tcW w:w="2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548</w:t>
            </w:r>
          </w:p>
        </w:tc>
        <w:tc>
          <w:tcPr>
            <w:tcW w:w="23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2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钻井液体系</w:t>
            </w:r>
          </w:p>
        </w:tc>
        <w:tc>
          <w:tcPr>
            <w:tcW w:w="1471"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膨润土浆</w:t>
            </w:r>
          </w:p>
        </w:tc>
        <w:tc>
          <w:tcPr>
            <w:tcW w:w="270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钾盐共聚物</w:t>
            </w:r>
          </w:p>
        </w:tc>
        <w:tc>
          <w:tcPr>
            <w:tcW w:w="232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胺基聚合物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noWrap w:val="0"/>
            <w:vAlign w:val="center"/>
          </w:tcPr>
          <w:p>
            <w:pPr>
              <w:keepNext w:val="0"/>
              <w:keepLines w:val="0"/>
              <w:widowControl/>
              <w:suppressLineNumbers w:val="0"/>
              <w:jc w:val="both"/>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注1：本井储备重晶石粉不少于60t。</w:t>
            </w:r>
          </w:p>
          <w:p>
            <w:pPr>
              <w:keepNext w:val="0"/>
              <w:keepLines w:val="0"/>
              <w:widowControl/>
              <w:suppressLineNumbers w:val="0"/>
              <w:jc w:val="both"/>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注2：本井储备随钻堵漏剂5t~10t，发生井漏时应急使用。</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10本项目钻井液体系组成原料一览表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4"/>
        <w:gridCol w:w="504"/>
        <w:gridCol w:w="1418"/>
        <w:gridCol w:w="58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序号</w:t>
            </w:r>
          </w:p>
        </w:tc>
        <w:tc>
          <w:tcPr>
            <w:tcW w:w="1922"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钻井液体系</w:t>
            </w:r>
          </w:p>
        </w:tc>
        <w:tc>
          <w:tcPr>
            <w:tcW w:w="586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组成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w:t>
            </w:r>
          </w:p>
        </w:tc>
        <w:tc>
          <w:tcPr>
            <w:tcW w:w="1922"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一开膨润土浆</w:t>
            </w:r>
          </w:p>
        </w:tc>
        <w:tc>
          <w:tcPr>
            <w:tcW w:w="5860"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膨润土、纯碱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w:t>
            </w:r>
          </w:p>
        </w:tc>
        <w:tc>
          <w:tcPr>
            <w:tcW w:w="1922"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二开钾盐共聚物</w:t>
            </w:r>
          </w:p>
        </w:tc>
        <w:tc>
          <w:tcPr>
            <w:tcW w:w="5860"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膨润土、纯碱、KOH、WDYZ-1、HX-D、NH4-HPAN-2、JS-1、JS-2、HX-A、SPNH、重晶石粉、润滑剂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w:t>
            </w:r>
          </w:p>
        </w:tc>
        <w:tc>
          <w:tcPr>
            <w:tcW w:w="504"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三开</w:t>
            </w:r>
          </w:p>
        </w:tc>
        <w:tc>
          <w:tcPr>
            <w:tcW w:w="1418"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钾盐共聚物</w:t>
            </w:r>
          </w:p>
        </w:tc>
        <w:tc>
          <w:tcPr>
            <w:tcW w:w="5860"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膨润土、纯碱、KOH、WDYZ-1、HX-D、NH4-HPAN-2、JS-1、JS-2、HX-A、SPNH、重晶石粉、润滑剂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p>
        </w:tc>
        <w:tc>
          <w:tcPr>
            <w:tcW w:w="504"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p>
        </w:tc>
        <w:tc>
          <w:tcPr>
            <w:tcW w:w="1418"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胺基聚合物</w:t>
            </w:r>
          </w:p>
        </w:tc>
        <w:tc>
          <w:tcPr>
            <w:tcW w:w="5860" w:type="dxa"/>
            <w:tcBorders>
              <w:tl2br w:val="nil"/>
              <w:tr2bl w:val="nil"/>
            </w:tcBorders>
            <w:noWrap w:val="0"/>
            <w:vAlign w:val="center"/>
          </w:tcPr>
          <w:p>
            <w:pPr>
              <w:keepNext w:val="0"/>
              <w:keepLines w:val="0"/>
              <w:widowControl/>
              <w:suppressLineNumbers w:val="0"/>
              <w:jc w:val="both"/>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纯碱、膨润土、氢氧化钾、抗高温降滤失剂I、抗高温降滤失剂II、抗高温封堵剂I、抗高温封堵剂II、包被剂、胺基抑制剂、抗高温润滑剂、环保油、固体润滑剂、降粘剂、钻井液用稳定剂、增粘剂、随钻堵漏剂、消泡剂、超细碳酸钙、重晶石粉</w:t>
            </w:r>
          </w:p>
        </w:tc>
      </w:tr>
    </w:tbl>
    <w:p>
      <w:pPr>
        <w:keepNext w:val="0"/>
        <w:keepLines w:val="0"/>
        <w:widowControl/>
        <w:suppressLineNumbers w:val="0"/>
        <w:spacing w:line="360" w:lineRule="auto"/>
        <w:jc w:val="center"/>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11钻井液各成分理化性质一览表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5"/>
        <w:gridCol w:w="875"/>
        <w:gridCol w:w="1469"/>
        <w:gridCol w:w="4226"/>
        <w:gridCol w:w="12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原料</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名称</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重要组分</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理化性质及作用</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毒理性质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膨润土</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天然矿物，主要成分是层状铝硅酸盐蒙脱石</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其晶体结构是由两个硅氧四面体晶片中间夹1个，铝氧八面体晶片组成1个晶层，在硅氧四面体中，有部分的</w:t>
            </w:r>
            <w:r>
              <w:rPr>
                <w:rFonts w:hint="default" w:ascii="Times New Roman" w:hAnsi="Times New Roman" w:cs="Times New Roman"/>
                <w:color w:val="auto"/>
                <w:sz w:val="24"/>
                <w:szCs w:val="24"/>
                <w:highlight w:val="none"/>
                <w:vertAlign w:val="baseline"/>
                <w:lang w:val="en-US" w:eastAsia="zh-CN"/>
              </w:rPr>
              <w:t>Si</w:t>
            </w:r>
            <w:r>
              <w:rPr>
                <w:rFonts w:hint="default" w:ascii="Times New Roman" w:hAnsi="Times New Roman" w:cs="Times New Roman"/>
                <w:color w:val="auto"/>
                <w:sz w:val="24"/>
                <w:szCs w:val="24"/>
                <w:highlight w:val="none"/>
                <w:vertAlign w:val="superscript"/>
                <w:lang w:val="en-US" w:eastAsia="zh-CN"/>
              </w:rPr>
              <w:t>4+</w:t>
            </w:r>
            <w:r>
              <w:rPr>
                <w:rFonts w:hint="eastAsia" w:ascii="Times New Roman" w:hAnsi="Times New Roman" w:cs="Times New Roman"/>
                <w:color w:val="auto"/>
                <w:sz w:val="24"/>
                <w:szCs w:val="24"/>
                <w:highlight w:val="none"/>
                <w:vertAlign w:val="baseline"/>
                <w:lang w:val="en-US" w:eastAsia="zh-CN"/>
              </w:rPr>
              <w:t>可被</w:t>
            </w:r>
            <w:r>
              <w:rPr>
                <w:rFonts w:hint="default" w:ascii="Times New Roman" w:hAnsi="Times New Roman" w:cs="Times New Roman"/>
                <w:color w:val="auto"/>
                <w:sz w:val="24"/>
                <w:szCs w:val="24"/>
                <w:highlight w:val="none"/>
                <w:vertAlign w:val="baseline"/>
                <w:lang w:val="en-US" w:eastAsia="zh-CN"/>
              </w:rPr>
              <w:t>Al</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取代，铝氧八面体层中有部分的</w:t>
            </w:r>
            <w:r>
              <w:rPr>
                <w:rFonts w:hint="default" w:ascii="Times New Roman" w:hAnsi="Times New Roman" w:cs="Times New Roman"/>
                <w:color w:val="auto"/>
                <w:sz w:val="24"/>
                <w:szCs w:val="24"/>
                <w:highlight w:val="none"/>
                <w:vertAlign w:val="baseline"/>
                <w:lang w:val="en-US" w:eastAsia="zh-CN"/>
              </w:rPr>
              <w:t>Al</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可被</w:t>
            </w:r>
            <w:r>
              <w:rPr>
                <w:rFonts w:hint="default" w:ascii="Times New Roman" w:hAnsi="Times New Roman" w:cs="Times New Roman"/>
                <w:color w:val="auto"/>
                <w:sz w:val="24"/>
                <w:szCs w:val="24"/>
                <w:highlight w:val="none"/>
                <w:vertAlign w:val="baseline"/>
                <w:lang w:val="en-US" w:eastAsia="zh-CN"/>
              </w:rPr>
              <w:t>Fe</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Mg</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Zn</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等阳离子取代，这样使得蒙脱石的晶格显负电性，同时晶层上下皆为氧原子层，不能开成氢键，晶层间有微弱的分子力连接，连接力弱，水分子容易进入两层之间使之吸水肿胀。因此，它具有很强的吸水性、可塑性、粘结性和离子交换性，水化分散性较好。</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纯碱</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碳酸钠</w:t>
            </w:r>
            <w:r>
              <w:rPr>
                <w:rFonts w:hint="default" w:ascii="Times New Roman" w:hAnsi="Times New Roman" w:cs="Times New Roman"/>
                <w:color w:val="auto"/>
                <w:sz w:val="24"/>
                <w:szCs w:val="24"/>
                <w:highlight w:val="none"/>
                <w:vertAlign w:val="baseline"/>
                <w:lang w:val="en-US" w:eastAsia="zh-CN"/>
              </w:rPr>
              <w:t>Na</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vertAlign w:val="baseline"/>
                <w:lang w:val="en-US" w:eastAsia="zh-CN"/>
              </w:rPr>
              <w:t>CO</w:t>
            </w:r>
            <w:r>
              <w:rPr>
                <w:rFonts w:hint="default" w:ascii="Times New Roman" w:hAnsi="Times New Roman" w:cs="Times New Roman"/>
                <w:color w:val="auto"/>
                <w:sz w:val="24"/>
                <w:szCs w:val="24"/>
                <w:highlight w:val="none"/>
                <w:vertAlign w:val="subscript"/>
                <w:lang w:val="en-US" w:eastAsia="zh-CN"/>
              </w:rPr>
              <w:t>3</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无水碳酸钠为白色粉末，易溶于水，水溶液呈碱性，</w:t>
            </w:r>
            <w:r>
              <w:rPr>
                <w:rFonts w:hint="default" w:ascii="Times New Roman" w:hAnsi="Times New Roman" w:cs="Times New Roman"/>
                <w:color w:val="auto"/>
                <w:sz w:val="24"/>
                <w:szCs w:val="24"/>
                <w:highlight w:val="none"/>
                <w:vertAlign w:val="baseline"/>
                <w:lang w:val="en-US" w:eastAsia="zh-CN"/>
              </w:rPr>
              <w:t>pH</w:t>
            </w:r>
            <w:r>
              <w:rPr>
                <w:rFonts w:hint="eastAsia" w:ascii="Times New Roman" w:hAnsi="Times New Roman" w:cs="Times New Roman"/>
                <w:color w:val="auto"/>
                <w:sz w:val="24"/>
                <w:szCs w:val="24"/>
                <w:highlight w:val="none"/>
                <w:vertAlign w:val="baseline"/>
                <w:lang w:val="en-US" w:eastAsia="zh-CN"/>
              </w:rPr>
              <w:t>值为</w:t>
            </w:r>
            <w:r>
              <w:rPr>
                <w:rFonts w:hint="default" w:ascii="Times New Roman" w:hAnsi="Times New Roman" w:cs="Times New Roman"/>
                <w:color w:val="auto"/>
                <w:sz w:val="24"/>
                <w:szCs w:val="24"/>
                <w:highlight w:val="none"/>
                <w:vertAlign w:val="baseline"/>
                <w:lang w:val="en-US" w:eastAsia="zh-CN"/>
              </w:rPr>
              <w:t>11.5</w:t>
            </w:r>
            <w:r>
              <w:rPr>
                <w:rFonts w:hint="eastAsia" w:ascii="Times New Roman" w:hAnsi="Times New Roman" w:cs="Times New Roman"/>
                <w:color w:val="auto"/>
                <w:sz w:val="24"/>
                <w:szCs w:val="24"/>
                <w:highlight w:val="none"/>
                <w:vertAlign w:val="baseline"/>
                <w:lang w:val="en-US" w:eastAsia="zh-CN"/>
              </w:rPr>
              <w:t>。在泥浆中发生电离和水解，提供</w:t>
            </w:r>
            <w:r>
              <w:rPr>
                <w:rFonts w:hint="default" w:ascii="Times New Roman" w:hAnsi="Times New Roman" w:cs="Times New Roman"/>
                <w:color w:val="auto"/>
                <w:sz w:val="24"/>
                <w:szCs w:val="24"/>
                <w:highlight w:val="none"/>
                <w:vertAlign w:val="baseline"/>
                <w:lang w:val="en-US" w:eastAsia="zh-CN"/>
              </w:rPr>
              <w:t>Na</w:t>
            </w:r>
            <w:r>
              <w:rPr>
                <w:rFonts w:hint="default" w:ascii="Times New Roman" w:hAnsi="Times New Roman" w:cs="Times New Roman"/>
                <w:color w:val="auto"/>
                <w:sz w:val="24"/>
                <w:szCs w:val="24"/>
                <w:highlight w:val="none"/>
                <w:vertAlign w:val="superscript"/>
                <w:lang w:val="en-US" w:eastAsia="zh-CN"/>
              </w:rPr>
              <w:t>+</w:t>
            </w:r>
            <w:r>
              <w:rPr>
                <w:rFonts w:hint="eastAsia" w:ascii="Times New Roman" w:hAnsi="Times New Roman" w:cs="Times New Roman"/>
                <w:color w:val="auto"/>
                <w:sz w:val="24"/>
                <w:szCs w:val="24"/>
                <w:highlight w:val="none"/>
                <w:vertAlign w:val="baseline"/>
                <w:lang w:val="en-US" w:eastAsia="zh-CN"/>
              </w:rPr>
              <w:t>和</w:t>
            </w:r>
            <w:r>
              <w:rPr>
                <w:rFonts w:hint="default" w:ascii="Times New Roman" w:hAnsi="Times New Roman" w:cs="Times New Roman"/>
                <w:color w:val="auto"/>
                <w:sz w:val="24"/>
                <w:szCs w:val="24"/>
                <w:highlight w:val="none"/>
                <w:vertAlign w:val="baseline"/>
                <w:lang w:val="en-US" w:eastAsia="zh-CN"/>
              </w:rPr>
              <w:t>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，在泥浆中通过离子交换和沉淀作用，使钙质粘土变为钠质粘土。另外可除掉石膏或水泥浸入泥浆中的</w:t>
            </w:r>
            <w:r>
              <w:rPr>
                <w:rFonts w:hint="default" w:ascii="Times New Roman" w:hAnsi="Times New Roman" w:cs="Times New Roman"/>
                <w:color w:val="auto"/>
                <w:sz w:val="24"/>
                <w:szCs w:val="24"/>
                <w:highlight w:val="none"/>
                <w:vertAlign w:val="baseline"/>
                <w:lang w:val="en-US" w:eastAsia="zh-CN"/>
              </w:rPr>
              <w:t>Ca</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离子，使泥浆性能变好。</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氢氧</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化钾</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氢氧化钾</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氢氧化钾是一种白色透明的晶体，易溶于水，溶解时强烈放热，水溶液呈碱性，pH值为14，有较强的腐蚀性，半数致死量（大鼠，经口）1230mg/kg，既能用来调节泥浆的pH值，又能提供K</w:t>
            </w:r>
            <w:r>
              <w:rPr>
                <w:rFonts w:hint="eastAsia" w:ascii="Times New Roman" w:hAnsi="Times New Roman" w:cs="Times New Roman"/>
                <w:color w:val="auto"/>
                <w:sz w:val="24"/>
                <w:szCs w:val="24"/>
                <w:highlight w:val="none"/>
                <w:vertAlign w:val="superscript"/>
                <w:lang w:val="en-US" w:eastAsia="zh-CN"/>
              </w:rPr>
              <w:t>+</w:t>
            </w:r>
            <w:r>
              <w:rPr>
                <w:rFonts w:hint="eastAsia" w:ascii="Times New Roman" w:hAnsi="Times New Roman" w:cs="Times New Roman"/>
                <w:color w:val="auto"/>
                <w:sz w:val="24"/>
                <w:szCs w:val="24"/>
                <w:highlight w:val="none"/>
                <w:vertAlign w:val="baseline"/>
                <w:lang w:val="en-US" w:eastAsia="zh-CN"/>
              </w:rPr>
              <w:t>离子，其在泥浆中全部电离，提供的K</w:t>
            </w:r>
            <w:r>
              <w:rPr>
                <w:rFonts w:hint="eastAsia" w:ascii="Times New Roman" w:hAnsi="Times New Roman" w:cs="Times New Roman"/>
                <w:color w:val="auto"/>
                <w:sz w:val="24"/>
                <w:szCs w:val="24"/>
                <w:highlight w:val="none"/>
                <w:vertAlign w:val="superscript"/>
                <w:lang w:val="en-US" w:eastAsia="zh-CN"/>
              </w:rPr>
              <w:t>+</w:t>
            </w:r>
            <w:r>
              <w:rPr>
                <w:rFonts w:hint="eastAsia" w:ascii="Times New Roman" w:hAnsi="Times New Roman" w:cs="Times New Roman"/>
                <w:color w:val="auto"/>
                <w:sz w:val="24"/>
                <w:szCs w:val="24"/>
                <w:highlight w:val="none"/>
                <w:vertAlign w:val="baseline"/>
                <w:lang w:val="en-US" w:eastAsia="zh-CN"/>
              </w:rPr>
              <w:t>离子有较好的防塌作用，因此钾盐泥浆被广泛使用。此外，KOH可用来与某些有机处理剂进行水解作用，生成钾盐</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中毒性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WDYZ-1</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主要由碳酸钾、氧化钙和至少一种反絮凝剂经过化学反应而成</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是一类复合抑制剂。是以钾离子为抑制离子，以钙离子为辅助抑制离子，不使用阴离子或阴离子团，并在此基础上混入木质素或腐殖酸，形成最终复合抑制剂。抗温为160°C，可调可钻井液的流变性，提高体系动逆比、切力，具有很强的携屑能力，可防止井下发生复杂情况。其中木质素、腐殖酸可生物降解</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HX-D</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由高分子聚合物经过阳离子化和官能团的改造而成</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阳离子聚合物抑制剂HX-D，乳白色或浅黄色液体，pH7~9，是由高分子聚合物经过阳离子化和官能团的改造，形成的具有强抑制、吸附和包被作用的一种钻井泥浆助剂，可与地层多价离子反应，有良好的抗高温流变性和搞钻屑污染能力，同时还具有防塌、防膨等作用</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NH</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vertAlign w:val="baseline"/>
                <w:lang w:val="en-US" w:eastAsia="zh-CN"/>
              </w:rPr>
              <w:t>-HPAN-2</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双聚铵盐</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双聚铵盐(NH</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vertAlign w:val="baseline"/>
                <w:lang w:val="en-US" w:eastAsia="zh-CN"/>
              </w:rPr>
              <w:t>-HPAN-2)，外观为自由流动的粉末及颗粒，铵含量（%）≤6.0，是水解聚丙烯腈-铵盐（NH</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vertAlign w:val="baseline"/>
                <w:lang w:val="en-US" w:eastAsia="zh-CN"/>
              </w:rPr>
              <w:t>-HPAN）的进一步改进，克服了铵盐抗盐、抗钙力较差的缺点，是腈纶丝、丙烯酰胺、氨水在高温、高压下聚合的产物，因带有-NH</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vertAlign w:val="baseline"/>
                <w:lang w:val="en-US" w:eastAsia="zh-CN"/>
              </w:rPr>
              <w:t>、-NH</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vertAlign w:val="baseline"/>
                <w:lang w:val="en-US" w:eastAsia="zh-CN"/>
              </w:rPr>
              <w:t>、-CN基团，具有一定的防塌、防水化膨胀和很好的抗盐能力，并且使用不受温度的限制，具有良好的降滤失功能</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JS-1</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钻井液聚合铝降虑失剂</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聚合铝降虑失剂，降虑失剂，稍降粘切，改善泥饼质，防止井壁坍塌</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JS-2</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钻井液聚合铝降虑失剂</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聚合铝降虑失剂，抗盐抗高温失虑剂，稍降粘切，改善泥饼质，防止井壁坍塌，抗温180-220℃</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HX-A</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褐煤、沥青、聚丙烯腈的水解物、助剂等聚合而成</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本品外观为自由流动的粉末，挥发分≤15.0，pH值为7-9，能在120℃地温梯度下很好的发挥封堵和降滤失效果，降低高温高压和常温常压失水明显，不影响地质录井，能很好的改善滤饼质量，解决坍塌和掉块问题。</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SPNH</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褐煤树脂</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褐煤树脂SPNH是天然大分子有机物褐煤的改性产品，具有良好的降滤失效果和抗高温能力，是一种优良的高温高压降滤失剂，能形成薄而韧的优质泥饼，并且具有良好的降粘作用。</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抗高失温剂降滤</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磺化酚醛树脂</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抗高温降滤失剂主要成分为磺化酚醛树脂，具有很强的耐温抗盐能力，产品为棕红色粉末，易溶于水，水溶液呈碱性。主要用作抗温抗盐的钻井液降滤失剂，可以有效地降低钻井液的高温高压滤失量。</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重晶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石粉</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硫酸钡</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纯品为白色粉末，如含有杂质多为灰绿化。相对密度</w:t>
            </w:r>
            <w:r>
              <w:rPr>
                <w:rFonts w:hint="default" w:ascii="Times New Roman" w:hAnsi="Times New Roman" w:cs="Times New Roman"/>
                <w:color w:val="auto"/>
                <w:sz w:val="24"/>
                <w:szCs w:val="24"/>
                <w:highlight w:val="none"/>
                <w:vertAlign w:val="baseline"/>
                <w:lang w:val="en-US" w:eastAsia="zh-CN"/>
              </w:rPr>
              <w:t>4.3~4.6</w:t>
            </w:r>
            <w:r>
              <w:rPr>
                <w:rFonts w:hint="eastAsia" w:ascii="Times New Roman" w:hAnsi="Times New Roman" w:cs="Times New Roman"/>
                <w:color w:val="auto"/>
                <w:sz w:val="24"/>
                <w:szCs w:val="24"/>
                <w:highlight w:val="none"/>
                <w:vertAlign w:val="baseline"/>
                <w:lang w:val="en-US" w:eastAsia="zh-CN"/>
              </w:rPr>
              <w:t>，不溶于水。钻井加重剂，增加钻井泥浆的密度</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轻微毒性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润滑剂</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植物油类</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润滑剂是一种植物油类合成的液体添加剂，能够提供有效的润滑效果，可以直接加入钻井液中而对钻井液粘度和失水没有副作用，通过降低摩擦系数来降低扭矩和拉力，它所具有的润湿特性还能有效地防止井下钻具泥包，加快钻速。</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抗高温封堵剂</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磺化共聚物</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高温封堵防塌剂在各种钻井液中能与水和粘土发生乳化，防止地层坍塌，在钻井液中添加高温封堵防塌剂，使用温度范围可在220℃至260℃之间，具有抗高温能力强、可抗电解质污染、不提粘切、不起泡，流变性能强等特性，可以满足长时间钻井液循环的要求，能有效提高钻井时效，降低钻井成本。</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包被剂</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阳离子聚丙烯酰胺</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高效包被剂是一种分子量适度的阳离子聚丙稀酰胺，提供钻屑包被和页岩稳定作用，对钻井液粘度影响很小，有一定的降失水功能。高效包被剂在页岩和钻屑表面形成一个保护膜，保持钻屑的完整性，防止钻屑粘糊振动筛或钻屑相互粘结。产品为液体包装，易于现场配制。</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聚胺抑制剂</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聚胺</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聚胺抑制剂是一种抑制泥页岩水化的聚胺类液体处理剂，它通过嵌入粘土片，减小粘土颗粒的空间，阻止水分子渗入防止页岩膨胀从而达到抑制效果。推荐浓度为</w:t>
            </w: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3%</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v/v</w:t>
            </w:r>
            <w:r>
              <w:rPr>
                <w:rFonts w:hint="eastAsia" w:ascii="Times New Roman" w:hAnsi="Times New Roman" w:cs="Times New Roman"/>
                <w:color w:val="auto"/>
                <w:sz w:val="24"/>
                <w:szCs w:val="24"/>
                <w:highlight w:val="none"/>
                <w:vertAlign w:val="baseline"/>
                <w:lang w:val="en-US" w:eastAsia="zh-CN"/>
              </w:rPr>
              <w:t>），具体加量取决于页岩的活性。另外聚胺抑制剂为碱性材料，适当的浓度可确保</w:t>
            </w:r>
            <w:r>
              <w:rPr>
                <w:rFonts w:hint="default" w:ascii="Times New Roman" w:hAnsi="Times New Roman" w:cs="Times New Roman"/>
                <w:color w:val="auto"/>
                <w:sz w:val="24"/>
                <w:szCs w:val="24"/>
                <w:highlight w:val="none"/>
                <w:vertAlign w:val="baseline"/>
                <w:lang w:val="en-US" w:eastAsia="zh-CN"/>
              </w:rPr>
              <w:t>pH</w:t>
            </w:r>
            <w:r>
              <w:rPr>
                <w:rFonts w:hint="eastAsia" w:ascii="Times New Roman" w:hAnsi="Times New Roman" w:cs="Times New Roman"/>
                <w:color w:val="auto"/>
                <w:sz w:val="24"/>
                <w:szCs w:val="24"/>
                <w:highlight w:val="none"/>
                <w:vertAlign w:val="baseline"/>
                <w:lang w:val="en-US" w:eastAsia="zh-CN"/>
              </w:rPr>
              <w:t>在</w:t>
            </w:r>
            <w:r>
              <w:rPr>
                <w:rFonts w:hint="default" w:ascii="Times New Roman" w:hAnsi="Times New Roman" w:cs="Times New Roman"/>
                <w:color w:val="auto"/>
                <w:sz w:val="24"/>
                <w:szCs w:val="24"/>
                <w:highlight w:val="none"/>
                <w:vertAlign w:val="baseline"/>
                <w:lang w:val="en-US" w:eastAsia="zh-CN"/>
              </w:rPr>
              <w:t>9.0</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9.5</w:t>
            </w:r>
            <w:r>
              <w:rPr>
                <w:rFonts w:hint="eastAsia" w:ascii="Times New Roman" w:hAnsi="Times New Roman" w:cs="Times New Roman"/>
                <w:color w:val="auto"/>
                <w:sz w:val="24"/>
                <w:szCs w:val="24"/>
                <w:highlight w:val="none"/>
                <w:vertAlign w:val="baseline"/>
                <w:lang w:val="en-US" w:eastAsia="zh-CN"/>
              </w:rPr>
              <w:t>，不需要添加</w:t>
            </w:r>
            <w:r>
              <w:rPr>
                <w:rFonts w:hint="default" w:ascii="Times New Roman" w:hAnsi="Times New Roman" w:cs="Times New Roman"/>
                <w:color w:val="auto"/>
                <w:sz w:val="24"/>
                <w:szCs w:val="24"/>
                <w:highlight w:val="none"/>
                <w:vertAlign w:val="baseline"/>
                <w:lang w:val="en-US" w:eastAsia="zh-CN"/>
              </w:rPr>
              <w:t>NaOH</w:t>
            </w:r>
            <w:r>
              <w:rPr>
                <w:rFonts w:hint="eastAsia" w:ascii="Times New Roman" w:hAnsi="Times New Roman" w:cs="Times New Roman"/>
                <w:color w:val="auto"/>
                <w:sz w:val="24"/>
                <w:szCs w:val="24"/>
                <w:highlight w:val="none"/>
                <w:vertAlign w:val="baseline"/>
                <w:lang w:val="en-US" w:eastAsia="zh-CN"/>
              </w:rPr>
              <w:t>或</w:t>
            </w:r>
            <w:r>
              <w:rPr>
                <w:rFonts w:hint="default" w:ascii="Times New Roman" w:hAnsi="Times New Roman" w:cs="Times New Roman"/>
                <w:color w:val="auto"/>
                <w:sz w:val="24"/>
                <w:szCs w:val="24"/>
                <w:highlight w:val="none"/>
                <w:vertAlign w:val="baseline"/>
                <w:lang w:val="en-US" w:eastAsia="zh-CN"/>
              </w:rPr>
              <w:t>KOH</w:t>
            </w:r>
            <w:r>
              <w:rPr>
                <w:rFonts w:hint="eastAsia" w:ascii="Times New Roman" w:hAnsi="Times New Roman" w:cs="Times New Roman"/>
                <w:color w:val="auto"/>
                <w:sz w:val="24"/>
                <w:szCs w:val="24"/>
                <w:highlight w:val="none"/>
                <w:vertAlign w:val="baseline"/>
                <w:lang w:val="en-US" w:eastAsia="zh-CN"/>
              </w:rPr>
              <w:t>。</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环保油</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复合环保油</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以矿物油或合成油为原料，加入多种添加剂调制而成的工业用复合环保油，主要用于油田钻井，完井用材料。</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18</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降粘剂</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改性木质素类、改性单宁类、改性腐植酸类及不同天然材料交联反应物</w:t>
            </w:r>
            <w:r>
              <w:rPr>
                <w:rFonts w:hint="eastAsia" w:ascii="Times New Roman" w:hAnsi="Times New Roman" w:cs="Times New Roman"/>
                <w:color w:val="auto"/>
                <w:sz w:val="24"/>
                <w:szCs w:val="24"/>
                <w:highlight w:val="none"/>
                <w:vertAlign w:val="baseline"/>
                <w:lang w:val="en-US" w:eastAsia="zh-CN"/>
              </w:rPr>
              <w:t>、含羧基聚合物、含磺酸基聚合物、有机磷类</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在钻进某些特殊地层如膏盐层、或其它可溶性性有机盐岩层、或含膨胀粘土的地层、或深的高温井时，钻井液常发生胶化或变稠，以致于钻井液粘度过高。降粘剂的降粘机理是集中在保护粘土颗粒边缘，增强负电效应，使黏土颗粒和钻井之间无法形成网架结构。对已形成的网架结构，也随着因吸附降粘剂而在运动中被解体拆散。</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稳定剂</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改性沥青树脂</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该稳定剂是在原沥青材料的基础上，通过中和反应后再聚合封堵材料，属于改性聚合物和沥青树脂链接产品。通过接枝三交链树脂，除提高其封堵能力外，还增强了材料的刚性和对地层的吸附能力。由于本产品分子链特有的刚性，极大地增强了钻井液高温条件下的防塌性，提高了井壁稳定性，是集防塌、封堵、降滤失于一体的高效材料。本产品对破碎性高陡构造易剥落掉块地层有特强的抑制和封堵作用，可减少常规材料的品种与比例，可降低钻井总成本，产品的抗温能力可达到</w:t>
            </w:r>
            <w:r>
              <w:rPr>
                <w:rFonts w:hint="default" w:ascii="Times New Roman" w:hAnsi="Times New Roman" w:cs="Times New Roman"/>
                <w:color w:val="auto"/>
                <w:sz w:val="24"/>
                <w:szCs w:val="24"/>
                <w:highlight w:val="none"/>
                <w:vertAlign w:val="baseline"/>
                <w:lang w:val="en-US" w:eastAsia="zh-CN"/>
              </w:rPr>
              <w:t>180</w:t>
            </w:r>
            <w:r>
              <w:rPr>
                <w:rFonts w:hint="eastAsia" w:ascii="Times New Roman" w:hAnsi="Times New Roman" w:cs="Times New Roman"/>
                <w:color w:val="auto"/>
                <w:sz w:val="24"/>
                <w:szCs w:val="24"/>
                <w:highlight w:val="none"/>
                <w:vertAlign w:val="baseline"/>
                <w:lang w:val="en-US" w:eastAsia="zh-CN"/>
              </w:rPr>
              <w:t>℃。</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增粘剂</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聚丙烯酰胺</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增粘剂除了</w:t>
            </w:r>
            <w:r>
              <w:rPr>
                <w:rFonts w:hint="eastAsia" w:ascii="Times New Roman" w:hAnsi="Times New Roman" w:cs="Times New Roman"/>
                <w:color w:val="auto"/>
                <w:sz w:val="24"/>
                <w:szCs w:val="24"/>
                <w:highlight w:val="none"/>
                <w:vertAlign w:val="baseline"/>
                <w:lang w:val="en-US" w:eastAsia="zh-CN"/>
              </w:rPr>
              <w:t>具有</w:t>
            </w:r>
            <w:r>
              <w:rPr>
                <w:rFonts w:hint="default" w:ascii="Times New Roman" w:hAnsi="Times New Roman" w:cs="Times New Roman"/>
                <w:color w:val="auto"/>
                <w:sz w:val="24"/>
                <w:szCs w:val="24"/>
                <w:highlight w:val="none"/>
                <w:vertAlign w:val="baseline"/>
                <w:lang w:val="en-US" w:eastAsia="zh-CN"/>
              </w:rPr>
              <w:t>增粘作用外，往往还具有抑制页岩水化和降滤失的作用</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因此，使用增粘剂不仅可以改善钻井液的流变性，而且有利于稳定井壁。</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钻井液用增粘剂聚丙烯酰胺能以任何比例溶解于水中，它的水溶液是清澈透明的高粘度液体。聚丙烯酰胺水溶液</w:t>
            </w:r>
            <w:r>
              <w:rPr>
                <w:rFonts w:hint="eastAsia" w:ascii="Times New Roman" w:hAnsi="Times New Roman" w:cs="Times New Roman"/>
                <w:color w:val="auto"/>
                <w:sz w:val="24"/>
                <w:szCs w:val="24"/>
                <w:highlight w:val="none"/>
                <w:vertAlign w:val="baseline"/>
                <w:lang w:val="en-US" w:eastAsia="zh-CN"/>
              </w:rPr>
              <w:t>稳定性强。</w:t>
            </w:r>
            <w:r>
              <w:rPr>
                <w:rFonts w:hint="default" w:ascii="Times New Roman" w:hAnsi="Times New Roman" w:cs="Times New Roman"/>
                <w:color w:val="auto"/>
                <w:sz w:val="24"/>
                <w:szCs w:val="24"/>
                <w:highlight w:val="none"/>
                <w:vertAlign w:val="baseline"/>
                <w:lang w:val="en-US" w:eastAsia="zh-CN"/>
              </w:rPr>
              <w:t>聚丙烯酰胺作为增粘增稠剂、降失水剂、絮凝剂、分散剂、降阻剂等广泛的应用于石油工业当中，在提高原油采收率领域做出了巨大的贡献。</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21</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堵漏剂</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以纤维材料、助滤剂为主的复合型堵漏材料</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对于层理裂隙发育的地层，为防止地层井塌漏失，减少对油气层的损害，要求钻井液具有强的封堵性，有效封堵地层层理裂隙，阻止钻井液及其滤液进入地层，达到提高地层承压能力，稳定井壁，防止井漏，达到保护油气层的目的。</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消泡剂</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消泡剂</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消泡剂是一种表面活性剂类产品，无色黏稠状透明液体，主要用作水基钻井液的消泡剂，用来消除各种泡沫。</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23</w:t>
            </w:r>
          </w:p>
        </w:tc>
        <w:tc>
          <w:tcPr>
            <w:tcW w:w="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超细碳酸钙</w:t>
            </w:r>
          </w:p>
        </w:tc>
        <w:tc>
          <w:tcPr>
            <w:tcW w:w="14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碳酸钙</w:t>
            </w:r>
          </w:p>
        </w:tc>
        <w:tc>
          <w:tcPr>
            <w:tcW w:w="42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超细碳酸钙为白色粉末，不溶于水，密度</w:t>
            </w:r>
            <w:r>
              <w:rPr>
                <w:rFonts w:hint="default" w:ascii="Times New Roman" w:hAnsi="Times New Roman" w:cs="Times New Roman"/>
                <w:color w:val="auto"/>
                <w:sz w:val="24"/>
                <w:szCs w:val="24"/>
                <w:highlight w:val="none"/>
                <w:vertAlign w:val="baseline"/>
                <w:lang w:val="en-US" w:eastAsia="zh-CN"/>
              </w:rPr>
              <w:t>2.7-2.9g/cm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，本品主要研磨成不同粒径用于架桥和堵塞，用作屏蔽暂堵剂，因碳酸钙可溶于算，可以酸化解堵，用于防止油气层损害。</w:t>
            </w:r>
          </w:p>
        </w:tc>
        <w:tc>
          <w:tcPr>
            <w:tcW w:w="12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）钻进</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进主要是利用钻机的钻头高效率地破碎岩石，钻进过程中通过循环的钻井液将岩屑带出，施工过程中需时刻注意钻井液的各项指标，以满足钻井需求。钻进过程中会出现气显示，施工时需根据实钻情况调节钻井液密度、粘度等参数，既要做到保护气层，又要保证钻井施工顺利进行。</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（2）录井</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）地质录井要求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钻井参数悬重、钻压、转数、排量、泵压等钻开油气层前1h测量一次，钻开油气层后0.5h测量一次，如有异常情况加密测量。</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）钻井液参数录取</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按照中国石油天然气集团有限公司《钻井液技术规范》（工程【</w:t>
      </w:r>
      <w:r>
        <w:rPr>
          <w:rFonts w:hint="default" w:ascii="Times New Roman" w:hAnsi="Times New Roman" w:eastAsia="宋体" w:cs="Times New Roman"/>
          <w:color w:val="auto"/>
          <w:kern w:val="0"/>
          <w:sz w:val="28"/>
          <w:szCs w:val="28"/>
          <w:highlight w:val="none"/>
          <w:lang w:val="en-US" w:eastAsia="zh-CN" w:bidi="ar"/>
        </w:rPr>
        <w:t>2019</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21</w:t>
      </w:r>
      <w:r>
        <w:rPr>
          <w:rFonts w:hint="eastAsia" w:ascii="Times New Roman" w:hAnsi="Times New Roman" w:eastAsia="宋体" w:cs="Times New Roman"/>
          <w:color w:val="auto"/>
          <w:kern w:val="0"/>
          <w:sz w:val="28"/>
          <w:szCs w:val="28"/>
          <w:highlight w:val="none"/>
          <w:lang w:val="en-US" w:eastAsia="zh-CN" w:bidi="ar"/>
        </w:rPr>
        <w:t>号文件）执行。</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（3）测井</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测井项目按庆油开发［2015年］6号文件中有关深层气井测井系列规定和《石油测井作业安全规范》（SY/T5726-2018）执行。</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（4）固井</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向井内下入套管，并向井眼和套管之间的环形空间注入水泥。各层套管固井主要工艺要求水泥返至地面。固井质量要求见表</w:t>
      </w:r>
      <w:r>
        <w:rPr>
          <w:rFonts w:hint="default" w:ascii="Times New Roman" w:hAnsi="Times New Roman" w:eastAsia="宋体" w:cs="Times New Roman"/>
          <w:color w:val="auto"/>
          <w:kern w:val="0"/>
          <w:sz w:val="28"/>
          <w:szCs w:val="28"/>
          <w:highlight w:val="none"/>
          <w:lang w:val="en-US" w:eastAsia="zh-CN" w:bidi="ar"/>
        </w:rPr>
        <w:t>3.1-</w:t>
      </w:r>
      <w:r>
        <w:rPr>
          <w:rFonts w:hint="eastAsia" w:ascii="Times New Roman" w:hAnsi="Times New Roman" w:eastAsia="宋体" w:cs="Times New Roman"/>
          <w:color w:val="auto"/>
          <w:kern w:val="0"/>
          <w:sz w:val="28"/>
          <w:szCs w:val="28"/>
          <w:highlight w:val="none"/>
          <w:lang w:val="en-US" w:eastAsia="zh-CN" w:bidi="ar"/>
        </w:rPr>
        <w:t>12。</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12固井质量要求</w:t>
      </w:r>
    </w:p>
    <w:tbl>
      <w:tblPr>
        <w:tblStyle w:val="19"/>
        <w:tblW w:w="99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5"/>
        <w:gridCol w:w="453"/>
        <w:gridCol w:w="672"/>
        <w:gridCol w:w="825"/>
        <w:gridCol w:w="1110"/>
        <w:gridCol w:w="765"/>
        <w:gridCol w:w="930"/>
        <w:gridCol w:w="999"/>
        <w:gridCol w:w="1276"/>
        <w:gridCol w:w="859"/>
        <w:gridCol w:w="681"/>
        <w:gridCol w:w="7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55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井号</w:t>
            </w:r>
          </w:p>
        </w:tc>
        <w:tc>
          <w:tcPr>
            <w:tcW w:w="112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套管</w:t>
            </w:r>
          </w:p>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程序</w:t>
            </w:r>
          </w:p>
        </w:tc>
        <w:tc>
          <w:tcPr>
            <w:tcW w:w="82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套管尺寸m</w:t>
            </w:r>
          </w:p>
        </w:tc>
        <w:tc>
          <w:tcPr>
            <w:tcW w:w="11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钻头尺寸mm</w:t>
            </w:r>
          </w:p>
        </w:tc>
        <w:tc>
          <w:tcPr>
            <w:tcW w:w="76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井径扩大率%</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环空容积m</w:t>
            </w:r>
            <w:r>
              <w:rPr>
                <w:rFonts w:hint="default" w:ascii="Times New Roman" w:hAnsi="Times New Roman" w:eastAsia="宋体" w:cs="Times New Roman"/>
                <w:color w:val="auto"/>
                <w:kern w:val="0"/>
                <w:sz w:val="24"/>
                <w:szCs w:val="24"/>
                <w:highlight w:val="none"/>
                <w:vertAlign w:val="superscript"/>
                <w:lang w:val="en-US" w:eastAsia="zh-CN" w:bidi="ar"/>
              </w:rPr>
              <w:t>3</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水泥浆返深m</w:t>
            </w:r>
          </w:p>
        </w:tc>
        <w:tc>
          <w:tcPr>
            <w:tcW w:w="1276"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水泥塞面深度m</w:t>
            </w: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水泥级别</w:t>
            </w:r>
          </w:p>
        </w:tc>
        <w:tc>
          <w:tcPr>
            <w:tcW w:w="6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附加%</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水泥用量t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肇深19-斜1</w:t>
            </w:r>
          </w:p>
        </w:tc>
        <w:tc>
          <w:tcPr>
            <w:tcW w:w="112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表层</w:t>
            </w:r>
          </w:p>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套管</w:t>
            </w:r>
          </w:p>
        </w:tc>
        <w:tc>
          <w:tcPr>
            <w:tcW w:w="82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339.7</w:t>
            </w:r>
          </w:p>
        </w:tc>
        <w:tc>
          <w:tcPr>
            <w:tcW w:w="11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444.5</w:t>
            </w:r>
          </w:p>
        </w:tc>
        <w:tc>
          <w:tcPr>
            <w:tcW w:w="76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30</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28.38</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w:t>
            </w:r>
          </w:p>
        </w:tc>
        <w:tc>
          <w:tcPr>
            <w:tcW w:w="1276"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164</w:t>
            </w: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A</w:t>
            </w:r>
          </w:p>
        </w:tc>
        <w:tc>
          <w:tcPr>
            <w:tcW w:w="6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30</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25" w:type="dxa"/>
            <w:gridSpan w:val="2"/>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技术</w:t>
            </w:r>
          </w:p>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套管</w:t>
            </w:r>
          </w:p>
        </w:tc>
        <w:tc>
          <w:tcPr>
            <w:tcW w:w="82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244.5</w:t>
            </w:r>
          </w:p>
        </w:tc>
        <w:tc>
          <w:tcPr>
            <w:tcW w:w="1110"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311.2</w:t>
            </w:r>
          </w:p>
        </w:tc>
        <w:tc>
          <w:tcPr>
            <w:tcW w:w="76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15</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108.49</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w:t>
            </w:r>
          </w:p>
        </w:tc>
        <w:tc>
          <w:tcPr>
            <w:tcW w:w="1276"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2487</w:t>
            </w: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高强低密度</w:t>
            </w:r>
          </w:p>
        </w:tc>
        <w:tc>
          <w:tcPr>
            <w:tcW w:w="681"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15</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25" w:type="dxa"/>
            <w:gridSpan w:val="2"/>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82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1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76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27.00</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2009</w:t>
            </w:r>
          </w:p>
        </w:tc>
        <w:tc>
          <w:tcPr>
            <w:tcW w:w="1276"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G</w:t>
            </w:r>
          </w:p>
        </w:tc>
        <w:tc>
          <w:tcPr>
            <w:tcW w:w="68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453"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生产套管</w:t>
            </w:r>
          </w:p>
        </w:tc>
        <w:tc>
          <w:tcPr>
            <w:tcW w:w="672"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回接</w:t>
            </w:r>
          </w:p>
        </w:tc>
        <w:tc>
          <w:tcPr>
            <w:tcW w:w="82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139.7</w:t>
            </w:r>
          </w:p>
        </w:tc>
        <w:tc>
          <w:tcPr>
            <w:tcW w:w="1110"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220.5</w:t>
            </w:r>
          </w:p>
        </w:tc>
        <w:tc>
          <w:tcPr>
            <w:tcW w:w="765" w:type="dxa"/>
            <w:vMerge w:val="restart"/>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55.42</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w:t>
            </w:r>
          </w:p>
        </w:tc>
        <w:tc>
          <w:tcPr>
            <w:tcW w:w="1276"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3736</w:t>
            </w: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G</w:t>
            </w:r>
          </w:p>
        </w:tc>
        <w:tc>
          <w:tcPr>
            <w:tcW w:w="6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10</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453"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672"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p>
        </w:tc>
        <w:tc>
          <w:tcPr>
            <w:tcW w:w="825"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p>
        </w:tc>
        <w:tc>
          <w:tcPr>
            <w:tcW w:w="1110"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p>
        </w:tc>
        <w:tc>
          <w:tcPr>
            <w:tcW w:w="765"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p>
        </w:tc>
        <w:tc>
          <w:tcPr>
            <w:tcW w:w="93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11.75</w:t>
            </w:r>
          </w:p>
        </w:tc>
        <w:tc>
          <w:tcPr>
            <w:tcW w:w="999"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2358</w:t>
            </w:r>
          </w:p>
        </w:tc>
        <w:tc>
          <w:tcPr>
            <w:tcW w:w="1276"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859"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p>
        </w:tc>
        <w:tc>
          <w:tcPr>
            <w:tcW w:w="681"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10</w:t>
            </w:r>
          </w:p>
        </w:tc>
        <w:tc>
          <w:tcPr>
            <w:tcW w:w="779"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453"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67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尾管</w:t>
            </w:r>
          </w:p>
        </w:tc>
        <w:tc>
          <w:tcPr>
            <w:tcW w:w="82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139.7</w:t>
            </w:r>
          </w:p>
        </w:tc>
        <w:tc>
          <w:tcPr>
            <w:tcW w:w="11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215.9</w:t>
            </w:r>
          </w:p>
        </w:tc>
        <w:tc>
          <w:tcPr>
            <w:tcW w:w="76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10</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40.69</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2358</w:t>
            </w:r>
          </w:p>
        </w:tc>
        <w:tc>
          <w:tcPr>
            <w:tcW w:w="1276"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G</w:t>
            </w:r>
          </w:p>
        </w:tc>
        <w:tc>
          <w:tcPr>
            <w:tcW w:w="6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15</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肇深19-平2</w:t>
            </w:r>
          </w:p>
        </w:tc>
        <w:tc>
          <w:tcPr>
            <w:tcW w:w="1125"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表层</w:t>
            </w:r>
          </w:p>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套管</w:t>
            </w:r>
          </w:p>
        </w:tc>
        <w:tc>
          <w:tcPr>
            <w:tcW w:w="82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339.7</w:t>
            </w:r>
          </w:p>
        </w:tc>
        <w:tc>
          <w:tcPr>
            <w:tcW w:w="11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444.5</w:t>
            </w:r>
          </w:p>
        </w:tc>
        <w:tc>
          <w:tcPr>
            <w:tcW w:w="76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30</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27.00</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w:t>
            </w:r>
          </w:p>
        </w:tc>
        <w:tc>
          <w:tcPr>
            <w:tcW w:w="1276"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156</w:t>
            </w: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A</w:t>
            </w:r>
          </w:p>
        </w:tc>
        <w:tc>
          <w:tcPr>
            <w:tcW w:w="6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40</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25" w:type="dxa"/>
            <w:gridSpan w:val="2"/>
            <w:vMerge w:val="restart"/>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技术</w:t>
            </w:r>
          </w:p>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套管</w:t>
            </w:r>
          </w:p>
        </w:tc>
        <w:tc>
          <w:tcPr>
            <w:tcW w:w="82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244.5</w:t>
            </w:r>
          </w:p>
        </w:tc>
        <w:tc>
          <w:tcPr>
            <w:tcW w:w="1110"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311.2</w:t>
            </w:r>
          </w:p>
        </w:tc>
        <w:tc>
          <w:tcPr>
            <w:tcW w:w="76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15</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120.42</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w:t>
            </w:r>
          </w:p>
        </w:tc>
        <w:tc>
          <w:tcPr>
            <w:tcW w:w="1276"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2708</w:t>
            </w: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高强低密度</w:t>
            </w:r>
          </w:p>
        </w:tc>
        <w:tc>
          <w:tcPr>
            <w:tcW w:w="681"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15</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25" w:type="dxa"/>
            <w:gridSpan w:val="2"/>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82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1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76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27.00</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2230</w:t>
            </w:r>
          </w:p>
        </w:tc>
        <w:tc>
          <w:tcPr>
            <w:tcW w:w="1276"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G</w:t>
            </w:r>
          </w:p>
        </w:tc>
        <w:tc>
          <w:tcPr>
            <w:tcW w:w="68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2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生产套管（回接）</w:t>
            </w:r>
          </w:p>
        </w:tc>
        <w:tc>
          <w:tcPr>
            <w:tcW w:w="82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139.7</w:t>
            </w:r>
          </w:p>
        </w:tc>
        <w:tc>
          <w:tcPr>
            <w:tcW w:w="11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222.4</w:t>
            </w:r>
          </w:p>
        </w:tc>
        <w:tc>
          <w:tcPr>
            <w:tcW w:w="76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64.48</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w:t>
            </w:r>
          </w:p>
        </w:tc>
        <w:tc>
          <w:tcPr>
            <w:tcW w:w="1276"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2559</w:t>
            </w: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G</w:t>
            </w:r>
          </w:p>
        </w:tc>
        <w:tc>
          <w:tcPr>
            <w:tcW w:w="6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10</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肇深19-平3</w:t>
            </w:r>
          </w:p>
        </w:tc>
        <w:tc>
          <w:tcPr>
            <w:tcW w:w="1125"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表层</w:t>
            </w:r>
          </w:p>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套管</w:t>
            </w:r>
          </w:p>
        </w:tc>
        <w:tc>
          <w:tcPr>
            <w:tcW w:w="82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339.7</w:t>
            </w:r>
          </w:p>
        </w:tc>
        <w:tc>
          <w:tcPr>
            <w:tcW w:w="11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444.5</w:t>
            </w:r>
          </w:p>
        </w:tc>
        <w:tc>
          <w:tcPr>
            <w:tcW w:w="76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30</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27.00</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w:t>
            </w:r>
          </w:p>
        </w:tc>
        <w:tc>
          <w:tcPr>
            <w:tcW w:w="1276"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156</w:t>
            </w: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A</w:t>
            </w:r>
          </w:p>
        </w:tc>
        <w:tc>
          <w:tcPr>
            <w:tcW w:w="6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40</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25" w:type="dxa"/>
            <w:gridSpan w:val="2"/>
            <w:vMerge w:val="restart"/>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技术</w:t>
            </w:r>
          </w:p>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套管</w:t>
            </w:r>
          </w:p>
        </w:tc>
        <w:tc>
          <w:tcPr>
            <w:tcW w:w="82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244.5</w:t>
            </w:r>
          </w:p>
        </w:tc>
        <w:tc>
          <w:tcPr>
            <w:tcW w:w="1110"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311.2</w:t>
            </w:r>
          </w:p>
        </w:tc>
        <w:tc>
          <w:tcPr>
            <w:tcW w:w="76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15</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121.34</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w:t>
            </w:r>
          </w:p>
        </w:tc>
        <w:tc>
          <w:tcPr>
            <w:tcW w:w="1276"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2728</w:t>
            </w: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高强低密度</w:t>
            </w:r>
          </w:p>
        </w:tc>
        <w:tc>
          <w:tcPr>
            <w:tcW w:w="681"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15</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25" w:type="dxa"/>
            <w:gridSpan w:val="2"/>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82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1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76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27.00</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2250</w:t>
            </w:r>
          </w:p>
        </w:tc>
        <w:tc>
          <w:tcPr>
            <w:tcW w:w="1276"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G</w:t>
            </w:r>
          </w:p>
        </w:tc>
        <w:tc>
          <w:tcPr>
            <w:tcW w:w="68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5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p>
        </w:tc>
        <w:tc>
          <w:tcPr>
            <w:tcW w:w="1125" w:type="dxa"/>
            <w:gridSpan w:val="2"/>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生产套管（回接）</w:t>
            </w:r>
          </w:p>
        </w:tc>
        <w:tc>
          <w:tcPr>
            <w:tcW w:w="82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139.7</w:t>
            </w:r>
          </w:p>
        </w:tc>
        <w:tc>
          <w:tcPr>
            <w:tcW w:w="11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222.4</w:t>
            </w:r>
          </w:p>
        </w:tc>
        <w:tc>
          <w:tcPr>
            <w:tcW w:w="76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w:t>
            </w:r>
          </w:p>
        </w:tc>
        <w:tc>
          <w:tcPr>
            <w:tcW w:w="93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64.98</w:t>
            </w:r>
          </w:p>
        </w:tc>
        <w:tc>
          <w:tcPr>
            <w:tcW w:w="99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地面</w:t>
            </w:r>
          </w:p>
        </w:tc>
        <w:tc>
          <w:tcPr>
            <w:tcW w:w="1276"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2579</w:t>
            </w:r>
          </w:p>
        </w:tc>
        <w:tc>
          <w:tcPr>
            <w:tcW w:w="85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G</w:t>
            </w:r>
          </w:p>
        </w:tc>
        <w:tc>
          <w:tcPr>
            <w:tcW w:w="68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10</w:t>
            </w:r>
          </w:p>
        </w:tc>
        <w:tc>
          <w:tcPr>
            <w:tcW w:w="77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94</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（5）完井</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完井是钻井工程的井口偏斜度小于</w:t>
      </w:r>
      <w:r>
        <w:rPr>
          <w:rFonts w:hint="default" w:ascii="Times New Roman" w:hAnsi="Times New Roman" w:eastAsia="宋体" w:cs="Times New Roman"/>
          <w:color w:val="auto"/>
          <w:kern w:val="0"/>
          <w:sz w:val="28"/>
          <w:szCs w:val="28"/>
          <w:highlight w:val="none"/>
          <w:lang w:val="en-US" w:eastAsia="zh-CN" w:bidi="ar"/>
        </w:rPr>
        <w:t>0.2</w:t>
      </w:r>
      <w:r>
        <w:rPr>
          <w:rFonts w:hint="eastAsia" w:ascii="Times New Roman" w:hAnsi="Times New Roman" w:eastAsia="宋体" w:cs="Times New Roman"/>
          <w:color w:val="auto"/>
          <w:kern w:val="0"/>
          <w:sz w:val="28"/>
          <w:szCs w:val="28"/>
          <w:highlight w:val="none"/>
          <w:lang w:val="en-US" w:eastAsia="zh-CN" w:bidi="ar"/>
        </w:rPr>
        <w:t>°。施工时，根据套管头型号的具体尺寸来确定Φ</w:t>
      </w:r>
      <w:r>
        <w:rPr>
          <w:rFonts w:hint="default" w:ascii="Times New Roman" w:hAnsi="Times New Roman" w:eastAsia="宋体" w:cs="Times New Roman"/>
          <w:color w:val="auto"/>
          <w:kern w:val="0"/>
          <w:sz w:val="28"/>
          <w:szCs w:val="28"/>
          <w:highlight w:val="none"/>
          <w:lang w:val="en-US" w:eastAsia="zh-CN" w:bidi="ar"/>
        </w:rPr>
        <w:t>339.7mm</w:t>
      </w:r>
      <w:r>
        <w:rPr>
          <w:rFonts w:hint="eastAsia" w:ascii="Times New Roman" w:hAnsi="Times New Roman" w:eastAsia="宋体" w:cs="Times New Roman"/>
          <w:color w:val="auto"/>
          <w:kern w:val="0"/>
          <w:sz w:val="28"/>
          <w:szCs w:val="28"/>
          <w:highlight w:val="none"/>
          <w:lang w:val="en-US" w:eastAsia="zh-CN" w:bidi="ar"/>
        </w:rPr>
        <w:t>套管头上端面离基础的距离。钻井队搬家前，卸下防喷器，安装采气树，关闭井口闸阀；钻机搬迁后将井口水泥房安装好，把圆井完全覆盖，保护好井口和采气树，并标示井号，完井时井口使用Φ339.7mm×Φ244.5mm-35MPa和Φ244.5mm×Φ139.7mm-70MPa FF级卡瓦悬挂金属密封套管头。</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如果本井中途或完井后弃井，则按如下方法处理：</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）井口处理：井下打完水泥塞，起出钻具后，在条件允许的情况下将地下</w:t>
      </w:r>
      <w:r>
        <w:rPr>
          <w:rFonts w:hint="default" w:ascii="Times New Roman" w:hAnsi="Times New Roman" w:eastAsia="宋体" w:cs="Times New Roman"/>
          <w:color w:val="auto"/>
          <w:kern w:val="0"/>
          <w:sz w:val="28"/>
          <w:szCs w:val="28"/>
          <w:highlight w:val="none"/>
          <w:lang w:val="en-US" w:eastAsia="zh-CN" w:bidi="ar"/>
        </w:rPr>
        <w:t>2m</w:t>
      </w:r>
      <w:r>
        <w:rPr>
          <w:rFonts w:hint="eastAsia" w:ascii="Times New Roman" w:hAnsi="Times New Roman" w:eastAsia="宋体" w:cs="Times New Roman"/>
          <w:color w:val="auto"/>
          <w:kern w:val="0"/>
          <w:sz w:val="28"/>
          <w:szCs w:val="28"/>
          <w:highlight w:val="none"/>
          <w:lang w:val="en-US" w:eastAsia="zh-CN" w:bidi="ar"/>
        </w:rPr>
        <w:t>以上的套管头割掉，套管头焊</w:t>
      </w:r>
      <w:r>
        <w:rPr>
          <w:rFonts w:hint="default" w:ascii="Times New Roman" w:hAnsi="Times New Roman" w:eastAsia="宋体" w:cs="Times New Roman"/>
          <w:color w:val="auto"/>
          <w:kern w:val="0"/>
          <w:sz w:val="28"/>
          <w:szCs w:val="28"/>
          <w:highlight w:val="none"/>
          <w:lang w:val="en-US" w:eastAsia="zh-CN" w:bidi="ar"/>
        </w:rPr>
        <w:t>20mm</w:t>
      </w:r>
      <w:r>
        <w:rPr>
          <w:rFonts w:hint="eastAsia" w:ascii="Times New Roman" w:hAnsi="Times New Roman" w:eastAsia="宋体" w:cs="Times New Roman"/>
          <w:color w:val="auto"/>
          <w:kern w:val="0"/>
          <w:sz w:val="28"/>
          <w:szCs w:val="28"/>
          <w:highlight w:val="none"/>
          <w:lang w:val="en-US" w:eastAsia="zh-CN" w:bidi="ar"/>
        </w:rPr>
        <w:t>厚的</w:t>
      </w:r>
      <w:r>
        <w:rPr>
          <w:rFonts w:hint="default" w:ascii="Times New Roman" w:hAnsi="Times New Roman" w:eastAsia="宋体" w:cs="Times New Roman"/>
          <w:color w:val="auto"/>
          <w:kern w:val="0"/>
          <w:sz w:val="28"/>
          <w:szCs w:val="28"/>
          <w:highlight w:val="none"/>
          <w:lang w:val="en-US" w:eastAsia="zh-CN" w:bidi="ar"/>
        </w:rPr>
        <w:t>Q235</w:t>
      </w:r>
      <w:r>
        <w:rPr>
          <w:rFonts w:hint="eastAsia" w:ascii="Times New Roman" w:hAnsi="Times New Roman" w:eastAsia="宋体" w:cs="Times New Roman"/>
          <w:color w:val="auto"/>
          <w:kern w:val="0"/>
          <w:sz w:val="28"/>
          <w:szCs w:val="28"/>
          <w:highlight w:val="none"/>
          <w:lang w:val="en-US" w:eastAsia="zh-CN" w:bidi="ar"/>
        </w:rPr>
        <w:t>钢材盲板。同时做好地下隐蔽工程资料档案</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）井下处理：钻具下至裸眼段最上部气层顶部打水泥塞</w:t>
      </w:r>
      <w:r>
        <w:rPr>
          <w:rFonts w:hint="default" w:ascii="Times New Roman" w:hAnsi="Times New Roman" w:eastAsia="宋体" w:cs="Times New Roman"/>
          <w:color w:val="auto"/>
          <w:kern w:val="0"/>
          <w:sz w:val="28"/>
          <w:szCs w:val="28"/>
          <w:highlight w:val="none"/>
          <w:lang w:val="en-US" w:eastAsia="zh-CN" w:bidi="ar"/>
        </w:rPr>
        <w:t>200m</w:t>
      </w:r>
      <w:r>
        <w:rPr>
          <w:rFonts w:hint="eastAsia" w:ascii="Times New Roman" w:hAnsi="Times New Roman" w:eastAsia="宋体" w:cs="Times New Roman"/>
          <w:color w:val="auto"/>
          <w:kern w:val="0"/>
          <w:sz w:val="28"/>
          <w:szCs w:val="28"/>
          <w:highlight w:val="none"/>
          <w:lang w:val="en-US" w:eastAsia="zh-CN" w:bidi="ar"/>
        </w:rPr>
        <w:t>。如裸眼段没有气层则在技术套管管鞋以下</w:t>
      </w:r>
      <w:r>
        <w:rPr>
          <w:rFonts w:hint="default" w:ascii="Times New Roman" w:hAnsi="Times New Roman" w:eastAsia="宋体" w:cs="Times New Roman"/>
          <w:color w:val="auto"/>
          <w:kern w:val="0"/>
          <w:sz w:val="28"/>
          <w:szCs w:val="28"/>
          <w:highlight w:val="none"/>
          <w:lang w:val="en-US" w:eastAsia="zh-CN" w:bidi="ar"/>
        </w:rPr>
        <w:t>100m</w:t>
      </w:r>
      <w:r>
        <w:rPr>
          <w:rFonts w:hint="eastAsia" w:ascii="Times New Roman" w:hAnsi="Times New Roman" w:eastAsia="宋体" w:cs="Times New Roman"/>
          <w:color w:val="auto"/>
          <w:kern w:val="0"/>
          <w:sz w:val="28"/>
          <w:szCs w:val="28"/>
          <w:highlight w:val="none"/>
          <w:lang w:val="en-US" w:eastAsia="zh-CN" w:bidi="ar"/>
        </w:rPr>
        <w:t>往上打水泥塞</w:t>
      </w:r>
      <w:r>
        <w:rPr>
          <w:rFonts w:hint="default" w:ascii="Times New Roman" w:hAnsi="Times New Roman" w:eastAsia="宋体" w:cs="Times New Roman"/>
          <w:color w:val="auto"/>
          <w:kern w:val="0"/>
          <w:sz w:val="28"/>
          <w:szCs w:val="28"/>
          <w:highlight w:val="none"/>
          <w:lang w:val="en-US" w:eastAsia="zh-CN" w:bidi="ar"/>
        </w:rPr>
        <w:t>200m</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）如井喷失控，根据现场实际情况，采取相应的应急措施。</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drawing>
          <wp:inline distT="0" distB="0" distL="114300" distR="114300">
            <wp:extent cx="5266055" cy="2967990"/>
            <wp:effectExtent l="0" t="0" r="10795" b="3810"/>
            <wp:docPr id="12" name="图片 22" descr="完井井口装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完井井口装置示意图"/>
                    <pic:cNvPicPr>
                      <a:picLocks noChangeAspect="1"/>
                    </pic:cNvPicPr>
                  </pic:nvPicPr>
                  <pic:blipFill>
                    <a:blip r:embed="rId13"/>
                    <a:stretch>
                      <a:fillRect/>
                    </a:stretch>
                  </pic:blipFill>
                  <pic:spPr>
                    <a:xfrm>
                      <a:off x="0" y="0"/>
                      <a:ext cx="5266055" cy="2967990"/>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图3.1-3完井井口装置示意图</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（6）压裂试气作业</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本项目钻井工程施工完井后，钻井期间设备全部搬迁，安装压裂试气设备后开展压裂试气作业，主要设备见表</w:t>
      </w:r>
      <w:r>
        <w:rPr>
          <w:rFonts w:hint="default" w:ascii="Times New Roman" w:hAnsi="Times New Roman" w:eastAsia="宋体" w:cs="Times New Roman"/>
          <w:color w:val="auto"/>
          <w:kern w:val="0"/>
          <w:sz w:val="28"/>
          <w:szCs w:val="28"/>
          <w:highlight w:val="none"/>
          <w:lang w:val="en-US" w:eastAsia="zh-CN" w:bidi="ar"/>
        </w:rPr>
        <w:t>3.1-</w:t>
      </w:r>
      <w:r>
        <w:rPr>
          <w:rFonts w:hint="eastAsia" w:ascii="Times New Roman" w:hAnsi="Times New Roman" w:eastAsia="宋体" w:cs="Times New Roman"/>
          <w:color w:val="auto"/>
          <w:kern w:val="0"/>
          <w:sz w:val="28"/>
          <w:szCs w:val="28"/>
          <w:highlight w:val="none"/>
          <w:lang w:val="en-US" w:eastAsia="zh-CN" w:bidi="ar"/>
        </w:rPr>
        <w:t>13。</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13压裂试气设备一览表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1607"/>
        <w:gridCol w:w="1363"/>
        <w:gridCol w:w="1210"/>
        <w:gridCol w:w="1189"/>
        <w:gridCol w:w="884"/>
        <w:gridCol w:w="14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名称</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型号</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技术参数</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单位</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数量</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7"/>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井口设备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修井机</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XJ</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120</w:t>
            </w:r>
            <w:r>
              <w:rPr>
                <w:rFonts w:hint="eastAsia" w:ascii="Times New Roman" w:hAnsi="Times New Roman" w:cs="Times New Roman"/>
                <w:color w:val="auto"/>
                <w:sz w:val="24"/>
                <w:szCs w:val="24"/>
                <w:highlight w:val="none"/>
                <w:vertAlign w:val="baseline"/>
                <w:lang w:val="en-US" w:eastAsia="zh-CN"/>
              </w:rPr>
              <w:t>型</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载荷</w:t>
            </w:r>
            <w:r>
              <w:rPr>
                <w:rFonts w:hint="default" w:ascii="Times New Roman" w:hAnsi="Times New Roman" w:cs="Times New Roman"/>
                <w:color w:val="auto"/>
                <w:sz w:val="24"/>
                <w:szCs w:val="24"/>
                <w:highlight w:val="none"/>
                <w:vertAlign w:val="baseline"/>
                <w:lang w:val="en-US" w:eastAsia="zh-CN"/>
              </w:rPr>
              <w:t>120t</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辆</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压裂采气树</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KQS105/78</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承压</w:t>
            </w:r>
            <w:r>
              <w:rPr>
                <w:rFonts w:hint="default" w:ascii="Times New Roman" w:hAnsi="Times New Roman" w:cs="Times New Roman"/>
                <w:color w:val="auto"/>
                <w:sz w:val="24"/>
                <w:szCs w:val="24"/>
                <w:highlight w:val="none"/>
                <w:vertAlign w:val="baseline"/>
                <w:lang w:val="en-US" w:eastAsia="zh-CN"/>
              </w:rPr>
              <w:t>105MPa</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防喷器</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承压</w:t>
            </w:r>
            <w:r>
              <w:rPr>
                <w:rFonts w:hint="default" w:ascii="Times New Roman" w:hAnsi="Times New Roman" w:cs="Times New Roman"/>
                <w:color w:val="auto"/>
                <w:sz w:val="24"/>
                <w:szCs w:val="24"/>
                <w:highlight w:val="none"/>
                <w:vertAlign w:val="baseline"/>
                <w:lang w:val="en-US" w:eastAsia="zh-CN"/>
              </w:rPr>
              <w:t>70MPa</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7"/>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三相分离器</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气处理能力</w:t>
            </w:r>
            <w:r>
              <w:rPr>
                <w:rFonts w:hint="default" w:ascii="Times New Roman" w:hAnsi="Times New Roman" w:cs="Times New Roman"/>
                <w:color w:val="auto"/>
                <w:sz w:val="24"/>
                <w:szCs w:val="24"/>
                <w:highlight w:val="none"/>
                <w:vertAlign w:val="baseline"/>
                <w:lang w:val="en-US" w:eastAsia="zh-CN"/>
              </w:rPr>
              <w:t>100</w:t>
            </w:r>
            <w:r>
              <w:rPr>
                <w:rFonts w:hint="eastAsia" w:ascii="Times New Roman" w:hAnsi="Times New Roman" w:cs="Times New Roman"/>
                <w:color w:val="auto"/>
                <w:sz w:val="24"/>
                <w:szCs w:val="24"/>
                <w:highlight w:val="none"/>
                <w:vertAlign w:val="baseline"/>
                <w:lang w:val="en-US" w:eastAsia="zh-CN"/>
              </w:rPr>
              <w:t>万</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以上液处理能力</w:t>
            </w:r>
            <w:r>
              <w:rPr>
                <w:rFonts w:hint="default" w:ascii="Times New Roman" w:hAnsi="Times New Roman" w:cs="Times New Roman"/>
                <w:color w:val="auto"/>
                <w:sz w:val="24"/>
                <w:szCs w:val="24"/>
                <w:highlight w:val="none"/>
                <w:vertAlign w:val="baseline"/>
                <w:lang w:val="en-US" w:eastAsia="zh-CN"/>
              </w:rPr>
              <w:t>500m</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套</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除砂器</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双舱</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台</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计量池</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个</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足够</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储液罐</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个</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回收压裂返排液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压裂液罐</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50m</w:t>
            </w:r>
            <w:r>
              <w:rPr>
                <w:rFonts w:hint="default" w:ascii="Times New Roman" w:hAnsi="Times New Roman" w:cs="Times New Roman"/>
                <w:color w:val="auto"/>
                <w:sz w:val="24"/>
                <w:szCs w:val="24"/>
                <w:highlight w:val="none"/>
                <w:vertAlign w:val="superscript"/>
                <w:lang w:val="en-US" w:eastAsia="zh-CN"/>
              </w:rPr>
              <w:t>3</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个</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存放待使用压裂液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7"/>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压裂作业车辆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压裂车组</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哈里伯顿</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2000</w:t>
            </w:r>
            <w:r>
              <w:rPr>
                <w:rFonts w:hint="eastAsia" w:ascii="Times New Roman" w:hAnsi="Times New Roman" w:cs="Times New Roman"/>
                <w:color w:val="auto"/>
                <w:sz w:val="24"/>
                <w:szCs w:val="24"/>
                <w:highlight w:val="none"/>
                <w:vertAlign w:val="baseline"/>
                <w:lang w:val="en-US" w:eastAsia="zh-CN"/>
              </w:rPr>
              <w:t>型</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台</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砂罐车</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日野</w:t>
            </w:r>
            <w:r>
              <w:rPr>
                <w:rFonts w:hint="default" w:ascii="Times New Roman" w:hAnsi="Times New Roman" w:cs="Times New Roman"/>
                <w:color w:val="auto"/>
                <w:sz w:val="24"/>
                <w:szCs w:val="24"/>
                <w:highlight w:val="none"/>
                <w:vertAlign w:val="baseline"/>
                <w:lang w:val="en-US" w:eastAsia="zh-CN"/>
              </w:rPr>
              <w:t>700</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台</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供砂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回收液罐车</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15m</w:t>
            </w:r>
            <w:r>
              <w:rPr>
                <w:rFonts w:hint="default" w:ascii="Times New Roman" w:hAnsi="Times New Roman" w:cs="Times New Roman"/>
                <w:color w:val="auto"/>
                <w:sz w:val="24"/>
                <w:szCs w:val="24"/>
                <w:highlight w:val="none"/>
                <w:vertAlign w:val="superscript"/>
                <w:lang w:val="en-US" w:eastAsia="zh-CN"/>
              </w:rPr>
              <w:t>3</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辆</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足量</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回收压裂返排液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泵车</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700型</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台</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为压裂液使用提供动力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氮气车组</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台</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气举备用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w:t>
            </w:r>
          </w:p>
        </w:tc>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电缆车</w:t>
            </w:r>
          </w:p>
        </w:tc>
        <w:tc>
          <w:tcPr>
            <w:tcW w:w="1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台</w:t>
            </w:r>
          </w:p>
        </w:tc>
        <w:tc>
          <w:tcPr>
            <w:tcW w:w="8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投送桥塞及射孔</w:t>
            </w:r>
          </w:p>
        </w:tc>
      </w:tr>
    </w:tbl>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在压裂过程中要进行射孔作业。射孔是在井内下入专门的射孔器在油气层部位射孔，穿透套管的水泥环进入地层，使油气层通过这些孔道与井底连通，从而为油气流入井内造成通道的过程。射孔液主要成分的理化性质见表</w:t>
      </w:r>
      <w:r>
        <w:rPr>
          <w:rFonts w:hint="default" w:ascii="Times New Roman" w:hAnsi="Times New Roman" w:eastAsia="宋体" w:cs="Times New Roman"/>
          <w:color w:val="auto"/>
          <w:kern w:val="0"/>
          <w:sz w:val="28"/>
          <w:szCs w:val="28"/>
          <w:highlight w:val="none"/>
          <w:lang w:val="en-US" w:eastAsia="zh-CN" w:bidi="ar"/>
        </w:rPr>
        <w:t>3.1-</w:t>
      </w:r>
      <w:r>
        <w:rPr>
          <w:rFonts w:hint="eastAsia" w:ascii="Times New Roman" w:hAnsi="Times New Roman" w:eastAsia="宋体" w:cs="Times New Roman"/>
          <w:color w:val="auto"/>
          <w:kern w:val="0"/>
          <w:sz w:val="28"/>
          <w:szCs w:val="28"/>
          <w:highlight w:val="none"/>
          <w:lang w:val="en-US" w:eastAsia="zh-CN" w:bidi="ar"/>
        </w:rPr>
        <w:t>14。</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3.1-1</w:t>
      </w:r>
      <w:r>
        <w:rPr>
          <w:rFonts w:hint="eastAsia" w:ascii="Times New Roman" w:hAnsi="Times New Roman" w:eastAsia="宋体" w:cs="Times New Roman"/>
          <w:b/>
          <w:bCs/>
          <w:color w:val="auto"/>
          <w:kern w:val="0"/>
          <w:sz w:val="24"/>
          <w:szCs w:val="24"/>
          <w:highlight w:val="none"/>
          <w:lang w:val="en-US" w:eastAsia="zh-CN" w:bidi="ar"/>
        </w:rPr>
        <w:t>4射孔液主要成分理化性质一览表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2"/>
        <w:gridCol w:w="922"/>
        <w:gridCol w:w="66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9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原料名称</w:t>
            </w:r>
          </w:p>
        </w:tc>
        <w:tc>
          <w:tcPr>
            <w:tcW w:w="66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理化性质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9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NaCl</w:t>
            </w:r>
          </w:p>
        </w:tc>
        <w:tc>
          <w:tcPr>
            <w:tcW w:w="66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白色晶体状，无化学毒性，但摄入过多会引起细胞脱水，严重者会导致死亡。皮肤接触后用清水清洗干净即可。不易燃。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9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KCl</w:t>
            </w:r>
          </w:p>
        </w:tc>
        <w:tc>
          <w:tcPr>
            <w:tcW w:w="66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无色细长菱形或成一立方晶体，或白色结晶小颗粒粉末，外观如同食盐，无臭、味咸。皮肤接触后用清水清洗干净即可。无化学毒性，不易燃。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9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黏土稳定剂</w:t>
            </w:r>
          </w:p>
        </w:tc>
        <w:tc>
          <w:tcPr>
            <w:tcW w:w="66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双聚铵盐(NH</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vertAlign w:val="baseline"/>
                <w:lang w:val="en-US" w:eastAsia="zh-CN"/>
              </w:rPr>
              <w:t>-HPAN-2)，外观为自由流动的粉末及颗粒，铵含量（%）≤6.0，是水解聚丙烯腈-铵盐（NH</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vertAlign w:val="baseline"/>
                <w:lang w:val="en-US" w:eastAsia="zh-CN"/>
              </w:rPr>
              <w:t>-HPAN）的进一步改进，克服了铵盐抗盐、抗钙力较差的缺点，是腈纶丝、丙烯酰胺、氨水在高温、高压下聚合的产物，因带有-NH</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vertAlign w:val="baseline"/>
                <w:lang w:val="en-US" w:eastAsia="zh-CN"/>
              </w:rPr>
              <w:t>、-NH</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vertAlign w:val="baseline"/>
                <w:lang w:val="en-US" w:eastAsia="zh-CN"/>
              </w:rPr>
              <w:t>、-CN基团，具有一定的防塌、防水化膨胀和很好的抗盐能力，并且使用不受温度的限制，具有良好的降滤失功能，无毒性。</w:t>
            </w:r>
          </w:p>
        </w:tc>
      </w:tr>
    </w:tbl>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本项目压裂作业使用压裂车，把具有一定粘度的液体挤入油气层，当把油气层压出许多裂缝后，加入支撑剂</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如石英砂等</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充填进裂缝，提高油气层的渗透能力，以增加产油气量。压裂液各成分理化性质见表</w:t>
      </w:r>
      <w:r>
        <w:rPr>
          <w:rFonts w:hint="default" w:ascii="Times New Roman" w:hAnsi="Times New Roman" w:eastAsia="宋体" w:cs="Times New Roman"/>
          <w:color w:val="auto"/>
          <w:kern w:val="0"/>
          <w:sz w:val="28"/>
          <w:szCs w:val="28"/>
          <w:highlight w:val="none"/>
          <w:lang w:val="en-US" w:eastAsia="zh-CN" w:bidi="ar"/>
        </w:rPr>
        <w:t>3.1-1</w:t>
      </w:r>
      <w:r>
        <w:rPr>
          <w:rFonts w:hint="eastAsia" w:ascii="Times New Roman" w:hAnsi="Times New Roman" w:eastAsia="宋体" w:cs="Times New Roman"/>
          <w:color w:val="auto"/>
          <w:kern w:val="0"/>
          <w:sz w:val="28"/>
          <w:szCs w:val="28"/>
          <w:highlight w:val="none"/>
          <w:lang w:val="en-US" w:eastAsia="zh-CN" w:bidi="ar"/>
        </w:rPr>
        <w:t>5。</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15压裂液各成分理化性质一览表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6"/>
        <w:gridCol w:w="1431"/>
        <w:gridCol w:w="5259"/>
        <w:gridCol w:w="10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原料名称</w:t>
            </w:r>
          </w:p>
        </w:tc>
        <w:tc>
          <w:tcPr>
            <w:tcW w:w="52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理化性质及作用</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毒理</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性质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改性胍胶</w:t>
            </w:r>
          </w:p>
        </w:tc>
        <w:tc>
          <w:tcPr>
            <w:tcW w:w="52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采用昆山羟丙基胍胶，羟丙基胍胶具有增稠能力强，热稳定性好的特点，对水有很强的亲合力。当胍胶粉末加入水中，胍胶的微粒便“溶胀、水合”，也就是聚合物分子与许多水分子形成缔合体，然后在溶液中展开、伸长。在水基体系中，聚合物线团的相互作用，产生了粘稠溶液。适合储层温度</w:t>
            </w:r>
            <w:r>
              <w:rPr>
                <w:rFonts w:hint="default" w:ascii="Times New Roman" w:hAnsi="Times New Roman" w:cs="Times New Roman"/>
                <w:color w:val="auto"/>
                <w:sz w:val="24"/>
                <w:szCs w:val="24"/>
                <w:highlight w:val="none"/>
                <w:vertAlign w:val="baseline"/>
                <w:lang w:val="en-US" w:eastAsia="zh-CN"/>
              </w:rPr>
              <w:t>80</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~200</w:t>
            </w:r>
            <w:r>
              <w:rPr>
                <w:rFonts w:hint="eastAsia" w:ascii="Times New Roman" w:hAnsi="Times New Roman" w:cs="Times New Roman"/>
                <w:color w:val="auto"/>
                <w:sz w:val="24"/>
                <w:szCs w:val="24"/>
                <w:highlight w:val="none"/>
                <w:vertAlign w:val="baseline"/>
                <w:lang w:val="en-US" w:eastAsia="zh-CN"/>
              </w:rPr>
              <w:t>℃，降低了压裂液的残渣与施工摩阻，能满足高温、低渗储层压裂改造的需要。</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润湿改进剂</w:t>
            </w:r>
          </w:p>
        </w:tc>
        <w:tc>
          <w:tcPr>
            <w:tcW w:w="52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常用的润湿剂主要是非离子型表面活性剂，如</w:t>
            </w:r>
            <w:r>
              <w:rPr>
                <w:rFonts w:hint="default" w:ascii="Times New Roman" w:hAnsi="Times New Roman" w:cs="Times New Roman"/>
                <w:color w:val="auto"/>
                <w:sz w:val="24"/>
                <w:szCs w:val="24"/>
                <w:highlight w:val="none"/>
                <w:vertAlign w:val="baseline"/>
                <w:lang w:val="en-US" w:eastAsia="zh-CN"/>
              </w:rPr>
              <w:t>AE1910</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OP-10</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SP169</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796A</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TA-1031</w:t>
            </w:r>
            <w:r>
              <w:rPr>
                <w:rFonts w:hint="eastAsia" w:ascii="Times New Roman" w:hAnsi="Times New Roman" w:cs="Times New Roman"/>
                <w:color w:val="auto"/>
                <w:sz w:val="24"/>
                <w:szCs w:val="24"/>
                <w:highlight w:val="none"/>
                <w:vertAlign w:val="baseline"/>
                <w:lang w:val="en-US" w:eastAsia="zh-CN"/>
              </w:rPr>
              <w:t>等，能将亲油砂岩润湿为亲水砂岩，有利于提高相对渗透率。</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高温交联剂</w:t>
            </w:r>
          </w:p>
        </w:tc>
        <w:tc>
          <w:tcPr>
            <w:tcW w:w="52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通过化学键或配位键与稠化剂发生交联反应的试剂称为交联剂。交联剂将聚合物的各种分子联结成一种结构，使原来的聚合物分子量明显地增加，调整压裂液的粘度。</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有机硼</w:t>
            </w:r>
          </w:p>
        </w:tc>
        <w:tc>
          <w:tcPr>
            <w:tcW w:w="52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含有硼原子的有机化合物，作为交联剂辅助用剂。</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高温破胶剂</w:t>
            </w:r>
          </w:p>
        </w:tc>
        <w:tc>
          <w:tcPr>
            <w:tcW w:w="52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目前适用于水基交联冻胶体系的破胶剂，以过硫酸钾作为主要助剂</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过硫酸钾</w:t>
            </w:r>
          </w:p>
        </w:tc>
        <w:tc>
          <w:tcPr>
            <w:tcW w:w="52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无机化合物，白色结晶，无气味，有潮解性，可用作油井压裂液的破胶剂。</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中毒性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碳酸钠</w:t>
            </w:r>
          </w:p>
        </w:tc>
        <w:tc>
          <w:tcPr>
            <w:tcW w:w="52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无水碳酸钠为白色粉末，易溶于水，水溶液呈碱性，</w:t>
            </w:r>
            <w:r>
              <w:rPr>
                <w:rFonts w:hint="default" w:ascii="Times New Roman" w:hAnsi="Times New Roman" w:cs="Times New Roman"/>
                <w:color w:val="auto"/>
                <w:sz w:val="24"/>
                <w:szCs w:val="24"/>
                <w:highlight w:val="none"/>
                <w:vertAlign w:val="baseline"/>
                <w:lang w:val="en-US" w:eastAsia="zh-CN"/>
              </w:rPr>
              <w:t>pH</w:t>
            </w:r>
            <w:r>
              <w:rPr>
                <w:rFonts w:hint="eastAsia" w:ascii="Times New Roman" w:hAnsi="Times New Roman" w:cs="Times New Roman"/>
                <w:color w:val="auto"/>
                <w:sz w:val="24"/>
                <w:szCs w:val="24"/>
                <w:highlight w:val="none"/>
                <w:vertAlign w:val="baseline"/>
                <w:lang w:val="en-US" w:eastAsia="zh-CN"/>
              </w:rPr>
              <w:t>值为</w:t>
            </w:r>
            <w:r>
              <w:rPr>
                <w:rFonts w:hint="default" w:ascii="Times New Roman" w:hAnsi="Times New Roman" w:cs="Times New Roman"/>
                <w:color w:val="auto"/>
                <w:sz w:val="24"/>
                <w:szCs w:val="24"/>
                <w:highlight w:val="none"/>
                <w:vertAlign w:val="baseline"/>
                <w:lang w:val="en-US" w:eastAsia="zh-CN"/>
              </w:rPr>
              <w:t>11.5</w:t>
            </w:r>
            <w:r>
              <w:rPr>
                <w:rFonts w:hint="eastAsia" w:ascii="Times New Roman" w:hAnsi="Times New Roman" w:cs="Times New Roman"/>
                <w:color w:val="auto"/>
                <w:sz w:val="24"/>
                <w:szCs w:val="24"/>
                <w:highlight w:val="none"/>
                <w:vertAlign w:val="baseline"/>
                <w:lang w:val="en-US" w:eastAsia="zh-CN"/>
              </w:rPr>
              <w:t>。在泥浆中发生电离和水解，提供</w:t>
            </w:r>
            <w:r>
              <w:rPr>
                <w:rFonts w:hint="default" w:ascii="Times New Roman" w:hAnsi="Times New Roman" w:cs="Times New Roman"/>
                <w:color w:val="auto"/>
                <w:sz w:val="24"/>
                <w:szCs w:val="24"/>
                <w:highlight w:val="none"/>
                <w:vertAlign w:val="baseline"/>
                <w:lang w:val="en-US" w:eastAsia="zh-CN"/>
              </w:rPr>
              <w:t>Na</w:t>
            </w:r>
            <w:r>
              <w:rPr>
                <w:rFonts w:hint="default" w:ascii="Times New Roman" w:hAnsi="Times New Roman" w:cs="Times New Roman"/>
                <w:color w:val="auto"/>
                <w:sz w:val="24"/>
                <w:szCs w:val="24"/>
                <w:highlight w:val="none"/>
                <w:vertAlign w:val="superscript"/>
                <w:lang w:val="en-US" w:eastAsia="zh-CN"/>
              </w:rPr>
              <w:t>+</w:t>
            </w:r>
            <w:r>
              <w:rPr>
                <w:rFonts w:hint="eastAsia" w:ascii="Times New Roman" w:hAnsi="Times New Roman" w:cs="Times New Roman"/>
                <w:color w:val="auto"/>
                <w:sz w:val="24"/>
                <w:szCs w:val="24"/>
                <w:highlight w:val="none"/>
                <w:vertAlign w:val="baseline"/>
                <w:lang w:val="en-US" w:eastAsia="zh-CN"/>
              </w:rPr>
              <w:t>和</w:t>
            </w:r>
            <w:r>
              <w:rPr>
                <w:rFonts w:hint="default" w:ascii="Times New Roman" w:hAnsi="Times New Roman" w:cs="Times New Roman"/>
                <w:color w:val="auto"/>
                <w:sz w:val="24"/>
                <w:szCs w:val="24"/>
                <w:highlight w:val="none"/>
                <w:vertAlign w:val="baseline"/>
                <w:lang w:val="en-US" w:eastAsia="zh-CN"/>
              </w:rPr>
              <w:t>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，在泥浆中通过离子交换和沉淀作用，使钙质粘土变为钠质粘土。另外可除掉石膏或水泥浸入泥浆中的</w:t>
            </w:r>
            <w:r>
              <w:rPr>
                <w:rFonts w:hint="default" w:ascii="Times New Roman" w:hAnsi="Times New Roman" w:cs="Times New Roman"/>
                <w:color w:val="auto"/>
                <w:sz w:val="24"/>
                <w:szCs w:val="24"/>
                <w:highlight w:val="none"/>
                <w:vertAlign w:val="baseline"/>
                <w:lang w:val="en-US" w:eastAsia="zh-CN"/>
              </w:rPr>
              <w:t>Ca</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离子，使泥浆性能变好</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碳酸氢钠</w:t>
            </w:r>
          </w:p>
        </w:tc>
        <w:tc>
          <w:tcPr>
            <w:tcW w:w="52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白色细小晶体，溶于水时呈现弱碱性，固体</w:t>
            </w:r>
            <w:r>
              <w:rPr>
                <w:rFonts w:hint="default" w:ascii="Times New Roman" w:hAnsi="Times New Roman" w:cs="Times New Roman"/>
                <w:color w:val="auto"/>
                <w:sz w:val="24"/>
                <w:szCs w:val="24"/>
                <w:highlight w:val="none"/>
                <w:vertAlign w:val="baseline"/>
                <w:lang w:val="en-US" w:eastAsia="zh-CN"/>
              </w:rPr>
              <w:t>50</w:t>
            </w:r>
            <w:r>
              <w:rPr>
                <w:rFonts w:hint="eastAsia" w:ascii="Times New Roman" w:hAnsi="Times New Roman" w:cs="Times New Roman"/>
                <w:color w:val="auto"/>
                <w:sz w:val="24"/>
                <w:szCs w:val="24"/>
                <w:highlight w:val="none"/>
                <w:vertAlign w:val="baseline"/>
                <w:lang w:val="en-US" w:eastAsia="zh-CN"/>
              </w:rPr>
              <w:t>℃以上开始逐渐分解生成碳酸钠、二氧化碳和水，</w:t>
            </w:r>
            <w:r>
              <w:rPr>
                <w:rFonts w:hint="default" w:ascii="Times New Roman" w:hAnsi="Times New Roman" w:cs="Times New Roman"/>
                <w:color w:val="auto"/>
                <w:sz w:val="24"/>
                <w:szCs w:val="24"/>
                <w:highlight w:val="none"/>
                <w:vertAlign w:val="baseline"/>
                <w:lang w:val="en-US" w:eastAsia="zh-CN"/>
              </w:rPr>
              <w:t>270</w:t>
            </w:r>
            <w:r>
              <w:rPr>
                <w:rFonts w:hint="eastAsia" w:ascii="Times New Roman" w:hAnsi="Times New Roman" w:cs="Times New Roman"/>
                <w:color w:val="auto"/>
                <w:sz w:val="24"/>
                <w:szCs w:val="24"/>
                <w:highlight w:val="none"/>
                <w:vertAlign w:val="baseline"/>
                <w:lang w:val="en-US" w:eastAsia="zh-CN"/>
              </w:rPr>
              <w:t>℃时完全分解。</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无毒性</w:t>
            </w:r>
          </w:p>
        </w:tc>
      </w:tr>
    </w:tbl>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压裂试气作业期间设置放空火炬一座，使用燃烧方式，处置试气作业期间采出气。试气作业开始后，井内采出液首先进行气液分离，之后分别进行计量。试气期间对于有产能的井，须进行地面测试流量计量，计量期间应按规定的表格要求准确记录，开始</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5min</w:t>
      </w:r>
      <w:r>
        <w:rPr>
          <w:rFonts w:hint="eastAsia" w:ascii="Times New Roman" w:hAnsi="Times New Roman" w:eastAsia="宋体" w:cs="Times New Roman"/>
          <w:color w:val="auto"/>
          <w:kern w:val="0"/>
          <w:sz w:val="28"/>
          <w:szCs w:val="28"/>
          <w:highlight w:val="none"/>
          <w:lang w:val="en-US" w:eastAsia="zh-CN" w:bidi="ar"/>
        </w:rPr>
        <w:t>记录一次，测试稳定后延长到</w:t>
      </w:r>
      <w:r>
        <w:rPr>
          <w:rFonts w:hint="default" w:ascii="Times New Roman" w:hAnsi="Times New Roman" w:eastAsia="宋体" w:cs="Times New Roman"/>
          <w:color w:val="auto"/>
          <w:kern w:val="0"/>
          <w:sz w:val="28"/>
          <w:szCs w:val="28"/>
          <w:highlight w:val="none"/>
          <w:lang w:val="en-US" w:eastAsia="zh-CN" w:bidi="ar"/>
        </w:rPr>
        <w:t>10min</w:t>
      </w:r>
      <w:r>
        <w:rPr>
          <w:rFonts w:hint="eastAsia" w:ascii="Times New Roman" w:hAnsi="Times New Roman" w:eastAsia="宋体" w:cs="Times New Roman"/>
          <w:color w:val="auto"/>
          <w:kern w:val="0"/>
          <w:sz w:val="28"/>
          <w:szCs w:val="28"/>
          <w:highlight w:val="none"/>
          <w:lang w:val="en-US" w:eastAsia="zh-CN" w:bidi="ar"/>
        </w:rPr>
        <w:t>记录一次。流量计量完成后，产出气将通过放空管线引入临时放空火炬放空燃烧处理，临时放空火炬布置于井口下风向处，预留75</w:t>
      </w:r>
      <w:r>
        <w:rPr>
          <w:rFonts w:hint="default"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lang w:val="en-US" w:eastAsia="zh-CN" w:bidi="ar"/>
        </w:rPr>
        <w:t>安全距离，火炬高</w:t>
      </w:r>
      <w:r>
        <w:rPr>
          <w:rFonts w:hint="default" w:ascii="Times New Roman" w:hAnsi="Times New Roman" w:eastAsia="宋体" w:cs="Times New Roman"/>
          <w:color w:val="auto"/>
          <w:kern w:val="0"/>
          <w:sz w:val="28"/>
          <w:szCs w:val="28"/>
          <w:highlight w:val="none"/>
          <w:lang w:val="en-US" w:eastAsia="zh-CN" w:bidi="ar"/>
        </w:rPr>
        <w:t>5m</w:t>
      </w:r>
      <w:r>
        <w:rPr>
          <w:rFonts w:hint="eastAsia" w:ascii="Times New Roman" w:hAnsi="Times New Roman" w:eastAsia="宋体" w:cs="Times New Roman"/>
          <w:color w:val="auto"/>
          <w:kern w:val="0"/>
          <w:sz w:val="28"/>
          <w:szCs w:val="28"/>
          <w:highlight w:val="none"/>
          <w:lang w:val="en-US" w:eastAsia="zh-CN" w:bidi="ar"/>
        </w:rPr>
        <w:t>，放喷管线通径不小于78mm，火炬口设置自动点火装置，以保证来气可直接点燃并充分燃烧后排放。</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3.1.3</w:t>
      </w:r>
      <w:r>
        <w:rPr>
          <w:rFonts w:hint="eastAsia" w:ascii="Times New Roman" w:hAnsi="Times New Roman" w:eastAsia="宋体" w:cs="Times New Roman"/>
          <w:color w:val="auto"/>
          <w:kern w:val="0"/>
          <w:sz w:val="28"/>
          <w:szCs w:val="28"/>
          <w:highlight w:val="none"/>
          <w:lang w:val="en-US" w:eastAsia="zh-CN" w:bidi="ar"/>
        </w:rPr>
        <w:t>主要物料消耗</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根据大庆油田多年统计数据，本工程钻井施工每进尺</w:t>
      </w:r>
      <w:r>
        <w:rPr>
          <w:rFonts w:hint="default" w:ascii="Times New Roman" w:hAnsi="Times New Roman" w:eastAsia="宋体" w:cs="Times New Roman"/>
          <w:color w:val="auto"/>
          <w:kern w:val="0"/>
          <w:sz w:val="28"/>
          <w:szCs w:val="28"/>
          <w:highlight w:val="none"/>
          <w:lang w:val="en-US" w:eastAsia="zh-CN" w:bidi="ar"/>
        </w:rPr>
        <w:t>1000m</w:t>
      </w:r>
      <w:r>
        <w:rPr>
          <w:rFonts w:hint="eastAsia" w:ascii="Times New Roman" w:hAnsi="Times New Roman" w:eastAsia="宋体" w:cs="Times New Roman"/>
          <w:color w:val="auto"/>
          <w:kern w:val="0"/>
          <w:sz w:val="28"/>
          <w:szCs w:val="28"/>
          <w:highlight w:val="none"/>
          <w:lang w:val="en-US" w:eastAsia="zh-CN" w:bidi="ar"/>
        </w:rPr>
        <w:t>，柴油用量为20t，生产用水量为690</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，射孔液用量为</w:t>
      </w:r>
      <w:r>
        <w:rPr>
          <w:rFonts w:hint="default" w:ascii="Times New Roman" w:hAnsi="Times New Roman" w:eastAsia="宋体" w:cs="Times New Roman"/>
          <w:color w:val="auto"/>
          <w:kern w:val="0"/>
          <w:sz w:val="28"/>
          <w:szCs w:val="28"/>
          <w:highlight w:val="none"/>
          <w:lang w:val="en-US" w:eastAsia="zh-CN" w:bidi="ar"/>
        </w:rPr>
        <w:t>40m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井；依据建设单位提供资料，压裂液用量为</w:t>
      </w:r>
      <w:r>
        <w:rPr>
          <w:rFonts w:hint="default" w:ascii="Times New Roman" w:hAnsi="Times New Roman" w:eastAsia="宋体" w:cs="Times New Roman"/>
          <w:color w:val="auto"/>
          <w:kern w:val="0"/>
          <w:sz w:val="28"/>
          <w:szCs w:val="28"/>
          <w:highlight w:val="none"/>
          <w:lang w:val="en-US" w:eastAsia="zh-CN" w:bidi="ar"/>
        </w:rPr>
        <w:t>19000m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井。</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依据钻井工程设计资料，本项目水基钻井液使用量为2259m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，油基钻井液使用量为1125m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水泥使用总量为1019t，根据黑龙江省地方标准《黑龙江省地方标准用水定额》（DB23/T727-2021），农村居民生活用水80L/d，本项目施工人数为30人，单井施工天数为100天，其中钻井施工天数为65天，压裂试气施工期为20天，设备搬运及场地布置施工天数为15天，三口井同时施工建设。本项目主要物料消耗见表</w:t>
      </w:r>
      <w:r>
        <w:rPr>
          <w:rFonts w:hint="default" w:ascii="Times New Roman" w:hAnsi="Times New Roman" w:eastAsia="宋体" w:cs="Times New Roman"/>
          <w:color w:val="auto"/>
          <w:kern w:val="0"/>
          <w:sz w:val="28"/>
          <w:szCs w:val="28"/>
          <w:highlight w:val="none"/>
          <w:lang w:val="en-US" w:eastAsia="zh-CN" w:bidi="ar"/>
        </w:rPr>
        <w:t>3.1-</w:t>
      </w:r>
      <w:r>
        <w:rPr>
          <w:rFonts w:hint="eastAsia" w:ascii="Times New Roman" w:hAnsi="Times New Roman" w:eastAsia="宋体" w:cs="Times New Roman"/>
          <w:color w:val="auto"/>
          <w:kern w:val="0"/>
          <w:sz w:val="28"/>
          <w:szCs w:val="28"/>
          <w:highlight w:val="none"/>
          <w:lang w:val="en-US" w:eastAsia="zh-CN" w:bidi="ar"/>
        </w:rPr>
        <w:t>16。</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3.1-1</w:t>
      </w:r>
      <w:r>
        <w:rPr>
          <w:rFonts w:hint="eastAsia" w:ascii="Times New Roman" w:hAnsi="Times New Roman" w:eastAsia="宋体" w:cs="Times New Roman"/>
          <w:b/>
          <w:bCs/>
          <w:color w:val="auto"/>
          <w:kern w:val="0"/>
          <w:sz w:val="24"/>
          <w:szCs w:val="24"/>
          <w:highlight w:val="none"/>
          <w:lang w:val="en-US" w:eastAsia="zh-CN" w:bidi="ar"/>
        </w:rPr>
        <w:t>6本项目主要物料消耗</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47"/>
        <w:gridCol w:w="1582"/>
        <w:gridCol w:w="1936"/>
        <w:gridCol w:w="36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5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物料名称</w:t>
            </w:r>
          </w:p>
        </w:tc>
        <w:tc>
          <w:tcPr>
            <w:tcW w:w="1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用量</w:t>
            </w:r>
          </w:p>
        </w:tc>
        <w:tc>
          <w:tcPr>
            <w:tcW w:w="36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5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水基钻井液</w:t>
            </w:r>
          </w:p>
        </w:tc>
        <w:tc>
          <w:tcPr>
            <w:tcW w:w="1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2259m</w:t>
            </w:r>
            <w:r>
              <w:rPr>
                <w:rFonts w:hint="eastAsia" w:ascii="Times New Roman" w:hAnsi="Times New Roman" w:cs="Times New Roman"/>
                <w:color w:val="auto"/>
                <w:sz w:val="24"/>
                <w:szCs w:val="24"/>
                <w:highlight w:val="none"/>
                <w:vertAlign w:val="superscript"/>
                <w:lang w:val="en-US" w:eastAsia="zh-CN"/>
              </w:rPr>
              <w:t>3</w:t>
            </w:r>
          </w:p>
        </w:tc>
        <w:tc>
          <w:tcPr>
            <w:tcW w:w="365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依据钻井工程设计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5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油基钻井液</w:t>
            </w:r>
          </w:p>
        </w:tc>
        <w:tc>
          <w:tcPr>
            <w:tcW w:w="1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1125m</w:t>
            </w:r>
            <w:r>
              <w:rPr>
                <w:rFonts w:hint="eastAsia" w:ascii="Times New Roman" w:hAnsi="Times New Roman" w:cs="Times New Roman"/>
                <w:color w:val="auto"/>
                <w:sz w:val="24"/>
                <w:szCs w:val="24"/>
                <w:highlight w:val="none"/>
                <w:vertAlign w:val="superscript"/>
                <w:lang w:val="en-US" w:eastAsia="zh-CN"/>
              </w:rPr>
              <w:t>3</w:t>
            </w:r>
          </w:p>
        </w:tc>
        <w:tc>
          <w:tcPr>
            <w:tcW w:w="365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5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水泥</w:t>
            </w:r>
          </w:p>
        </w:tc>
        <w:tc>
          <w:tcPr>
            <w:tcW w:w="1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1019t</w:t>
            </w:r>
          </w:p>
        </w:tc>
        <w:tc>
          <w:tcPr>
            <w:tcW w:w="365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5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压裂液</w:t>
            </w:r>
          </w:p>
        </w:tc>
        <w:tc>
          <w:tcPr>
            <w:tcW w:w="1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57000m</w:t>
            </w:r>
            <w:r>
              <w:rPr>
                <w:rFonts w:hint="eastAsia" w:ascii="Times New Roman" w:hAnsi="Times New Roman" w:cs="Times New Roman"/>
                <w:color w:val="auto"/>
                <w:sz w:val="24"/>
                <w:szCs w:val="24"/>
                <w:highlight w:val="none"/>
                <w:vertAlign w:val="superscript"/>
                <w:lang w:val="en-US" w:eastAsia="zh-CN"/>
              </w:rPr>
              <w:t>3</w:t>
            </w:r>
          </w:p>
        </w:tc>
        <w:tc>
          <w:tcPr>
            <w:tcW w:w="36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依据压裂方案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5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w:t>
            </w:r>
          </w:p>
        </w:tc>
        <w:tc>
          <w:tcPr>
            <w:tcW w:w="1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256t</w:t>
            </w:r>
          </w:p>
        </w:tc>
        <w:tc>
          <w:tcPr>
            <w:tcW w:w="365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依据大庆油田多年统计数据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15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射孔液</w:t>
            </w:r>
          </w:p>
        </w:tc>
        <w:tc>
          <w:tcPr>
            <w:tcW w:w="1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120m</w:t>
            </w:r>
            <w:r>
              <w:rPr>
                <w:rFonts w:hint="eastAsia" w:ascii="Times New Roman" w:hAnsi="Times New Roman" w:cs="Times New Roman"/>
                <w:color w:val="auto"/>
                <w:sz w:val="24"/>
                <w:szCs w:val="24"/>
                <w:highlight w:val="none"/>
                <w:vertAlign w:val="superscript"/>
                <w:lang w:val="en-US" w:eastAsia="zh-CN"/>
              </w:rPr>
              <w:t>3</w:t>
            </w:r>
          </w:p>
        </w:tc>
        <w:tc>
          <w:tcPr>
            <w:tcW w:w="365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15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生产用水</w:t>
            </w:r>
          </w:p>
        </w:tc>
        <w:tc>
          <w:tcPr>
            <w:tcW w:w="1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8826m</w:t>
            </w:r>
            <w:r>
              <w:rPr>
                <w:rFonts w:hint="eastAsia" w:ascii="Times New Roman" w:hAnsi="Times New Roman" w:cs="Times New Roman"/>
                <w:color w:val="auto"/>
                <w:sz w:val="24"/>
                <w:szCs w:val="24"/>
                <w:highlight w:val="none"/>
                <w:vertAlign w:val="superscript"/>
                <w:lang w:val="en-US" w:eastAsia="zh-CN"/>
              </w:rPr>
              <w:t>3</w:t>
            </w:r>
          </w:p>
        </w:tc>
        <w:tc>
          <w:tcPr>
            <w:tcW w:w="365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15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生活用水</w:t>
            </w:r>
          </w:p>
        </w:tc>
        <w:tc>
          <w:tcPr>
            <w:tcW w:w="19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240m</w:t>
            </w:r>
            <w:r>
              <w:rPr>
                <w:rFonts w:hint="eastAsia" w:ascii="Times New Roman" w:hAnsi="Times New Roman" w:cs="Times New Roman"/>
                <w:color w:val="auto"/>
                <w:sz w:val="24"/>
                <w:szCs w:val="24"/>
                <w:highlight w:val="none"/>
                <w:vertAlign w:val="superscript"/>
                <w:lang w:val="en-US" w:eastAsia="zh-CN"/>
              </w:rPr>
              <w:t>3</w:t>
            </w:r>
          </w:p>
        </w:tc>
        <w:tc>
          <w:tcPr>
            <w:tcW w:w="36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依据《黑龙江省地方标准用水定额》（</w:t>
            </w:r>
            <w:r>
              <w:rPr>
                <w:rFonts w:hint="default" w:ascii="Times New Roman" w:hAnsi="Times New Roman" w:cs="Times New Roman"/>
                <w:color w:val="auto"/>
                <w:sz w:val="24"/>
                <w:szCs w:val="24"/>
                <w:highlight w:val="none"/>
                <w:vertAlign w:val="baseline"/>
                <w:lang w:val="en-US" w:eastAsia="zh-CN"/>
              </w:rPr>
              <w:t>DB23/T727-2021</w:t>
            </w:r>
            <w:r>
              <w:rPr>
                <w:rFonts w:hint="eastAsia" w:ascii="Times New Roman" w:hAnsi="Times New Roman" w:cs="Times New Roman"/>
                <w:color w:val="auto"/>
                <w:sz w:val="24"/>
                <w:szCs w:val="24"/>
                <w:highlight w:val="none"/>
                <w:vertAlign w:val="baseline"/>
                <w:lang w:val="en-US" w:eastAsia="zh-CN"/>
              </w:rPr>
              <w:t>）</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3.1.4</w:t>
      </w:r>
      <w:r>
        <w:rPr>
          <w:rFonts w:hint="eastAsia" w:ascii="Times New Roman" w:hAnsi="Times New Roman" w:eastAsia="宋体" w:cs="Times New Roman"/>
          <w:color w:val="auto"/>
          <w:kern w:val="0"/>
          <w:sz w:val="28"/>
          <w:szCs w:val="28"/>
          <w:highlight w:val="none"/>
          <w:lang w:val="en-US" w:eastAsia="zh-CN" w:bidi="ar"/>
        </w:rPr>
        <w:t>场地布置及土地利用</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（1）场地布置</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本项目共新建天然气生产井3口，每座井场布设采用生产区与生活区分开布设的原则，同时生产区与生活区设必要的安全与卫生防护距离。钻井井场平面布置见图</w:t>
      </w:r>
      <w:r>
        <w:rPr>
          <w:rFonts w:hint="default" w:ascii="Times New Roman" w:hAnsi="Times New Roman" w:eastAsia="宋体" w:cs="Times New Roman"/>
          <w:color w:val="auto"/>
          <w:kern w:val="0"/>
          <w:sz w:val="28"/>
          <w:szCs w:val="28"/>
          <w:highlight w:val="none"/>
          <w:lang w:val="en-US" w:eastAsia="zh-CN" w:bidi="ar"/>
        </w:rPr>
        <w:t>3.1-</w:t>
      </w:r>
      <w:r>
        <w:rPr>
          <w:rFonts w:hint="eastAsia" w:ascii="Times New Roman" w:hAnsi="Times New Roman" w:eastAsia="宋体" w:cs="Times New Roman"/>
          <w:color w:val="auto"/>
          <w:kern w:val="0"/>
          <w:sz w:val="28"/>
          <w:szCs w:val="28"/>
          <w:highlight w:val="none"/>
          <w:lang w:val="en-US" w:eastAsia="zh-CN" w:bidi="ar"/>
        </w:rPr>
        <w:t>4。</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drawing>
          <wp:inline distT="0" distB="0" distL="114300" distR="114300">
            <wp:extent cx="5268595" cy="3117850"/>
            <wp:effectExtent l="0" t="0" r="8255" b="6350"/>
            <wp:docPr id="13" name="图片 56" descr="防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descr="防渗图"/>
                    <pic:cNvPicPr>
                      <a:picLocks noChangeAspect="1"/>
                    </pic:cNvPicPr>
                  </pic:nvPicPr>
                  <pic:blipFill>
                    <a:blip r:embed="rId14"/>
                    <a:stretch>
                      <a:fillRect/>
                    </a:stretch>
                  </pic:blipFill>
                  <pic:spPr>
                    <a:xfrm>
                      <a:off x="0" y="0"/>
                      <a:ext cx="5268595" cy="3117850"/>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图</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4钻井井场平面布置图</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（2）工程占地</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本项目占地主要为在钻井期间施工营地、钻井设备、柴油发电机组、以及临时便道发生的临时占地，完井后形成井场发生的永久占地。依据《石油天然气工程项目用地控制指标》（国土资规</w:t>
      </w:r>
      <w:r>
        <w:rPr>
          <w:rFonts w:hint="default" w:ascii="Times New Roman" w:hAnsi="Times New Roman" w:eastAsia="宋体" w:cs="Times New Roman"/>
          <w:color w:val="auto"/>
          <w:kern w:val="0"/>
          <w:sz w:val="28"/>
          <w:szCs w:val="28"/>
          <w:highlight w:val="none"/>
          <w:lang w:val="en-US" w:eastAsia="zh-CN" w:bidi="ar"/>
        </w:rPr>
        <w:t>[2016]14</w:t>
      </w:r>
      <w:r>
        <w:rPr>
          <w:rFonts w:hint="eastAsia" w:ascii="Times New Roman" w:hAnsi="Times New Roman" w:eastAsia="宋体" w:cs="Times New Roman"/>
          <w:color w:val="auto"/>
          <w:kern w:val="0"/>
          <w:sz w:val="28"/>
          <w:szCs w:val="28"/>
          <w:highlight w:val="none"/>
          <w:lang w:val="en-US" w:eastAsia="zh-CN" w:bidi="ar"/>
        </w:rPr>
        <w:t>号），本项目每座钻井井场占地面积9900</w:t>
      </w:r>
      <w:r>
        <w:rPr>
          <w:rFonts w:hint="default"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，其中永久占地为1600m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（气井1200m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，放喷池400m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），则每座井场临时占地为8300m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。本项目新建井场均位于基本农田内，施工便道临时占用部分基本农田，其余施工便道利用已建乡间路进行物料及污染物输送。本项目施工便道临时占用基本农田约433m，道路宽3.5m，则临时便道占用基本农田1516m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。本项目占地情况见表</w:t>
      </w:r>
      <w:r>
        <w:rPr>
          <w:rFonts w:hint="default" w:ascii="Times New Roman" w:hAnsi="Times New Roman" w:eastAsia="宋体" w:cs="Times New Roman"/>
          <w:color w:val="auto"/>
          <w:kern w:val="0"/>
          <w:sz w:val="28"/>
          <w:szCs w:val="28"/>
          <w:highlight w:val="none"/>
          <w:lang w:val="en-US" w:eastAsia="zh-CN" w:bidi="ar"/>
        </w:rPr>
        <w:t>3.1-</w:t>
      </w:r>
      <w:r>
        <w:rPr>
          <w:rFonts w:hint="eastAsia" w:ascii="Times New Roman" w:hAnsi="Times New Roman" w:eastAsia="宋体" w:cs="Times New Roman"/>
          <w:color w:val="auto"/>
          <w:kern w:val="0"/>
          <w:sz w:val="28"/>
          <w:szCs w:val="28"/>
          <w:highlight w:val="none"/>
          <w:lang w:val="en-US" w:eastAsia="zh-CN" w:bidi="ar"/>
        </w:rPr>
        <w:t>17。</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17项目占地情况一览表  单位：hm</w:t>
      </w:r>
      <w:r>
        <w:rPr>
          <w:rFonts w:hint="eastAsia" w:ascii="Times New Roman" w:hAnsi="Times New Roman" w:eastAsia="宋体" w:cs="Times New Roman"/>
          <w:b/>
          <w:bCs/>
          <w:color w:val="auto"/>
          <w:kern w:val="0"/>
          <w:sz w:val="24"/>
          <w:szCs w:val="24"/>
          <w:highlight w:val="none"/>
          <w:vertAlign w:val="superscript"/>
          <w:lang w:val="en-US" w:eastAsia="zh-CN" w:bidi="ar"/>
        </w:rPr>
        <w:t>2</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区域</w:t>
            </w:r>
          </w:p>
        </w:tc>
        <w:tc>
          <w:tcPr>
            <w:tcW w:w="141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建设项目</w:t>
            </w:r>
          </w:p>
        </w:tc>
        <w:tc>
          <w:tcPr>
            <w:tcW w:w="283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临时占地</w:t>
            </w:r>
          </w:p>
        </w:tc>
        <w:tc>
          <w:tcPr>
            <w:tcW w:w="284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永久占地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19"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耕地（基本农田）</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耕地（非基本农田）</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耕地（基本农田）</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耕地（非基本农田）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restar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肇州县</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井场</w:t>
            </w:r>
          </w:p>
        </w:tc>
        <w:tc>
          <w:tcPr>
            <w:tcW w:w="141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2.49</w:t>
            </w:r>
          </w:p>
        </w:tc>
        <w:tc>
          <w:tcPr>
            <w:tcW w:w="141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2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0.48</w:t>
            </w:r>
          </w:p>
        </w:tc>
        <w:tc>
          <w:tcPr>
            <w:tcW w:w="142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施工便道</w:t>
            </w:r>
          </w:p>
        </w:tc>
        <w:tc>
          <w:tcPr>
            <w:tcW w:w="141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0.15</w:t>
            </w:r>
          </w:p>
        </w:tc>
        <w:tc>
          <w:tcPr>
            <w:tcW w:w="141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2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2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gridSpan w:val="2"/>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小计</w:t>
            </w:r>
          </w:p>
        </w:tc>
        <w:tc>
          <w:tcPr>
            <w:tcW w:w="2838" w:type="dxa"/>
            <w:gridSpan w:val="2"/>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2.64</w:t>
            </w:r>
          </w:p>
        </w:tc>
        <w:tc>
          <w:tcPr>
            <w:tcW w:w="2840" w:type="dxa"/>
            <w:gridSpan w:val="2"/>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gridSpan w:val="2"/>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总计</w:t>
            </w:r>
          </w:p>
        </w:tc>
        <w:tc>
          <w:tcPr>
            <w:tcW w:w="5678" w:type="dxa"/>
            <w:gridSpan w:val="4"/>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3.12</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（3）土方平衡</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涉及土方工程主要包括井场垫土、放喷池、生活污水池和截水沟挖方施工，清挖时，首先将表层耕地土剥离，单独堆放，挖方施工应分层开挖，分层堆放，待施工结束后分层回填，开挖土方均原地回填，其余垫土不足的部分由建设单位外购至有正规手续的土场，履行相关手续，建议优先购买项目所在乡村优质土壤，防止发生外来物种入侵，破坏项目所在区域生态平衡。项目具体土方平衡见表</w:t>
      </w:r>
      <w:r>
        <w:rPr>
          <w:rFonts w:hint="default" w:ascii="Times New Roman" w:hAnsi="Times New Roman" w:eastAsia="宋体" w:cs="Times New Roman"/>
          <w:color w:val="auto"/>
          <w:kern w:val="0"/>
          <w:sz w:val="28"/>
          <w:szCs w:val="28"/>
          <w:highlight w:val="none"/>
          <w:lang w:val="en-US" w:eastAsia="zh-CN" w:bidi="ar"/>
        </w:rPr>
        <w:t>3.1-</w:t>
      </w:r>
      <w:r>
        <w:rPr>
          <w:rFonts w:hint="eastAsia" w:ascii="Times New Roman" w:hAnsi="Times New Roman" w:eastAsia="宋体" w:cs="Times New Roman"/>
          <w:color w:val="auto"/>
          <w:kern w:val="0"/>
          <w:sz w:val="28"/>
          <w:szCs w:val="28"/>
          <w:highlight w:val="none"/>
          <w:lang w:val="en-US" w:eastAsia="zh-CN" w:bidi="ar"/>
        </w:rPr>
        <w:t>18。</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3.1-1</w:t>
      </w:r>
      <w:r>
        <w:rPr>
          <w:rFonts w:hint="eastAsia" w:ascii="Times New Roman" w:hAnsi="Times New Roman" w:eastAsia="宋体" w:cs="Times New Roman"/>
          <w:b/>
          <w:bCs/>
          <w:color w:val="auto"/>
          <w:kern w:val="0"/>
          <w:sz w:val="24"/>
          <w:szCs w:val="24"/>
          <w:highlight w:val="none"/>
          <w:lang w:val="en-US" w:eastAsia="zh-CN" w:bidi="ar"/>
        </w:rPr>
        <w:t>8项目土方平衡表 单位:m</w:t>
      </w:r>
      <w:r>
        <w:rPr>
          <w:rFonts w:hint="eastAsia" w:ascii="Times New Roman" w:hAnsi="Times New Roman" w:eastAsia="宋体" w:cs="Times New Roman"/>
          <w:b/>
          <w:bCs/>
          <w:color w:val="auto"/>
          <w:kern w:val="0"/>
          <w:sz w:val="24"/>
          <w:szCs w:val="24"/>
          <w:highlight w:val="none"/>
          <w:vertAlign w:val="superscript"/>
          <w:lang w:val="en-US" w:eastAsia="zh-CN" w:bidi="ar"/>
        </w:rPr>
        <w:t>3</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8"/>
        <w:gridCol w:w="1106"/>
        <w:gridCol w:w="1125"/>
        <w:gridCol w:w="1425"/>
        <w:gridCol w:w="975"/>
        <w:gridCol w:w="937"/>
        <w:gridCol w:w="22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1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类别</w:t>
            </w:r>
          </w:p>
        </w:tc>
        <w:tc>
          <w:tcPr>
            <w:tcW w:w="11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挖方量</w:t>
            </w:r>
          </w:p>
        </w:tc>
        <w:tc>
          <w:tcPr>
            <w:tcW w:w="1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外购土方量</w:t>
            </w:r>
          </w:p>
        </w:tc>
        <w:tc>
          <w:tcPr>
            <w:tcW w:w="9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填方量</w:t>
            </w:r>
          </w:p>
        </w:tc>
        <w:tc>
          <w:tcPr>
            <w:tcW w:w="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弃方量</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1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垫土</w:t>
            </w:r>
          </w:p>
        </w:tc>
        <w:tc>
          <w:tcPr>
            <w:tcW w:w="11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p>
        </w:tc>
        <w:tc>
          <w:tcPr>
            <w:tcW w:w="1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780</w:t>
            </w:r>
          </w:p>
        </w:tc>
        <w:tc>
          <w:tcPr>
            <w:tcW w:w="9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1080</w:t>
            </w:r>
          </w:p>
        </w:tc>
        <w:tc>
          <w:tcPr>
            <w:tcW w:w="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井场垫高</w:t>
            </w:r>
            <w:r>
              <w:rPr>
                <w:rFonts w:hint="default" w:ascii="Times New Roman" w:hAnsi="Times New Roman" w:cs="Times New Roman"/>
                <w:color w:val="auto"/>
                <w:sz w:val="24"/>
                <w:szCs w:val="24"/>
                <w:highlight w:val="none"/>
                <w:vertAlign w:val="baseline"/>
                <w:lang w:val="en-US" w:eastAsia="zh-CN"/>
              </w:rPr>
              <w:t>0.3m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1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放喷池</w:t>
            </w:r>
          </w:p>
        </w:tc>
        <w:tc>
          <w:tcPr>
            <w:tcW w:w="11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300</w:t>
            </w:r>
          </w:p>
        </w:tc>
        <w:tc>
          <w:tcPr>
            <w:tcW w:w="1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300</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用于井场垫高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1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生活污水池</w:t>
            </w:r>
          </w:p>
        </w:tc>
        <w:tc>
          <w:tcPr>
            <w:tcW w:w="11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24</w:t>
            </w:r>
          </w:p>
        </w:tc>
        <w:tc>
          <w:tcPr>
            <w:tcW w:w="1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24</w:t>
            </w:r>
          </w:p>
        </w:tc>
        <w:tc>
          <w:tcPr>
            <w:tcW w:w="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1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截水沟</w:t>
            </w:r>
          </w:p>
        </w:tc>
        <w:tc>
          <w:tcPr>
            <w:tcW w:w="11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131</w:t>
            </w:r>
          </w:p>
        </w:tc>
        <w:tc>
          <w:tcPr>
            <w:tcW w:w="1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131</w:t>
            </w:r>
          </w:p>
        </w:tc>
        <w:tc>
          <w:tcPr>
            <w:tcW w:w="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井场截水沟总长522m，宽0.5m×深0.5m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合计</w:t>
            </w:r>
          </w:p>
        </w:tc>
        <w:tc>
          <w:tcPr>
            <w:tcW w:w="11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455</w:t>
            </w:r>
          </w:p>
        </w:tc>
        <w:tc>
          <w:tcPr>
            <w:tcW w:w="1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1080</w:t>
            </w:r>
          </w:p>
        </w:tc>
        <w:tc>
          <w:tcPr>
            <w:tcW w:w="9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1211</w:t>
            </w:r>
          </w:p>
        </w:tc>
        <w:tc>
          <w:tcPr>
            <w:tcW w:w="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300</w:t>
            </w:r>
          </w:p>
        </w:tc>
        <w:tc>
          <w:tcPr>
            <w:tcW w:w="2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（4）表层土剥离量</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本项目生活污水池和放喷池挖方施工剥离表土厚度为</w:t>
      </w:r>
      <w:r>
        <w:rPr>
          <w:rFonts w:hint="default" w:ascii="Times New Roman" w:hAnsi="Times New Roman" w:eastAsia="宋体" w:cs="Times New Roman"/>
          <w:color w:val="auto"/>
          <w:kern w:val="0"/>
          <w:sz w:val="28"/>
          <w:szCs w:val="28"/>
          <w:highlight w:val="none"/>
          <w:lang w:val="en-US" w:eastAsia="zh-CN" w:bidi="ar"/>
        </w:rPr>
        <w:t>0.3m</w:t>
      </w:r>
      <w:r>
        <w:rPr>
          <w:rFonts w:hint="eastAsia" w:ascii="Times New Roman" w:hAnsi="Times New Roman" w:eastAsia="宋体" w:cs="Times New Roman"/>
          <w:color w:val="auto"/>
          <w:kern w:val="0"/>
          <w:sz w:val="28"/>
          <w:szCs w:val="28"/>
          <w:highlight w:val="none"/>
          <w:lang w:val="en-US" w:eastAsia="zh-CN" w:bidi="ar"/>
        </w:rPr>
        <w:t>，剥离表土量20m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。将剥离的耕地表土推放在井场临时占地范围内的存储区，堆土表面设纱网或草栅覆盖，待项目施工结束后运回原位分层回填。</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3.1.5</w:t>
      </w:r>
      <w:r>
        <w:rPr>
          <w:rFonts w:hint="eastAsia" w:ascii="Times New Roman" w:hAnsi="Times New Roman" w:eastAsia="宋体" w:cs="Times New Roman"/>
          <w:color w:val="auto"/>
          <w:kern w:val="0"/>
          <w:sz w:val="28"/>
          <w:szCs w:val="28"/>
          <w:highlight w:val="none"/>
          <w:lang w:val="en-US" w:eastAsia="zh-CN" w:bidi="ar"/>
        </w:rPr>
        <w:t>施工时序</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本项目规划于</w:t>
      </w:r>
      <w:r>
        <w:rPr>
          <w:rFonts w:hint="default" w:ascii="Times New Roman" w:hAnsi="Times New Roman" w:eastAsia="宋体" w:cs="Times New Roman"/>
          <w:color w:val="auto"/>
          <w:kern w:val="0"/>
          <w:sz w:val="28"/>
          <w:szCs w:val="28"/>
          <w:highlight w:val="none"/>
          <w:lang w:val="en-US" w:eastAsia="zh-CN" w:bidi="ar"/>
        </w:rPr>
        <w:t>2022</w:t>
      </w:r>
      <w:r>
        <w:rPr>
          <w:rFonts w:hint="eastAsia" w:ascii="Times New Roman" w:hAnsi="Times New Roman" w:eastAsia="宋体" w:cs="Times New Roman"/>
          <w:color w:val="auto"/>
          <w:kern w:val="0"/>
          <w:sz w:val="28"/>
          <w:szCs w:val="28"/>
          <w:highlight w:val="none"/>
          <w:lang w:val="en-US" w:eastAsia="zh-CN" w:bidi="ar"/>
        </w:rPr>
        <w:t>年11月实施，施工时间为</w:t>
      </w:r>
      <w:r>
        <w:rPr>
          <w:rFonts w:hint="default" w:ascii="Times New Roman" w:hAnsi="Times New Roman" w:eastAsia="宋体" w:cs="Times New Roman"/>
          <w:color w:val="auto"/>
          <w:kern w:val="0"/>
          <w:sz w:val="28"/>
          <w:szCs w:val="28"/>
          <w:highlight w:val="none"/>
          <w:lang w:val="en-US" w:eastAsia="zh-CN" w:bidi="ar"/>
        </w:rPr>
        <w:t>100</w:t>
      </w:r>
      <w:r>
        <w:rPr>
          <w:rFonts w:hint="eastAsia" w:ascii="Times New Roman" w:hAnsi="Times New Roman" w:eastAsia="宋体" w:cs="Times New Roman"/>
          <w:color w:val="auto"/>
          <w:kern w:val="0"/>
          <w:sz w:val="28"/>
          <w:szCs w:val="28"/>
          <w:highlight w:val="none"/>
          <w:lang w:val="en-US" w:eastAsia="zh-CN" w:bidi="ar"/>
        </w:rPr>
        <w:t>天。</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3.1.6</w:t>
      </w:r>
      <w:r>
        <w:rPr>
          <w:rFonts w:hint="eastAsia" w:ascii="Times New Roman" w:hAnsi="Times New Roman" w:eastAsia="宋体" w:cs="Times New Roman"/>
          <w:color w:val="auto"/>
          <w:kern w:val="0"/>
          <w:sz w:val="28"/>
          <w:szCs w:val="28"/>
          <w:highlight w:val="none"/>
          <w:lang w:val="en-US" w:eastAsia="zh-CN" w:bidi="ar"/>
        </w:rPr>
        <w:t>依托工程</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（1）黑龙江龙之润五厂处理站</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本项目施工期产生的一般钻井污水、废弃水基钻井液、一般岩屑及废射孔液共2826m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由罐车拉运至黑龙江龙之润五厂处理站处理，该站于2019年6月施工，同年8月竣工投产试运行，该站位于大庆市红岗区铁人工业园区兴隆产业园，由黑龙江龙之润环保工程有限公司管理，该站在《黑龙江省大庆市红岗区龙之润水基泥浆回收处理项目》中进行了环境影响评价，环评批复文号为岗环审[2019]16号，于2019年12月完成自主验收。</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该站设计处理能力为15×10</w:t>
      </w:r>
      <w:r>
        <w:rPr>
          <w:rFonts w:hint="eastAsia" w:ascii="Times New Roman" w:hAnsi="Times New Roman" w:eastAsia="宋体" w:cs="Times New Roman"/>
          <w:color w:val="auto"/>
          <w:kern w:val="0"/>
          <w:sz w:val="28"/>
          <w:szCs w:val="28"/>
          <w:highlight w:val="none"/>
          <w:vertAlign w:val="superscript"/>
          <w:lang w:val="en-US" w:eastAsia="zh-CN" w:bidi="ar"/>
        </w:rPr>
        <w:t>4</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a，处理工艺采用“一级处理（高频脱水振动筛）—二级处理（除砂一体机）—三级处理（中速离心机）—压裂絮凝—四级处理—清水收集”流程后，泥饼排出至渣土收集场，清水罐内清水通过液下渣浆泵回用至加药装置。用罐车清运，经杏十五一联合站污水处理站处理后回注。本项目计划在2022年年底施工，同期工程《敖包塔及敖南区块产能建设钻井工程》、《葡南区块产能建设钻井工程》、《永乐及头台区块产能建设钻井工程》合计产生水基泥浆81811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也进入该站处理，目前该站剩余处理量为134016m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/a，能满足本项目及同期工程处理需求。</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drawing>
          <wp:inline distT="0" distB="0" distL="114300" distR="114300">
            <wp:extent cx="5269865" cy="2133600"/>
            <wp:effectExtent l="0" t="0" r="6985" b="0"/>
            <wp:docPr id="14" name="图片 24" descr="龙之润处理站处理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龙之润处理站处理工艺"/>
                    <pic:cNvPicPr>
                      <a:picLocks noChangeAspect="1"/>
                    </pic:cNvPicPr>
                  </pic:nvPicPr>
                  <pic:blipFill>
                    <a:blip r:embed="rId15"/>
                    <a:stretch>
                      <a:fillRect/>
                    </a:stretch>
                  </pic:blipFill>
                  <pic:spPr>
                    <a:xfrm>
                      <a:off x="0" y="0"/>
                      <a:ext cx="5269865" cy="2133600"/>
                    </a:xfrm>
                    <a:prstGeom prst="rect">
                      <a:avLst/>
                    </a:prstGeom>
                    <a:noFill/>
                    <a:ln>
                      <a:noFill/>
                    </a:ln>
                  </pic:spPr>
                </pic:pic>
              </a:graphicData>
            </a:graphic>
          </wp:inline>
        </w:drawing>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图</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5黑龙江龙之润五厂处理站工艺流程图</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哈19返排液处理站</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哈19返排液处理站位于大庆市杜蒙县他拉哈镇林肇公路东200米，建于2021年，主要负责对第九采油厂页岩油项目作业产生的压裂返排液处理及回注，总接液量2000m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/d，日处理量1800m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/d。于2022年4月投产，目前正在组织验收。</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该站采用“氧化-溶气气浮-旋流气浮-过滤联合处理”工艺，主要流程为“斜板收油分离-分离后储存罐-离心气浮处理-处理后储存罐-回注装置”，出水水质满足《大庆油田地面工程建设设计规定》（Q/SYDQ0639-2015）限值要求“含油量≤20mg/L、悬浮固体含量≤20mg/L”标准，回注现役油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本项目在压裂试气期间产生压裂返排液，产生量为17100m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，570m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/d。同期项目《古龙页岩油零散井产能基建古页10HC等16口水平井产能建设地面工程环境影响报告书》产生的压裂返排液也进入哈19返排液处理站进行处理，产生量约为457.26m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/d，哈19返排液处理站剩余处理能力为1342m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/d，该处理站剩余处理能力满足本项目处理压裂返排液需求。</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drawing>
          <wp:inline distT="0" distB="0" distL="114300" distR="114300">
            <wp:extent cx="5264150" cy="1824990"/>
            <wp:effectExtent l="0" t="0" r="12700" b="3810"/>
            <wp:docPr id="15" name="图片 27" descr="哈19返排液处理站处理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descr="哈19返排液处理站处理工艺流程图"/>
                    <pic:cNvPicPr>
                      <a:picLocks noChangeAspect="1"/>
                    </pic:cNvPicPr>
                  </pic:nvPicPr>
                  <pic:blipFill>
                    <a:blip r:embed="rId16"/>
                    <a:stretch>
                      <a:fillRect/>
                    </a:stretch>
                  </pic:blipFill>
                  <pic:spPr>
                    <a:xfrm>
                      <a:off x="0" y="0"/>
                      <a:ext cx="5264150" cy="1824990"/>
                    </a:xfrm>
                    <a:prstGeom prst="rect">
                      <a:avLst/>
                    </a:prstGeom>
                    <a:noFill/>
                    <a:ln>
                      <a:noFill/>
                    </a:ln>
                  </pic:spPr>
                </pic:pic>
              </a:graphicData>
            </a:graphic>
          </wp:inline>
        </w:drawing>
      </w:r>
    </w:p>
    <w:p>
      <w:pPr>
        <w:keepNext w:val="0"/>
        <w:keepLines w:val="0"/>
        <w:widowControl/>
        <w:suppressLineNumbers w:val="0"/>
        <w:jc w:val="center"/>
        <w:rPr>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图</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6</w:t>
      </w:r>
      <w:r>
        <w:rPr>
          <w:rFonts w:hint="eastAsia" w:ascii="宋体" w:hAnsi="宋体" w:eastAsia="宋体" w:cs="宋体"/>
          <w:b/>
          <w:bCs/>
          <w:color w:val="auto"/>
          <w:kern w:val="0"/>
          <w:sz w:val="24"/>
          <w:szCs w:val="24"/>
          <w:highlight w:val="none"/>
          <w:lang w:val="en-US" w:eastAsia="zh-CN" w:bidi="ar"/>
        </w:rPr>
        <w:t>哈19返排液处理站工艺流程图</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（3）大庆市岗源环保科技有限责任公司工业废弃物处置中心</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该工业废弃物处置中心处理能力为</w:t>
      </w:r>
      <w:r>
        <w:rPr>
          <w:rFonts w:hint="default" w:ascii="Times New Roman" w:hAnsi="Times New Roman" w:eastAsia="宋体" w:cs="Times New Roman"/>
          <w:color w:val="auto"/>
          <w:kern w:val="0"/>
          <w:sz w:val="28"/>
          <w:szCs w:val="28"/>
          <w:highlight w:val="none"/>
          <w:lang w:val="en-US" w:eastAsia="zh-CN" w:bidi="ar"/>
        </w:rPr>
        <w:t>14000t/a</w:t>
      </w:r>
      <w:r>
        <w:rPr>
          <w:rFonts w:hint="eastAsia" w:ascii="Times New Roman" w:hAnsi="Times New Roman" w:eastAsia="宋体" w:cs="Times New Roman"/>
          <w:color w:val="auto"/>
          <w:kern w:val="0"/>
          <w:sz w:val="28"/>
          <w:szCs w:val="28"/>
          <w:highlight w:val="none"/>
          <w:lang w:val="en-US" w:eastAsia="zh-CN" w:bidi="ar"/>
        </w:rPr>
        <w:t>，本工程产生的废弃防渗布及一般固废包装袋量约为0.475</w:t>
      </w:r>
      <w:r>
        <w:rPr>
          <w:rFonts w:hint="default" w:ascii="Times New Roman" w:hAnsi="Times New Roman" w:eastAsia="宋体" w:cs="Times New Roman"/>
          <w:color w:val="auto"/>
          <w:kern w:val="0"/>
          <w:sz w:val="28"/>
          <w:szCs w:val="28"/>
          <w:highlight w:val="none"/>
          <w:lang w:val="en-US" w:eastAsia="zh-CN" w:bidi="ar"/>
        </w:rPr>
        <w:t>t</w:t>
      </w:r>
      <w:r>
        <w:rPr>
          <w:rFonts w:hint="eastAsia" w:ascii="Times New Roman" w:hAnsi="Times New Roman" w:eastAsia="宋体" w:cs="Times New Roman"/>
          <w:color w:val="auto"/>
          <w:kern w:val="0"/>
          <w:sz w:val="28"/>
          <w:szCs w:val="28"/>
          <w:highlight w:val="none"/>
          <w:lang w:val="en-US" w:eastAsia="zh-CN" w:bidi="ar"/>
        </w:rPr>
        <w:t>，处理能力满足本项目新增固废处理要求。大庆市岗源环保科技有限责任公司工业废弃物处置中心于</w:t>
      </w:r>
      <w:r>
        <w:rPr>
          <w:rFonts w:hint="default" w:ascii="Times New Roman" w:hAnsi="Times New Roman" w:eastAsia="宋体" w:cs="Times New Roman"/>
          <w:color w:val="auto"/>
          <w:kern w:val="0"/>
          <w:sz w:val="28"/>
          <w:szCs w:val="28"/>
          <w:highlight w:val="none"/>
          <w:lang w:val="en-US" w:eastAsia="zh-CN" w:bidi="ar"/>
        </w:rPr>
        <w:t>2016</w:t>
      </w:r>
      <w:r>
        <w:rPr>
          <w:rFonts w:hint="eastAsia" w:ascii="Times New Roman" w:hAnsi="Times New Roman" w:eastAsia="宋体" w:cs="Times New Roman"/>
          <w:color w:val="auto"/>
          <w:kern w:val="0"/>
          <w:sz w:val="28"/>
          <w:szCs w:val="28"/>
          <w:highlight w:val="none"/>
          <w:lang w:val="en-US" w:eastAsia="zh-CN" w:bidi="ar"/>
        </w:rPr>
        <w:t>年取得环评批复，批复文号为庆环审</w:t>
      </w:r>
      <w:r>
        <w:rPr>
          <w:rFonts w:hint="default" w:ascii="Times New Roman" w:hAnsi="Times New Roman" w:eastAsia="宋体" w:cs="Times New Roman"/>
          <w:color w:val="auto"/>
          <w:kern w:val="0"/>
          <w:sz w:val="28"/>
          <w:szCs w:val="28"/>
          <w:highlight w:val="none"/>
          <w:lang w:val="en-US" w:eastAsia="zh-CN" w:bidi="ar"/>
        </w:rPr>
        <w:t>[2016]280</w:t>
      </w:r>
      <w:r>
        <w:rPr>
          <w:rFonts w:hint="eastAsia" w:ascii="Times New Roman" w:hAnsi="Times New Roman" w:eastAsia="宋体" w:cs="Times New Roman"/>
          <w:color w:val="auto"/>
          <w:kern w:val="0"/>
          <w:sz w:val="28"/>
          <w:szCs w:val="28"/>
          <w:highlight w:val="none"/>
          <w:lang w:val="en-US" w:eastAsia="zh-CN" w:bidi="ar"/>
        </w:rPr>
        <w:t>号，目前正在组织竣工环境保护验收。</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（4）升一联气田污水预处理站</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项目压裂试气期间产生的试气采出液经储液罐暂存后，由罐车拉运至</w:t>
      </w:r>
      <w:r>
        <w:rPr>
          <w:rFonts w:hint="default" w:ascii="Times New Roman" w:hAnsi="Times New Roman" w:eastAsia="宋体" w:cs="Times New Roman"/>
          <w:color w:val="auto"/>
          <w:kern w:val="0"/>
          <w:sz w:val="28"/>
          <w:szCs w:val="28"/>
          <w:highlight w:val="none"/>
          <w:lang w:val="en-US" w:eastAsia="zh-CN" w:bidi="ar"/>
        </w:rPr>
        <w:t>升一联气田污水预处理站进行处理，达到回注标准后回注地下。升一联气田污水预处理站采用</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调储缓冲→气浮→缓冲→两级过滤</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处理工艺。水质处理达到《大庆油田地面工程建设设计规定》（Q/SYDQ0639-2015）要求（石油类≤10.0mg/L，悬浮固体≤5.0mg/L）后回注地下。</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本项目仅涉及试气工序，</w:t>
      </w:r>
      <w:r>
        <w:rPr>
          <w:rFonts w:hint="eastAsia" w:ascii="Times New Roman" w:hAnsi="Times New Roman" w:eastAsia="宋体" w:cs="Times New Roman"/>
          <w:color w:val="auto"/>
          <w:kern w:val="0"/>
          <w:sz w:val="28"/>
          <w:szCs w:val="28"/>
          <w:highlight w:val="none"/>
          <w:lang w:val="en-US" w:eastAsia="zh-CN" w:bidi="ar"/>
        </w:rPr>
        <w:t>根据气田天然气含水率，试气期间采出液约为31m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，升一联实际处理量为240m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/d，现运行负荷率为17%，</w:t>
      </w:r>
      <w:r>
        <w:rPr>
          <w:rFonts w:hint="default" w:ascii="Times New Roman" w:hAnsi="Times New Roman" w:eastAsia="宋体" w:cs="Times New Roman"/>
          <w:color w:val="auto"/>
          <w:kern w:val="0"/>
          <w:sz w:val="28"/>
          <w:szCs w:val="28"/>
          <w:highlight w:val="none"/>
          <w:lang w:val="en-US" w:eastAsia="zh-CN" w:bidi="ar"/>
        </w:rPr>
        <w:t>处理站剩余处理能力满足本项目处理需求。2015年《气田污水预处理站改造工程环境影响报告表》对依托工程升一联气田污水预处理站进行环境影响评价，批复文号为绥环函[2015]423号，2019年9月由企业完成自主验收。</w:t>
      </w:r>
    </w:p>
    <w:p>
      <w:pPr>
        <w:pStyle w:val="22"/>
        <w:spacing w:line="240" w:lineRule="auto"/>
        <w:ind w:left="0" w:leftChars="0" w:firstLine="0" w:firstLineChars="0"/>
        <w:rPr>
          <w:rFonts w:hint="default"/>
          <w:color w:val="auto"/>
          <w:highlight w:val="none"/>
          <w:lang w:val="en-US" w:eastAsia="zh-CN"/>
        </w:rPr>
      </w:pPr>
      <w:r>
        <w:rPr>
          <w:rFonts w:hint="default"/>
          <w:color w:val="auto"/>
          <w:highlight w:val="none"/>
          <w:lang w:val="en-US" w:eastAsia="zh-CN"/>
        </w:rPr>
        <w:drawing>
          <wp:inline distT="0" distB="0" distL="114300" distR="114300">
            <wp:extent cx="5269865" cy="2128520"/>
            <wp:effectExtent l="0" t="0" r="6985" b="5080"/>
            <wp:docPr id="16" name="图片 28" descr="升一联气田污水预处理站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升一联气田污水预处理站工艺流程"/>
                    <pic:cNvPicPr>
                      <a:picLocks noChangeAspect="1"/>
                    </pic:cNvPicPr>
                  </pic:nvPicPr>
                  <pic:blipFill>
                    <a:blip r:embed="rId17"/>
                    <a:stretch>
                      <a:fillRect/>
                    </a:stretch>
                  </pic:blipFill>
                  <pic:spPr>
                    <a:xfrm>
                      <a:off x="0" y="0"/>
                      <a:ext cx="5269865" cy="2128520"/>
                    </a:xfrm>
                    <a:prstGeom prst="rect">
                      <a:avLst/>
                    </a:prstGeom>
                    <a:noFill/>
                    <a:ln>
                      <a:noFill/>
                    </a:ln>
                  </pic:spPr>
                </pic:pic>
              </a:graphicData>
            </a:graphic>
          </wp:inline>
        </w:drawing>
      </w:r>
    </w:p>
    <w:p>
      <w:pPr>
        <w:keepNext w:val="0"/>
        <w:keepLines w:val="0"/>
        <w:widowControl/>
        <w:suppressLineNumbers w:val="0"/>
        <w:jc w:val="center"/>
        <w:rPr>
          <w:rFonts w:hint="default"/>
          <w:color w:val="auto"/>
          <w:highlight w:val="none"/>
          <w:lang w:val="en-US" w:eastAsia="zh-CN"/>
        </w:rPr>
      </w:pPr>
      <w:r>
        <w:rPr>
          <w:rFonts w:hint="eastAsia" w:ascii="宋体" w:hAnsi="宋体" w:eastAsia="宋体" w:cs="宋体"/>
          <w:b/>
          <w:bCs/>
          <w:color w:val="auto"/>
          <w:kern w:val="0"/>
          <w:sz w:val="24"/>
          <w:szCs w:val="24"/>
          <w:highlight w:val="none"/>
          <w:lang w:val="en-US" w:eastAsia="zh-CN" w:bidi="ar"/>
        </w:rPr>
        <w:t>图</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8</w:t>
      </w:r>
      <w:r>
        <w:rPr>
          <w:rFonts w:hint="eastAsia" w:ascii="宋体" w:hAnsi="宋体" w:eastAsia="宋体" w:cs="宋体"/>
          <w:b/>
          <w:bCs/>
          <w:color w:val="auto"/>
          <w:kern w:val="0"/>
          <w:sz w:val="24"/>
          <w:szCs w:val="24"/>
          <w:highlight w:val="none"/>
          <w:lang w:val="en-US" w:eastAsia="zh-CN" w:bidi="ar"/>
        </w:rPr>
        <w:t>升一联气田污水预处理站工艺流程</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bookmarkStart w:id="103" w:name="_Toc27376"/>
      <w:r>
        <w:rPr>
          <w:rFonts w:hint="eastAsia" w:ascii="Times New Roman" w:hAnsi="Times New Roman" w:eastAsia="宋体" w:cs="Times New Roman"/>
          <w:color w:val="auto"/>
          <w:kern w:val="0"/>
          <w:sz w:val="28"/>
          <w:szCs w:val="28"/>
          <w:highlight w:val="none"/>
          <w:lang w:val="en-US" w:eastAsia="zh-CN" w:bidi="ar"/>
        </w:rPr>
        <w:t>（5）废弃泥浆无害化处理油基泥浆站</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产生的废弃油基泥浆</w:t>
      </w:r>
      <w:r>
        <w:rPr>
          <w:rFonts w:hint="eastAsia" w:ascii="Times New Roman" w:hAnsi="Times New Roman" w:eastAsia="宋体" w:cs="Times New Roman"/>
          <w:color w:val="auto"/>
          <w:kern w:val="0"/>
          <w:sz w:val="28"/>
          <w:szCs w:val="28"/>
          <w:highlight w:val="none"/>
          <w:lang w:val="en-US" w:eastAsia="zh-CN" w:bidi="ar"/>
        </w:rPr>
        <w:t>及油基岩屑运输至</w:t>
      </w:r>
      <w:r>
        <w:rPr>
          <w:rFonts w:hint="default" w:ascii="Times New Roman" w:hAnsi="Times New Roman" w:eastAsia="宋体" w:cs="Times New Roman"/>
          <w:color w:val="auto"/>
          <w:kern w:val="0"/>
          <w:sz w:val="28"/>
          <w:szCs w:val="28"/>
          <w:highlight w:val="none"/>
          <w:lang w:val="en-US" w:eastAsia="zh-CN" w:bidi="ar"/>
        </w:rPr>
        <w:t>大庆市云泰石化产品有限公司建设的废弃泥浆无害化处理油基泥浆站</w:t>
      </w:r>
      <w:r>
        <w:rPr>
          <w:rFonts w:hint="eastAsia" w:ascii="Times New Roman" w:hAnsi="Times New Roman" w:eastAsia="宋体" w:cs="Times New Roman"/>
          <w:color w:val="auto"/>
          <w:kern w:val="0"/>
          <w:sz w:val="28"/>
          <w:szCs w:val="28"/>
          <w:highlight w:val="none"/>
          <w:lang w:val="en-US" w:eastAsia="zh-CN" w:bidi="ar"/>
        </w:rPr>
        <w:t>处理。</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该站位于黑龙江省大庆市杜尔伯特蒙古族自治县杏树岗村北侧3km处，处理的危险废物类别是HW08废矿物油与含矿物油废物，废物代码有：071-001-08、071-002-08、072-001-08。</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设</w:t>
      </w:r>
      <w:r>
        <w:rPr>
          <w:rFonts w:hint="default" w:ascii="Times New Roman" w:hAnsi="Times New Roman" w:eastAsia="宋体" w:cs="Times New Roman"/>
          <w:color w:val="auto"/>
          <w:kern w:val="0"/>
          <w:sz w:val="28"/>
          <w:szCs w:val="28"/>
          <w:highlight w:val="none"/>
          <w:lang w:val="en-US" w:eastAsia="zh-CN" w:bidi="ar"/>
        </w:rPr>
        <w:t>有油田钻井油基钻屑、修井洗井含油污泥、罐底油泥等含油污泥的减量化、无害化处理装备及设施，主要设备有油水分离器、多级分离装置、深度脱附装置等，采用“预处理+深度脱附”工艺分别处理油田钻井油基钻屑以及含油污泥。年处理量10万t/a，其中油田钻井油基钻屑年处理量为5万t/a</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处置过程中产生的滤液</w:t>
      </w:r>
      <w:r>
        <w:rPr>
          <w:rFonts w:hint="eastAsia" w:ascii="Times New Roman" w:hAnsi="Times New Roman" w:eastAsia="宋体" w:cs="Times New Roman"/>
          <w:color w:val="auto"/>
          <w:kern w:val="0"/>
          <w:sz w:val="28"/>
          <w:szCs w:val="28"/>
          <w:highlight w:val="none"/>
          <w:lang w:val="en-US" w:eastAsia="zh-CN" w:bidi="ar"/>
        </w:rPr>
        <w:t>由</w:t>
      </w:r>
      <w:r>
        <w:rPr>
          <w:rFonts w:hint="default" w:ascii="Times New Roman" w:hAnsi="Times New Roman" w:eastAsia="宋体" w:cs="Times New Roman"/>
          <w:color w:val="auto"/>
          <w:kern w:val="0"/>
          <w:sz w:val="28"/>
          <w:szCs w:val="28"/>
          <w:highlight w:val="none"/>
          <w:lang w:val="en-US" w:eastAsia="zh-CN" w:bidi="ar"/>
        </w:rPr>
        <w:t>罐车运至龙一联含油污水站处理</w:t>
      </w:r>
      <w:r>
        <w:rPr>
          <w:rFonts w:hint="eastAsia" w:ascii="Times New Roman" w:hAnsi="Times New Roman" w:eastAsia="宋体" w:cs="Times New Roman"/>
          <w:color w:val="auto"/>
          <w:kern w:val="0"/>
          <w:sz w:val="28"/>
          <w:szCs w:val="28"/>
          <w:highlight w:val="none"/>
          <w:lang w:val="en-US" w:eastAsia="zh-CN" w:bidi="ar"/>
        </w:rPr>
        <w:t>，处理后水质满足《大庆油田地面工程建设设计规定》（Q/SYDQ0639-2015）限值要求（含油量≤8mg/L、悬浮固体含量≤3mg/L）后回注。</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经无害化处理站处理后产生的废渣满足《废弃钻井液处理规范》（DB23/T693-2000）</w:t>
      </w:r>
      <w:r>
        <w:rPr>
          <w:rFonts w:hint="eastAsia" w:ascii="Times New Roman" w:hAnsi="Times New Roman" w:eastAsia="宋体" w:cs="Times New Roman"/>
          <w:color w:val="auto"/>
          <w:kern w:val="0"/>
          <w:sz w:val="28"/>
          <w:szCs w:val="28"/>
          <w:highlight w:val="none"/>
          <w:lang w:val="en-US" w:eastAsia="zh-CN" w:bidi="ar"/>
        </w:rPr>
        <w:t>及《一般工业固体废物贮存和填埋污染控制标准》（GB18599-2020）中第Ⅰ类一般工业固体废物标准要求，由采油九厂综合利用垫井场或铺路。</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目前进入该站的油基泥浆量为10000t/a，本项目产生的含油钻井废水及油基岩屑共5</w:t>
      </w:r>
      <w:r>
        <w:rPr>
          <w:rFonts w:hint="eastAsia" w:ascii="Times New Roman" w:hAnsi="Times New Roman" w:eastAsia="宋体" w:cs="Times New Roman"/>
          <w:color w:val="auto"/>
          <w:kern w:val="0"/>
          <w:sz w:val="28"/>
          <w:szCs w:val="28"/>
          <w:highlight w:val="none"/>
          <w:lang w:val="en-US" w:eastAsia="zh-CN" w:bidi="ar"/>
        </w:rPr>
        <w:t>198</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，根据油田单位多年生产经验，液固混合物质密度以2.8g/cm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计，折算后液固混合物质产生量为145</w:t>
      </w:r>
      <w:r>
        <w:rPr>
          <w:rFonts w:hint="eastAsia" w:ascii="Times New Roman" w:hAnsi="Times New Roman" w:eastAsia="宋体" w:cs="Times New Roman"/>
          <w:color w:val="auto"/>
          <w:kern w:val="0"/>
          <w:sz w:val="28"/>
          <w:szCs w:val="28"/>
          <w:highlight w:val="none"/>
          <w:lang w:val="en-US" w:eastAsia="zh-CN" w:bidi="ar"/>
        </w:rPr>
        <w:t>54</w:t>
      </w:r>
      <w:r>
        <w:rPr>
          <w:rFonts w:hint="default" w:ascii="Times New Roman" w:hAnsi="Times New Roman" w:eastAsia="宋体" w:cs="Times New Roman"/>
          <w:color w:val="auto"/>
          <w:kern w:val="0"/>
          <w:sz w:val="28"/>
          <w:szCs w:val="28"/>
          <w:highlight w:val="none"/>
          <w:lang w:val="en-US" w:eastAsia="zh-CN" w:bidi="ar"/>
        </w:rPr>
        <w:t>；产生的废弃油基钻井液为4484t，处理站新增负荷后该站负荷率为29%，处理能力满足本项目依托需求。</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该站已在大庆市云泰石化产品有限公司《废弃泥浆无害化处理油基泥浆站项目》中进行了环境影响评价，环评批复文号为庆环审〔2020〕21号，目前正在组织验收。</w:t>
      </w:r>
    </w:p>
    <w:p>
      <w:pPr>
        <w:pStyle w:val="6"/>
        <w:keepNext/>
        <w:keepLines/>
        <w:pageBreakBefore w:val="0"/>
        <w:numPr>
          <w:ilvl w:val="0"/>
          <w:numId w:val="0"/>
        </w:numPr>
        <w:bidi w:val="0"/>
        <w:spacing w:before="78" w:beforeLines="25" w:beforeAutospacing="0" w:after="78" w:afterLines="25" w:afterAutospacing="0" w:line="360" w:lineRule="auto"/>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drawing>
          <wp:inline distT="0" distB="0" distL="114300" distR="114300">
            <wp:extent cx="5260340" cy="2007235"/>
            <wp:effectExtent l="0" t="0" r="16510" b="12065"/>
            <wp:docPr id="17" name="图片 8" descr="废弃泥浆无害化处理油基泥浆站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废弃泥浆无害化处理油基泥浆站工艺流程图"/>
                    <pic:cNvPicPr>
                      <a:picLocks noChangeAspect="1"/>
                    </pic:cNvPicPr>
                  </pic:nvPicPr>
                  <pic:blipFill>
                    <a:blip r:embed="rId18"/>
                    <a:stretch>
                      <a:fillRect/>
                    </a:stretch>
                  </pic:blipFill>
                  <pic:spPr>
                    <a:xfrm>
                      <a:off x="0" y="0"/>
                      <a:ext cx="5260340" cy="2007235"/>
                    </a:xfrm>
                    <a:prstGeom prst="rect">
                      <a:avLst/>
                    </a:prstGeom>
                    <a:noFill/>
                    <a:ln>
                      <a:noFill/>
                    </a:ln>
                  </pic:spPr>
                </pic:pic>
              </a:graphicData>
            </a:graphic>
          </wp:inline>
        </w:drawing>
      </w:r>
    </w:p>
    <w:p>
      <w:pPr>
        <w:keepNext w:val="0"/>
        <w:keepLines w:val="0"/>
        <w:widowControl/>
        <w:suppressLineNumbers w:val="0"/>
        <w:jc w:val="center"/>
        <w:rPr>
          <w:rFonts w:hint="default"/>
          <w:color w:val="auto"/>
          <w:highlight w:val="none"/>
          <w:lang w:val="en-US" w:eastAsia="zh-CN"/>
        </w:rPr>
      </w:pPr>
      <w:r>
        <w:rPr>
          <w:rFonts w:hint="eastAsia" w:ascii="宋体" w:hAnsi="宋体" w:eastAsia="宋体" w:cs="宋体"/>
          <w:b/>
          <w:bCs/>
          <w:color w:val="auto"/>
          <w:kern w:val="0"/>
          <w:sz w:val="24"/>
          <w:szCs w:val="24"/>
          <w:highlight w:val="none"/>
          <w:lang w:val="en-US" w:eastAsia="zh-CN" w:bidi="ar"/>
        </w:rPr>
        <w:t>图</w:t>
      </w:r>
      <w:r>
        <w:rPr>
          <w:rFonts w:hint="default" w:ascii="Times New Roman" w:hAnsi="Times New Roman" w:eastAsia="宋体" w:cs="Times New Roman"/>
          <w:b/>
          <w:bCs/>
          <w:color w:val="auto"/>
          <w:kern w:val="0"/>
          <w:sz w:val="24"/>
          <w:szCs w:val="24"/>
          <w:highlight w:val="none"/>
          <w:lang w:val="en-US" w:eastAsia="zh-CN" w:bidi="ar"/>
        </w:rPr>
        <w:t>3.1-</w:t>
      </w:r>
      <w:r>
        <w:rPr>
          <w:rFonts w:hint="eastAsia" w:ascii="Times New Roman" w:hAnsi="Times New Roman" w:eastAsia="宋体" w:cs="Times New Roman"/>
          <w:b/>
          <w:bCs/>
          <w:color w:val="auto"/>
          <w:kern w:val="0"/>
          <w:sz w:val="24"/>
          <w:szCs w:val="24"/>
          <w:highlight w:val="none"/>
          <w:lang w:val="en-US" w:eastAsia="zh-CN" w:bidi="ar"/>
        </w:rPr>
        <w:t>9</w:t>
      </w:r>
      <w:r>
        <w:rPr>
          <w:rFonts w:hint="eastAsia" w:ascii="宋体" w:hAnsi="宋体" w:eastAsia="宋体" w:cs="宋体"/>
          <w:b/>
          <w:bCs/>
          <w:color w:val="auto"/>
          <w:kern w:val="0"/>
          <w:sz w:val="24"/>
          <w:szCs w:val="24"/>
          <w:highlight w:val="none"/>
          <w:lang w:val="en-US" w:eastAsia="zh-CN" w:bidi="ar"/>
        </w:rPr>
        <w:t>废弃泥浆无害化处理油基泥浆站工艺流程图</w:t>
      </w:r>
    </w:p>
    <w:p>
      <w:pPr>
        <w:pStyle w:val="6"/>
        <w:keepNext/>
        <w:keepLines/>
        <w:pageBreakBefore w:val="0"/>
        <w:numPr>
          <w:ilvl w:val="0"/>
          <w:numId w:val="0"/>
        </w:numPr>
        <w:bidi w:val="0"/>
        <w:spacing w:before="78" w:beforeLines="25" w:beforeAutospacing="0" w:after="78" w:afterLines="25" w:afterAutospacing="0" w:line="360" w:lineRule="auto"/>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3.2区域回顾性评价及现存环境问题</w:t>
      </w:r>
      <w:bookmarkEnd w:id="103"/>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.1现有区块开发情况</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本项目位于大庆市肇州</w:t>
      </w:r>
      <w:r>
        <w:rPr>
          <w:rFonts w:hint="default" w:ascii="Times New Roman" w:hAnsi="Times New Roman" w:cs="Times New Roman"/>
          <w:color w:val="auto"/>
          <w:sz w:val="28"/>
          <w:szCs w:val="28"/>
          <w:highlight w:val="none"/>
        </w:rPr>
        <w:t>双发乡境内</w:t>
      </w:r>
      <w:r>
        <w:rPr>
          <w:rFonts w:hint="eastAsia" w:ascii="Times New Roman" w:hAnsi="Times New Roman" w:eastAsia="宋体" w:cs="Times New Roman"/>
          <w:color w:val="auto"/>
          <w:kern w:val="0"/>
          <w:sz w:val="28"/>
          <w:szCs w:val="28"/>
          <w:highlight w:val="none"/>
          <w:lang w:val="en-US" w:eastAsia="zh-CN" w:bidi="ar"/>
        </w:rPr>
        <w:t>，位于已开发肇深16区块内。</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肇深16区块位于</w:t>
      </w:r>
      <w:r>
        <w:rPr>
          <w:rFonts w:hint="default" w:ascii="Times New Roman" w:hAnsi="Times New Roman" w:cs="Times New Roman"/>
          <w:color w:val="auto"/>
          <w:sz w:val="28"/>
          <w:szCs w:val="28"/>
          <w:highlight w:val="none"/>
        </w:rPr>
        <w:t>大庆市肇州县北侧12km，双发乡境内</w:t>
      </w:r>
      <w:r>
        <w:rPr>
          <w:rFonts w:hint="eastAsia" w:ascii="Times New Roman" w:hAnsi="Times New Roman" w:cs="Times New Roman"/>
          <w:color w:val="auto"/>
          <w:sz w:val="28"/>
          <w:szCs w:val="28"/>
          <w:highlight w:val="none"/>
          <w:lang w:eastAsia="zh-CN"/>
        </w:rPr>
        <w:t>。</w:t>
      </w:r>
      <w:r>
        <w:rPr>
          <w:rFonts w:hint="default" w:ascii="Times New Roman" w:hAnsi="Times New Roman" w:eastAsia="宋体" w:cs="Times New Roman"/>
          <w:color w:val="auto"/>
          <w:kern w:val="0"/>
          <w:sz w:val="28"/>
          <w:szCs w:val="28"/>
          <w:highlight w:val="none"/>
          <w:lang w:val="en-US" w:eastAsia="zh-CN" w:bidi="ar"/>
        </w:rPr>
        <w:t>区块</w:t>
      </w:r>
      <w:r>
        <w:rPr>
          <w:rFonts w:hint="default" w:ascii="Times New Roman" w:hAnsi="Times New Roman" w:cs="Times New Roman"/>
          <w:color w:val="auto"/>
          <w:sz w:val="28"/>
          <w:szCs w:val="28"/>
          <w:highlight w:val="none"/>
          <w:lang w:eastAsia="zh-CN"/>
        </w:rPr>
        <w:t>构造位于松辽盆地北部深层构造单元东南断陷区徐家围子断陷徐西斜坡带中部，为典型的鼻状构造</w:t>
      </w:r>
      <w:r>
        <w:rPr>
          <w:rFonts w:hint="eastAsia" w:ascii="Times New Roman" w:hAnsi="Times New Roman" w:cs="Times New Roman"/>
          <w:color w:val="auto"/>
          <w:sz w:val="28"/>
          <w:szCs w:val="28"/>
          <w:highlight w:val="none"/>
          <w:lang w:eastAsia="zh-CN"/>
        </w:rPr>
        <w:t>。</w:t>
      </w:r>
      <w:r>
        <w:rPr>
          <w:rFonts w:hint="eastAsia" w:ascii="Times New Roman" w:hAnsi="Times New Roman" w:eastAsia="宋体" w:cs="Times New Roman"/>
          <w:color w:val="auto"/>
          <w:kern w:val="0"/>
          <w:sz w:val="28"/>
          <w:szCs w:val="28"/>
          <w:highlight w:val="none"/>
          <w:lang w:val="en-US" w:eastAsia="zh-CN" w:bidi="ar"/>
        </w:rPr>
        <w:t>西侧为古中央隆起带，东侧紧邻徐西深洼带，产气层段主要为营城组火山岩地层，营城组顶面海拔-3000m~-3500m。</w:t>
      </w:r>
    </w:p>
    <w:p>
      <w:pPr>
        <w:keepNext w:val="0"/>
        <w:keepLines w:val="0"/>
        <w:widowControl/>
        <w:suppressLineNumbers w:val="0"/>
        <w:ind w:firstLine="560" w:firstLineChars="200"/>
        <w:jc w:val="both"/>
        <w:rPr>
          <w:rFonts w:hint="eastAsia" w:ascii="Times New Roman" w:hAnsi="Times New Roman" w:cs="Times New Roman"/>
          <w:color w:val="auto"/>
          <w:sz w:val="28"/>
          <w:szCs w:val="28"/>
          <w:highlight w:val="none"/>
          <w:lang w:eastAsia="zh-CN"/>
        </w:rPr>
      </w:pPr>
      <w:r>
        <w:rPr>
          <w:rFonts w:hint="eastAsia" w:ascii="Times New Roman" w:hAnsi="Times New Roman" w:cs="Times New Roman"/>
          <w:color w:val="auto"/>
          <w:sz w:val="28"/>
          <w:szCs w:val="28"/>
          <w:highlight w:val="none"/>
          <w:lang w:eastAsia="zh-CN"/>
        </w:rPr>
        <w:t>区域内以耕地为主，分布有少量的零散气井，区域内主要道路系统为明沈路，</w:t>
      </w:r>
      <w:r>
        <w:rPr>
          <w:rFonts w:hint="eastAsia" w:ascii="Times New Roman" w:hAnsi="Times New Roman" w:cs="Times New Roman"/>
          <w:color w:val="auto"/>
          <w:sz w:val="28"/>
          <w:szCs w:val="28"/>
          <w:highlight w:val="none"/>
          <w:lang w:val="en-US" w:eastAsia="zh-CN"/>
        </w:rPr>
        <w:t>走向由北到南穿越区块西侧边界</w:t>
      </w:r>
      <w:r>
        <w:rPr>
          <w:rFonts w:hint="eastAsia" w:ascii="Times New Roman" w:hAnsi="Times New Roman" w:cs="Times New Roman"/>
          <w:color w:val="auto"/>
          <w:sz w:val="28"/>
          <w:szCs w:val="28"/>
          <w:highlight w:val="none"/>
          <w:lang w:eastAsia="zh-CN"/>
        </w:rPr>
        <w:t>，另外在区域内还分布有多条村屯道路，交通较为便利。</w:t>
      </w:r>
    </w:p>
    <w:p>
      <w:pPr>
        <w:keepNext w:val="0"/>
        <w:keepLines w:val="0"/>
        <w:widowControl/>
        <w:suppressLineNumbers w:val="0"/>
        <w:ind w:firstLine="560" w:firstLineChars="200"/>
        <w:jc w:val="both"/>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区块内已</w:t>
      </w:r>
      <w:r>
        <w:rPr>
          <w:rFonts w:hint="eastAsia" w:ascii="Times New Roman" w:hAnsi="Times New Roman" w:cs="Times New Roman"/>
          <w:color w:val="auto"/>
          <w:sz w:val="28"/>
          <w:szCs w:val="28"/>
          <w:highlight w:val="none"/>
          <w:lang w:val="en-US" w:eastAsia="zh-CN"/>
        </w:rPr>
        <w:t>建</w:t>
      </w:r>
      <w:r>
        <w:rPr>
          <w:rFonts w:hint="default" w:ascii="Times New Roman" w:hAnsi="Times New Roman" w:cs="Times New Roman"/>
          <w:color w:val="auto"/>
          <w:sz w:val="28"/>
          <w:szCs w:val="28"/>
          <w:highlight w:val="none"/>
          <w:lang w:val="en-US" w:eastAsia="zh-CN"/>
        </w:rPr>
        <w:t>天然气开发井</w:t>
      </w:r>
      <w:r>
        <w:rPr>
          <w:rFonts w:hint="eastAsia" w:ascii="Times New Roman" w:hAnsi="Times New Roman"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val="en-US" w:eastAsia="zh-CN"/>
        </w:rPr>
        <w:t>口</w:t>
      </w:r>
      <w:r>
        <w:rPr>
          <w:rFonts w:hint="eastAsia" w:ascii="Times New Roman" w:hAnsi="Times New Roman" w:cs="Times New Roman"/>
          <w:color w:val="auto"/>
          <w:sz w:val="28"/>
          <w:szCs w:val="28"/>
          <w:highlight w:val="none"/>
          <w:lang w:val="en-US" w:eastAsia="zh-CN"/>
        </w:rPr>
        <w:t>。其中4口已投产采气，2口正在进行地面基础建设，1口为报废井。区块内共有集气站1座，为肇深16集气站，4口投产气井及集气站正在组织环保验收。</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肇深</w:t>
      </w:r>
      <w:r>
        <w:rPr>
          <w:rFonts w:hint="default" w:ascii="Times New Roman" w:hAnsi="Times New Roman" w:eastAsia="宋体" w:cs="Times New Roman"/>
          <w:color w:val="auto"/>
          <w:kern w:val="0"/>
          <w:sz w:val="28"/>
          <w:szCs w:val="28"/>
          <w:highlight w:val="none"/>
          <w:lang w:val="en-US" w:eastAsia="zh-CN" w:bidi="ar"/>
        </w:rPr>
        <w:t>16</w:t>
      </w:r>
      <w:r>
        <w:rPr>
          <w:rFonts w:hint="eastAsia" w:ascii="Times New Roman" w:hAnsi="Times New Roman" w:eastAsia="宋体" w:cs="Times New Roman"/>
          <w:color w:val="auto"/>
          <w:kern w:val="0"/>
          <w:sz w:val="28"/>
          <w:szCs w:val="28"/>
          <w:highlight w:val="none"/>
          <w:lang w:val="en-US" w:eastAsia="zh-CN" w:bidi="ar"/>
        </w:rPr>
        <w:t>区块于2007年获工业气流，探明地质储量</w:t>
      </w:r>
      <w:r>
        <w:rPr>
          <w:rFonts w:hint="default" w:ascii="Times New Roman" w:hAnsi="Times New Roman" w:eastAsia="宋体" w:cs="Times New Roman"/>
          <w:color w:val="auto"/>
          <w:kern w:val="0"/>
          <w:sz w:val="28"/>
          <w:szCs w:val="28"/>
          <w:highlight w:val="none"/>
          <w:lang w:val="en-US" w:eastAsia="zh-CN" w:bidi="ar"/>
        </w:rPr>
        <w:t>169.72×10</w:t>
      </w:r>
      <w:r>
        <w:rPr>
          <w:rFonts w:hint="default" w:ascii="Times New Roman" w:hAnsi="Times New Roman" w:eastAsia="宋体" w:cs="Times New Roman"/>
          <w:color w:val="auto"/>
          <w:kern w:val="0"/>
          <w:sz w:val="28"/>
          <w:szCs w:val="28"/>
          <w:highlight w:val="none"/>
          <w:vertAlign w:val="superscript"/>
          <w:lang w:val="en-US" w:eastAsia="zh-CN" w:bidi="ar"/>
        </w:rPr>
        <w:t>8</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，含气面积</w:t>
      </w:r>
      <w:r>
        <w:rPr>
          <w:rFonts w:hint="default" w:ascii="Times New Roman" w:hAnsi="Times New Roman" w:eastAsia="宋体" w:cs="Times New Roman"/>
          <w:color w:val="auto"/>
          <w:kern w:val="0"/>
          <w:sz w:val="28"/>
          <w:szCs w:val="28"/>
          <w:highlight w:val="none"/>
          <w:lang w:val="en-US" w:eastAsia="zh-CN" w:bidi="ar"/>
        </w:rPr>
        <w:t>11.11km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vertAlign w:val="baseline"/>
          <w:lang w:val="en-US" w:eastAsia="zh-CN" w:bidi="ar"/>
        </w:rPr>
        <w:t>，烃类气体136.32×10</w:t>
      </w:r>
      <w:r>
        <w:rPr>
          <w:rFonts w:hint="eastAsia" w:ascii="Times New Roman" w:hAnsi="Times New Roman" w:eastAsia="宋体" w:cs="Times New Roman"/>
          <w:color w:val="auto"/>
          <w:kern w:val="0"/>
          <w:sz w:val="28"/>
          <w:szCs w:val="28"/>
          <w:highlight w:val="none"/>
          <w:vertAlign w:val="superscript"/>
          <w:lang w:val="en-US" w:eastAsia="zh-CN" w:bidi="ar"/>
        </w:rPr>
        <w:t>8</w:t>
      </w:r>
      <w:r>
        <w:rPr>
          <w:rFonts w:hint="eastAsia" w:ascii="Times New Roman" w:hAnsi="Times New Roman" w:eastAsia="宋体" w:cs="Times New Roman"/>
          <w:color w:val="auto"/>
          <w:kern w:val="0"/>
          <w:sz w:val="28"/>
          <w:szCs w:val="28"/>
          <w:highlight w:val="none"/>
          <w:vertAlign w:val="baseli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vertAlign w:val="baseline"/>
          <w:lang w:val="en-US" w:eastAsia="zh-CN" w:bidi="ar"/>
        </w:rPr>
        <w:t>，CO</w:t>
      </w:r>
      <w:r>
        <w:rPr>
          <w:rFonts w:hint="eastAsia" w:ascii="Times New Roman" w:hAnsi="Times New Roman" w:eastAsia="宋体" w:cs="Times New Roman"/>
          <w:color w:val="auto"/>
          <w:kern w:val="0"/>
          <w:sz w:val="28"/>
          <w:szCs w:val="28"/>
          <w:highlight w:val="none"/>
          <w:vertAlign w:val="subscript"/>
          <w:lang w:val="en-US" w:eastAsia="zh-CN" w:bidi="ar"/>
        </w:rPr>
        <w:t xml:space="preserve">2  </w:t>
      </w:r>
      <w:r>
        <w:rPr>
          <w:rFonts w:hint="eastAsia" w:ascii="Times New Roman" w:hAnsi="Times New Roman" w:eastAsia="宋体" w:cs="Times New Roman"/>
          <w:color w:val="auto"/>
          <w:kern w:val="0"/>
          <w:sz w:val="28"/>
          <w:szCs w:val="28"/>
          <w:highlight w:val="none"/>
          <w:vertAlign w:val="baseline"/>
          <w:lang w:val="en-US" w:eastAsia="zh-CN" w:bidi="ar"/>
        </w:rPr>
        <w:t>33.40×10</w:t>
      </w:r>
      <w:r>
        <w:rPr>
          <w:rFonts w:hint="eastAsia" w:ascii="Times New Roman" w:hAnsi="Times New Roman" w:eastAsia="宋体" w:cs="Times New Roman"/>
          <w:color w:val="auto"/>
          <w:kern w:val="0"/>
          <w:sz w:val="28"/>
          <w:szCs w:val="28"/>
          <w:highlight w:val="none"/>
          <w:vertAlign w:val="superscript"/>
          <w:lang w:val="en-US" w:eastAsia="zh-CN" w:bidi="ar"/>
        </w:rPr>
        <w:t>8</w:t>
      </w:r>
      <w:r>
        <w:rPr>
          <w:rFonts w:hint="eastAsia" w:ascii="Times New Roman" w:hAnsi="Times New Roman" w:eastAsia="宋体" w:cs="Times New Roman"/>
          <w:color w:val="auto"/>
          <w:kern w:val="0"/>
          <w:sz w:val="28"/>
          <w:szCs w:val="28"/>
          <w:highlight w:val="none"/>
          <w:vertAlign w:val="baseli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vertAlign w:val="baseline"/>
          <w:lang w:val="en-US" w:eastAsia="zh-CN" w:bidi="ar"/>
        </w:rPr>
        <w:t>。</w:t>
      </w:r>
      <w:r>
        <w:rPr>
          <w:rFonts w:hint="eastAsia" w:ascii="Times New Roman" w:hAnsi="Times New Roman" w:eastAsia="宋体" w:cs="Times New Roman"/>
          <w:color w:val="auto"/>
          <w:kern w:val="0"/>
          <w:sz w:val="28"/>
          <w:szCs w:val="28"/>
          <w:highlight w:val="none"/>
          <w:lang w:val="en-US" w:eastAsia="zh-CN" w:bidi="ar"/>
        </w:rPr>
        <w:t>截止2020年位置，肇深16区块</w:t>
      </w:r>
      <w:r>
        <w:rPr>
          <w:rFonts w:hint="default" w:ascii="Times New Roman" w:hAnsi="Times New Roman" w:eastAsia="宋体" w:cs="Times New Roman"/>
          <w:color w:val="auto"/>
          <w:kern w:val="0"/>
          <w:sz w:val="28"/>
          <w:szCs w:val="28"/>
          <w:highlight w:val="none"/>
          <w:lang w:val="en-US" w:eastAsia="zh-CN" w:bidi="ar"/>
        </w:rPr>
        <w:t>已提交218.00×10</w:t>
      </w:r>
      <w:r>
        <w:rPr>
          <w:rFonts w:hint="default" w:ascii="Times New Roman" w:hAnsi="Times New Roman" w:eastAsia="宋体" w:cs="Times New Roman"/>
          <w:color w:val="auto"/>
          <w:kern w:val="0"/>
          <w:sz w:val="28"/>
          <w:szCs w:val="28"/>
          <w:highlight w:val="none"/>
          <w:vertAlign w:val="superscript"/>
          <w:lang w:val="en-US" w:eastAsia="zh-CN" w:bidi="ar"/>
        </w:rPr>
        <w:t>8</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预测储量</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肇深16区块营城组火山岩和砂砾岩均有发育，火山岩地层按酸性和中基性分2个旋回，4个喷发期次。营一段火山岩层层超覆在徐西断裂面上，由早期至晚期火山岩分布范围逐渐增大，徐西断裂控制火山岩地层沉积。肇深16区块营一段火山岩地层主产层为营一段Ⅰ气层组1小层，yc</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Ⅰ</w:t>
      </w:r>
      <w:r>
        <w:rPr>
          <w:rFonts w:hint="eastAsia" w:ascii="Times New Roman" w:hAnsi="Times New Roman" w:eastAsia="宋体" w:cs="Times New Roman"/>
          <w:color w:val="auto"/>
          <w:kern w:val="0"/>
          <w:sz w:val="28"/>
          <w:szCs w:val="28"/>
          <w:highlight w:val="none"/>
          <w:vertAlign w:val="super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地层。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全区区域构造呈西高东低的特征，发育多种圈闭类型，以断鼻圈闭和火山岩地层超覆在徐西断裂面上形成的地层圈闭为主，圈闭面积一般均小于1km2，闭合幅度以小于60m为主。主产层顶面在西高东低构造背景下，沿徐西断裂发育6个圈闭，圈闭面积总计5.12km2。有2个地层厚度高值区，肇深19井区最大厚度160m，肇深16井区最大厚度140m。</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营一段火山岩层段断层具有数量少、延伸短、断距小的特征，多数断层对气藏没有明显控制作用；徐西断裂、F1断裂控制气藏分布，靠近徐西断裂、F1断裂的构造高部位有利成藏。</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肇深16区块气藏分布受构造、岩性双重控制，气水关系复杂，气水界面不统一，整体表现为上气下水，工业气流层主要分布于火山岩顶部，属于构造-岩性气藏，是以甲烷为主的干气气藏，CO</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含量较高，根据肇深19井的勘探，CO</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平均含量25.5%。</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本次天然气开发井开采目的层为营一段Ⅰ组气层（yc</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Ⅰ</w:t>
      </w:r>
      <w:r>
        <w:rPr>
          <w:rFonts w:hint="eastAsia" w:ascii="Times New Roman" w:hAnsi="Times New Roman" w:eastAsia="宋体" w:cs="Times New Roman"/>
          <w:color w:val="auto"/>
          <w:kern w:val="0"/>
          <w:sz w:val="28"/>
          <w:szCs w:val="28"/>
          <w:highlight w:val="none"/>
          <w:vertAlign w:val="super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），为营一段火山岩主产层，最大有效厚度为158m，面积35.9km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bookmarkStart w:id="104" w:name="_Toc70050191"/>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.2区块开发历程</w:t>
      </w:r>
      <w:bookmarkEnd w:id="104"/>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本项目所在气田区块气井投产情况见下表。</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zh-CN" w:eastAsia="zh-CN" w:bidi="ar"/>
        </w:rPr>
        <w:t>表3.</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zh-CN" w:eastAsia="zh-CN" w:bidi="ar"/>
        </w:rPr>
        <w:t>-</w:t>
      </w:r>
      <w:r>
        <w:rPr>
          <w:rFonts w:hint="eastAsia" w:ascii="Times New Roman" w:hAnsi="Times New Roman" w:eastAsia="宋体"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气田区块气井投产情况</w:t>
      </w:r>
      <w:r>
        <w:rPr>
          <w:rFonts w:hint="eastAsia" w:ascii="Times New Roman" w:hAnsi="Times New Roman" w:eastAsia="宋体" w:cs="Times New Roman"/>
          <w:b/>
          <w:bCs/>
          <w:color w:val="auto"/>
          <w:kern w:val="0"/>
          <w:sz w:val="24"/>
          <w:szCs w:val="24"/>
          <w:highlight w:val="none"/>
          <w:lang w:val="en-US" w:eastAsia="zh-CN" w:bidi="ar"/>
        </w:rPr>
        <w:t>一览</w:t>
      </w:r>
      <w:r>
        <w:rPr>
          <w:rFonts w:hint="default" w:ascii="Times New Roman" w:hAnsi="Times New Roman" w:eastAsia="宋体" w:cs="Times New Roman"/>
          <w:b/>
          <w:bCs/>
          <w:color w:val="auto"/>
          <w:kern w:val="0"/>
          <w:sz w:val="24"/>
          <w:szCs w:val="24"/>
          <w:highlight w:val="none"/>
          <w:lang w:val="en-US" w:eastAsia="zh-CN" w:bidi="ar"/>
        </w:rPr>
        <w:t>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66"/>
        <w:gridCol w:w="1560"/>
        <w:gridCol w:w="937"/>
        <w:gridCol w:w="1288"/>
        <w:gridCol w:w="1312"/>
        <w:gridCol w:w="1760"/>
        <w:gridCol w:w="10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井号</w:t>
            </w:r>
          </w:p>
        </w:tc>
        <w:tc>
          <w:tcPr>
            <w:tcW w:w="9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井型</w:t>
            </w:r>
          </w:p>
        </w:tc>
        <w:tc>
          <w:tcPr>
            <w:tcW w:w="11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完钻时间</w:t>
            </w: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投产时间</w:t>
            </w:r>
          </w:p>
        </w:tc>
        <w:tc>
          <w:tcPr>
            <w:tcW w:w="17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产能（截止2022年5月，累积产量10</w:t>
            </w:r>
            <w:r>
              <w:rPr>
                <w:rFonts w:hint="eastAsia" w:ascii="Times New Roman" w:hAnsi="Times New Roman" w:cs="Times New Roman"/>
                <w:color w:val="auto"/>
                <w:sz w:val="24"/>
                <w:szCs w:val="24"/>
                <w:highlight w:val="none"/>
                <w:vertAlign w:val="superscript"/>
                <w:lang w:val="en-US" w:eastAsia="zh-CN"/>
              </w:rPr>
              <w:t>4</w:t>
            </w:r>
            <w:r>
              <w:rPr>
                <w:rFonts w:hint="eastAsia"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肇深16</w:t>
            </w:r>
          </w:p>
        </w:tc>
        <w:tc>
          <w:tcPr>
            <w:tcW w:w="9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直井</w:t>
            </w:r>
          </w:p>
        </w:tc>
        <w:tc>
          <w:tcPr>
            <w:tcW w:w="11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2011.9.26</w:t>
            </w: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2021.9.28</w:t>
            </w:r>
          </w:p>
        </w:tc>
        <w:tc>
          <w:tcPr>
            <w:tcW w:w="17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1418.0122</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肇深16-1</w:t>
            </w:r>
          </w:p>
        </w:tc>
        <w:tc>
          <w:tcPr>
            <w:tcW w:w="9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直井</w:t>
            </w:r>
          </w:p>
        </w:tc>
        <w:tc>
          <w:tcPr>
            <w:tcW w:w="11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2020.5.8</w:t>
            </w: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2021.9.14</w:t>
            </w:r>
          </w:p>
        </w:tc>
        <w:tc>
          <w:tcPr>
            <w:tcW w:w="17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1371.394</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肇深16-平1</w:t>
            </w:r>
          </w:p>
        </w:tc>
        <w:tc>
          <w:tcPr>
            <w:tcW w:w="9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水平井</w:t>
            </w:r>
          </w:p>
        </w:tc>
        <w:tc>
          <w:tcPr>
            <w:tcW w:w="11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2020.7.17</w:t>
            </w: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2021.9.8</w:t>
            </w:r>
          </w:p>
        </w:tc>
        <w:tc>
          <w:tcPr>
            <w:tcW w:w="17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4080.2352</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肇深19-平1</w:t>
            </w:r>
          </w:p>
        </w:tc>
        <w:tc>
          <w:tcPr>
            <w:tcW w:w="9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水平井</w:t>
            </w:r>
          </w:p>
        </w:tc>
        <w:tc>
          <w:tcPr>
            <w:tcW w:w="11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2020.7.31</w:t>
            </w: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2021.10.17</w:t>
            </w:r>
          </w:p>
        </w:tc>
        <w:tc>
          <w:tcPr>
            <w:tcW w:w="17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3906.4929</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肇深19井</w:t>
            </w:r>
          </w:p>
        </w:tc>
        <w:tc>
          <w:tcPr>
            <w:tcW w:w="9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2012.11.12</w:t>
            </w:r>
          </w:p>
        </w:tc>
        <w:tc>
          <w:tcPr>
            <w:tcW w:w="131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2013.3.2</w:t>
            </w:r>
          </w:p>
        </w:tc>
        <w:tc>
          <w:tcPr>
            <w:tcW w:w="17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报废井</w:t>
            </w:r>
          </w:p>
        </w:tc>
      </w:tr>
    </w:tbl>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区块内</w:t>
      </w:r>
      <w:r>
        <w:rPr>
          <w:rFonts w:hint="default" w:ascii="Times New Roman" w:hAnsi="Times New Roman" w:eastAsia="宋体" w:cs="Times New Roman"/>
          <w:color w:val="auto"/>
          <w:kern w:val="0"/>
          <w:sz w:val="28"/>
          <w:szCs w:val="28"/>
          <w:highlight w:val="none"/>
          <w:lang w:val="en-US" w:eastAsia="zh-CN" w:bidi="ar"/>
        </w:rPr>
        <w:t>现有工程环评及验收情况见下表。</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zh-CN" w:eastAsia="zh-CN" w:bidi="ar"/>
        </w:rPr>
        <w:t>表3.</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zh-CN" w:eastAsia="zh-CN" w:bidi="ar"/>
        </w:rPr>
        <w:t>-</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现有工程环评及验收情况调查表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44"/>
        <w:gridCol w:w="3514"/>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3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区块内现有项目名称</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环评批复</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验收情况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3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大庆油田2010年勘探工程肇州地区钻探项目环境影响报告表</w:t>
            </w:r>
            <w:r>
              <w:rPr>
                <w:rFonts w:hint="eastAsia" w:ascii="Times New Roman" w:hAnsi="Times New Roman" w:cs="Times New Roman"/>
                <w:color w:val="auto"/>
                <w:sz w:val="24"/>
                <w:szCs w:val="24"/>
                <w:highlight w:val="none"/>
                <w:vertAlign w:val="baseline"/>
                <w:lang w:val="en-US" w:eastAsia="zh-CN"/>
              </w:rPr>
              <w:t>》</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庆环建字[2011]180号</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已完成自主验收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3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《肇深16-平1等3口井钻井工程环境影响报告表》</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庆环审[2019]210号</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正在组织验收中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3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《徐深气田肇深16区块2020年产能建设地面工程（一期）环境影响报告书》</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庆环审〔</w:t>
            </w:r>
            <w:r>
              <w:rPr>
                <w:rFonts w:hint="eastAsia" w:ascii="Times New Roman" w:hAnsi="Times New Roman" w:cs="Times New Roman"/>
                <w:color w:val="auto"/>
                <w:sz w:val="24"/>
                <w:szCs w:val="24"/>
                <w:highlight w:val="none"/>
                <w:vertAlign w:val="baseline"/>
                <w:lang w:val="en-US" w:eastAsia="zh-CN"/>
              </w:rPr>
              <w:t>2021</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42</w:t>
            </w:r>
            <w:r>
              <w:rPr>
                <w:rFonts w:hint="default" w:ascii="Times New Roman" w:hAnsi="Times New Roman" w:cs="Times New Roman"/>
                <w:color w:val="auto"/>
                <w:sz w:val="24"/>
                <w:szCs w:val="24"/>
                <w:highlight w:val="none"/>
                <w:vertAlign w:val="baseline"/>
                <w:lang w:val="en-US" w:eastAsia="zh-CN"/>
              </w:rPr>
              <w:t>号</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正在组织验收中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3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《徐深气田肇深16区块2020年产能建设地面工程（</w:t>
            </w:r>
            <w:r>
              <w:rPr>
                <w:rFonts w:hint="eastAsia" w:ascii="Times New Roman" w:hAnsi="Times New Roman" w:cs="Times New Roman"/>
                <w:color w:val="auto"/>
                <w:sz w:val="24"/>
                <w:szCs w:val="24"/>
                <w:highlight w:val="none"/>
                <w:vertAlign w:val="baseline"/>
                <w:lang w:val="en-US" w:eastAsia="zh-CN"/>
              </w:rPr>
              <w:t>二</w:t>
            </w:r>
            <w:r>
              <w:rPr>
                <w:rFonts w:hint="default" w:ascii="Times New Roman" w:hAnsi="Times New Roman" w:cs="Times New Roman"/>
                <w:color w:val="auto"/>
                <w:sz w:val="24"/>
                <w:szCs w:val="24"/>
                <w:highlight w:val="none"/>
                <w:vertAlign w:val="baseline"/>
                <w:lang w:val="en-US" w:eastAsia="zh-CN"/>
              </w:rPr>
              <w:t>期）环境影响报告书》</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庆环审〔</w:t>
            </w:r>
            <w:r>
              <w:rPr>
                <w:rFonts w:hint="eastAsia" w:ascii="Times New Roman" w:hAnsi="Times New Roman" w:cs="Times New Roman"/>
                <w:color w:val="auto"/>
                <w:sz w:val="24"/>
                <w:szCs w:val="24"/>
                <w:highlight w:val="none"/>
                <w:vertAlign w:val="baseline"/>
                <w:lang w:val="en-US" w:eastAsia="zh-CN"/>
              </w:rPr>
              <w:t>2021</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56</w:t>
            </w:r>
            <w:r>
              <w:rPr>
                <w:rFonts w:hint="default" w:ascii="Times New Roman" w:hAnsi="Times New Roman" w:cs="Times New Roman"/>
                <w:color w:val="auto"/>
                <w:sz w:val="24"/>
                <w:szCs w:val="24"/>
                <w:highlight w:val="none"/>
                <w:vertAlign w:val="baseline"/>
                <w:lang w:val="en-US" w:eastAsia="zh-CN"/>
              </w:rPr>
              <w:t>号</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正在组织验收中</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2.3区域回顾性评价及现存环境问题</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（1）现有工程污染物排放情况</w:t>
      </w:r>
    </w:p>
    <w:p>
      <w:pPr>
        <w:keepNext w:val="0"/>
        <w:keepLines w:val="0"/>
        <w:widowControl/>
        <w:suppressLineNumbers w:val="0"/>
        <w:spacing w:line="360" w:lineRule="auto"/>
        <w:ind w:firstLine="560" w:firstLineChars="200"/>
        <w:jc w:val="both"/>
        <w:rPr>
          <w:rFonts w:hint="default"/>
          <w:color w:val="auto"/>
          <w:highlight w:val="none"/>
          <w:lang w:val="en-US" w:eastAsia="zh-CN"/>
        </w:rPr>
      </w:pPr>
      <w:r>
        <w:rPr>
          <w:rFonts w:hint="eastAsia" w:ascii="Times New Roman" w:hAnsi="Times New Roman" w:eastAsia="宋体" w:cs="Times New Roman"/>
          <w:color w:val="auto"/>
          <w:kern w:val="0"/>
          <w:sz w:val="28"/>
          <w:szCs w:val="28"/>
          <w:highlight w:val="none"/>
          <w:lang w:val="en-US" w:eastAsia="zh-CN" w:bidi="ar"/>
        </w:rPr>
        <w:t>本项目所在区块已投产及运行的气井及集气站正在进行环保验收工作。</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（2）排污许可证执行情况</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采气分公司已取得排污许可证，管理类别为登记管理，许可证号：91230607716675409L007W。</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（3）现有工程主要环保设施情况</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本项目现有工程主要环保设施落实及运行情况见下表。</w:t>
      </w:r>
    </w:p>
    <w:p>
      <w:pP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br w:type="page"/>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表3.3-3现有工程主要环保设施落实及运行情况</w:t>
      </w:r>
    </w:p>
    <w:tbl>
      <w:tblPr>
        <w:tblStyle w:val="20"/>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9"/>
        <w:gridCol w:w="1366"/>
        <w:gridCol w:w="1295"/>
        <w:gridCol w:w="3010"/>
        <w:gridCol w:w="4016"/>
        <w:gridCol w:w="1658"/>
        <w:gridCol w:w="16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类别</w:t>
            </w:r>
          </w:p>
        </w:tc>
        <w:tc>
          <w:tcPr>
            <w:tcW w:w="4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污染源</w:t>
            </w: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环评要求污染防治设施</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实际防治措施</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落实情况</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运行情况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大气污染物控制</w:t>
            </w:r>
          </w:p>
        </w:tc>
        <w:tc>
          <w:tcPr>
            <w:tcW w:w="4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井场/集气站</w:t>
            </w: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无组织</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烃类</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密闭输油工艺</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均采用密闭管道输送；输送管道采用高压集气工艺；</w:t>
            </w:r>
            <w:r>
              <w:rPr>
                <w:rFonts w:hint="default" w:ascii="Times New Roman" w:hAnsi="Times New Roman" w:cs="Times New Roman"/>
                <w:color w:val="auto"/>
                <w:sz w:val="24"/>
                <w:szCs w:val="24"/>
                <w:highlight w:val="none"/>
                <w:vertAlign w:val="baseline"/>
                <w:lang w:val="en-US" w:eastAsia="zh-CN"/>
              </w:rPr>
              <w:t>集气站内采用加热、节流降压、多井轮换计量，三甘醇脱水后外输</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落实</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集气站</w:t>
            </w: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加热炉</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烟气</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不低于8m高排</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气筒</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排气筒高度不低于8m</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落实</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水污染物控制</w:t>
            </w:r>
          </w:p>
        </w:tc>
        <w:tc>
          <w:tcPr>
            <w:tcW w:w="48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集气站</w:t>
            </w: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气田采出水</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管输进入</w:t>
            </w:r>
            <w:r>
              <w:rPr>
                <w:rFonts w:hint="default" w:ascii="Times New Roman" w:hAnsi="Times New Roman" w:cs="Times New Roman"/>
                <w:color w:val="auto"/>
                <w:sz w:val="24"/>
                <w:szCs w:val="24"/>
                <w:highlight w:val="none"/>
                <w:vertAlign w:val="baseline"/>
                <w:lang w:val="en-US" w:eastAsia="zh-CN"/>
              </w:rPr>
              <w:t>升一联</w:t>
            </w:r>
            <w:r>
              <w:rPr>
                <w:rFonts w:hint="eastAsia" w:ascii="Times New Roman" w:hAnsi="Times New Roman" w:cs="Times New Roman"/>
                <w:color w:val="auto"/>
                <w:sz w:val="24"/>
                <w:szCs w:val="24"/>
                <w:highlight w:val="none"/>
                <w:vertAlign w:val="baseline"/>
                <w:lang w:val="en-US" w:eastAsia="zh-CN"/>
              </w:rPr>
              <w:t>气田</w:t>
            </w:r>
            <w:r>
              <w:rPr>
                <w:rFonts w:hint="default" w:ascii="Times New Roman" w:hAnsi="Times New Roman" w:cs="Times New Roman"/>
                <w:color w:val="auto"/>
                <w:sz w:val="24"/>
                <w:szCs w:val="24"/>
                <w:highlight w:val="none"/>
                <w:vertAlign w:val="baseline"/>
                <w:lang w:val="en-US" w:eastAsia="zh-CN"/>
              </w:rPr>
              <w:t>污水</w:t>
            </w:r>
            <w:r>
              <w:rPr>
                <w:rFonts w:hint="eastAsia" w:ascii="Times New Roman" w:hAnsi="Times New Roman" w:cs="Times New Roman"/>
                <w:color w:val="auto"/>
                <w:sz w:val="24"/>
                <w:szCs w:val="24"/>
                <w:highlight w:val="none"/>
                <w:vertAlign w:val="baseline"/>
                <w:lang w:val="en-US" w:eastAsia="zh-CN"/>
              </w:rPr>
              <w:t>预</w:t>
            </w:r>
            <w:r>
              <w:rPr>
                <w:rFonts w:hint="default" w:ascii="Times New Roman" w:hAnsi="Times New Roman" w:cs="Times New Roman"/>
                <w:color w:val="auto"/>
                <w:sz w:val="24"/>
                <w:szCs w:val="24"/>
                <w:highlight w:val="none"/>
                <w:vertAlign w:val="baseline"/>
                <w:lang w:val="en-US" w:eastAsia="zh-CN"/>
              </w:rPr>
              <w:t>处理站处理</w:t>
            </w:r>
            <w:r>
              <w:rPr>
                <w:rFonts w:hint="eastAsia" w:ascii="Times New Roman" w:hAnsi="Times New Roman" w:cs="Times New Roman"/>
                <w:color w:val="auto"/>
                <w:sz w:val="24"/>
                <w:szCs w:val="24"/>
                <w:highlight w:val="none"/>
                <w:vertAlign w:val="baseline"/>
                <w:lang w:val="en-US" w:eastAsia="zh-CN"/>
              </w:rPr>
              <w:t>，达标后回注</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利用设备分离余压</w:t>
            </w:r>
            <w:r>
              <w:rPr>
                <w:rFonts w:hint="default" w:ascii="Times New Roman" w:hAnsi="Times New Roman" w:cs="Times New Roman"/>
                <w:color w:val="auto"/>
                <w:sz w:val="24"/>
                <w:szCs w:val="24"/>
                <w:highlight w:val="none"/>
                <w:vertAlign w:val="baseline"/>
                <w:lang w:val="en-US" w:eastAsia="zh-CN"/>
              </w:rPr>
              <w:t>直接进入污水储罐，然后用</w:t>
            </w:r>
            <w:r>
              <w:rPr>
                <w:rFonts w:hint="eastAsia" w:ascii="Times New Roman" w:hAnsi="Times New Roman" w:cs="Times New Roman"/>
                <w:color w:val="auto"/>
                <w:sz w:val="24"/>
                <w:szCs w:val="24"/>
                <w:highlight w:val="none"/>
                <w:vertAlign w:val="baseline"/>
                <w:lang w:val="en-US" w:eastAsia="zh-CN"/>
              </w:rPr>
              <w:t>集输管网输送</w:t>
            </w:r>
            <w:r>
              <w:rPr>
                <w:rFonts w:hint="default" w:ascii="Times New Roman" w:hAnsi="Times New Roman" w:cs="Times New Roman"/>
                <w:color w:val="auto"/>
                <w:sz w:val="24"/>
                <w:szCs w:val="24"/>
                <w:highlight w:val="none"/>
                <w:vertAlign w:val="baseline"/>
                <w:lang w:val="en-US" w:eastAsia="zh-CN"/>
              </w:rPr>
              <w:t>至升一联</w:t>
            </w:r>
            <w:r>
              <w:rPr>
                <w:rFonts w:hint="eastAsia" w:ascii="Times New Roman" w:hAnsi="Times New Roman" w:cs="Times New Roman"/>
                <w:color w:val="auto"/>
                <w:sz w:val="24"/>
                <w:szCs w:val="24"/>
                <w:highlight w:val="none"/>
                <w:vertAlign w:val="baseline"/>
                <w:lang w:val="en-US" w:eastAsia="zh-CN"/>
              </w:rPr>
              <w:t>气田</w:t>
            </w:r>
            <w:r>
              <w:rPr>
                <w:rFonts w:hint="default" w:ascii="Times New Roman" w:hAnsi="Times New Roman" w:cs="Times New Roman"/>
                <w:color w:val="auto"/>
                <w:sz w:val="24"/>
                <w:szCs w:val="24"/>
                <w:highlight w:val="none"/>
                <w:vertAlign w:val="baseline"/>
                <w:lang w:val="en-US" w:eastAsia="zh-CN"/>
              </w:rPr>
              <w:t>污水</w:t>
            </w:r>
            <w:r>
              <w:rPr>
                <w:rFonts w:hint="eastAsia" w:ascii="Times New Roman" w:hAnsi="Times New Roman" w:cs="Times New Roman"/>
                <w:color w:val="auto"/>
                <w:sz w:val="24"/>
                <w:szCs w:val="24"/>
                <w:highlight w:val="none"/>
                <w:vertAlign w:val="baseline"/>
                <w:lang w:val="en-US" w:eastAsia="zh-CN"/>
              </w:rPr>
              <w:t>预</w:t>
            </w:r>
            <w:r>
              <w:rPr>
                <w:rFonts w:hint="default" w:ascii="Times New Roman" w:hAnsi="Times New Roman" w:cs="Times New Roman"/>
                <w:color w:val="auto"/>
                <w:sz w:val="24"/>
                <w:szCs w:val="24"/>
                <w:highlight w:val="none"/>
                <w:vertAlign w:val="baseline"/>
                <w:lang w:val="en-US" w:eastAsia="zh-CN"/>
              </w:rPr>
              <w:t>处理站处理</w:t>
            </w:r>
            <w:r>
              <w:rPr>
                <w:rFonts w:hint="eastAsia" w:ascii="Times New Roman" w:hAnsi="Times New Roman" w:cs="Times New Roman"/>
                <w:color w:val="auto"/>
                <w:sz w:val="24"/>
                <w:szCs w:val="24"/>
                <w:highlight w:val="none"/>
                <w:vertAlign w:val="baseline"/>
                <w:lang w:val="en-US" w:eastAsia="zh-CN"/>
              </w:rPr>
              <w:t>，处理后水质满足《大庆油田地面工程建设设计规定》（Q/SYDQ0639-2015）限值要求（含油量≤10mg/L，悬浮固体含量≤5mg/L）回注现役油层。</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落实</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8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排入集气站内防渗化粪池内，定期用汽车外运清空；化粪池采取一般防渗措施</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排入防渗化粪池内，定期用污水罐车拉运处置；化粪池采取一般防渗措施，经工程验收，防渗系数≤10</w:t>
            </w:r>
            <w:r>
              <w:rPr>
                <w:rFonts w:hint="eastAsia" w:ascii="Times New Roman" w:hAnsi="Times New Roman" w:cs="Times New Roman"/>
                <w:color w:val="auto"/>
                <w:sz w:val="24"/>
                <w:szCs w:val="24"/>
                <w:highlight w:val="none"/>
                <w:vertAlign w:val="superscript"/>
                <w:lang w:val="en-US" w:eastAsia="zh-CN"/>
              </w:rPr>
              <w:t>-7</w:t>
            </w:r>
            <w:r>
              <w:rPr>
                <w:rFonts w:hint="eastAsia" w:ascii="Times New Roman" w:hAnsi="Times New Roman" w:cs="Times New Roman"/>
                <w:color w:val="auto"/>
                <w:sz w:val="24"/>
                <w:szCs w:val="24"/>
                <w:highlight w:val="none"/>
                <w:vertAlign w:val="baseline"/>
                <w:lang w:val="en-US" w:eastAsia="zh-CN"/>
              </w:rPr>
              <w:t>cm/s，满足《环境影响评价技术导则 地下水环境》（HJ610-2016）表7一般防渗技术要求。</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落实</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48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w:t>
            </w: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压裂返排液</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肇深16-平2、肇深16-平3：</w:t>
            </w:r>
            <w:r>
              <w:rPr>
                <w:rFonts w:hint="default" w:ascii="Times New Roman" w:hAnsi="Times New Roman" w:cs="Times New Roman"/>
                <w:color w:val="auto"/>
                <w:sz w:val="24"/>
                <w:szCs w:val="24"/>
                <w:highlight w:val="none"/>
                <w:vertAlign w:val="baseline"/>
                <w:lang w:val="en-US" w:eastAsia="zh-CN"/>
              </w:rPr>
              <w:t>由罐车拉运至庆新油田开发有限责任公司卫一联合站站进行无害化处理</w:t>
            </w:r>
            <w:r>
              <w:rPr>
                <w:rFonts w:hint="eastAsia" w:ascii="Times New Roman" w:hAnsi="Times New Roman" w:cs="Times New Roman"/>
                <w:color w:val="auto"/>
                <w:sz w:val="24"/>
                <w:szCs w:val="24"/>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肇深16-1、肇深16-平1、肇深19-平1</w:t>
            </w:r>
            <w:r>
              <w:rPr>
                <w:rFonts w:hint="eastAsia" w:ascii="Times New Roman" w:hAnsi="Times New Roman" w:cs="Times New Roman"/>
                <w:color w:val="auto"/>
                <w:sz w:val="24"/>
                <w:szCs w:val="24"/>
                <w:highlight w:val="none"/>
                <w:vertAlign w:val="baseline"/>
                <w:lang w:val="en-US" w:eastAsia="zh-CN"/>
              </w:rPr>
              <w:t>：拉运至</w:t>
            </w:r>
            <w:r>
              <w:rPr>
                <w:rFonts w:hint="default" w:ascii="Times New Roman" w:hAnsi="Times New Roman" w:cs="Times New Roman"/>
                <w:color w:val="auto"/>
                <w:sz w:val="24"/>
                <w:szCs w:val="24"/>
                <w:highlight w:val="none"/>
                <w:vertAlign w:val="baseline"/>
                <w:lang w:val="en-US" w:eastAsia="zh-CN"/>
              </w:rPr>
              <w:t>第八采油厂三矿废压裂液处理站</w:t>
            </w:r>
            <w:r>
              <w:rPr>
                <w:rFonts w:hint="eastAsia" w:ascii="Times New Roman" w:hAnsi="Times New Roman" w:cs="Times New Roman"/>
                <w:color w:val="auto"/>
                <w:sz w:val="24"/>
                <w:szCs w:val="24"/>
                <w:highlight w:val="none"/>
                <w:vertAlign w:val="baseline"/>
                <w:lang w:val="en-US" w:eastAsia="zh-CN"/>
              </w:rPr>
              <w:t>处理。</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钻井期间压裂返排液均拉运至其他单位进行处置，不外排。</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落实中</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48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一般钻井污水</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泥浆进入撬式泥浆收集装置，罐车拉运至“废弃钻井液无害化处理装置”处理</w:t>
            </w:r>
            <w:r>
              <w:rPr>
                <w:rFonts w:hint="eastAsia" w:ascii="Times New Roman" w:hAnsi="Times New Roman" w:cs="Times New Roman"/>
                <w:color w:val="auto"/>
                <w:sz w:val="24"/>
                <w:szCs w:val="24"/>
                <w:highlight w:val="none"/>
                <w:vertAlign w:val="baseline"/>
                <w:lang w:val="en-US" w:eastAsia="zh-CN"/>
              </w:rPr>
              <w:t>；</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均进入有资质单位处置，不外排</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落实中</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48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含油钻井污水</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由罐车拉运至第八采油厂废弃泥浆 撬装处理站进行无害化处理</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均进入有资质单位处置，不外排</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落实中</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噪声污染控制</w:t>
            </w:r>
          </w:p>
        </w:tc>
        <w:tc>
          <w:tcPr>
            <w:tcW w:w="4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井场/集气站</w:t>
            </w: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空压</w:t>
            </w:r>
            <w:r>
              <w:rPr>
                <w:rFonts w:hint="default" w:ascii="Times New Roman" w:hAnsi="Times New Roman" w:cs="Times New Roman"/>
                <w:color w:val="auto"/>
                <w:sz w:val="24"/>
                <w:szCs w:val="24"/>
                <w:highlight w:val="none"/>
                <w:vertAlign w:val="baseline"/>
                <w:lang w:val="en-US" w:eastAsia="zh-CN"/>
              </w:rPr>
              <w:t>机泵</w:t>
            </w:r>
            <w:r>
              <w:rPr>
                <w:rFonts w:hint="eastAsia" w:ascii="Times New Roman" w:hAnsi="Times New Roman" w:cs="Times New Roman"/>
                <w:color w:val="auto"/>
                <w:sz w:val="24"/>
                <w:szCs w:val="24"/>
                <w:highlight w:val="none"/>
                <w:vertAlign w:val="baseline"/>
                <w:lang w:val="en-US" w:eastAsia="zh-CN"/>
              </w:rPr>
              <w:t>、污水泵、</w:t>
            </w:r>
            <w:r>
              <w:rPr>
                <w:rFonts w:hint="default" w:ascii="Times New Roman" w:hAnsi="Times New Roman" w:cs="Times New Roman"/>
                <w:color w:val="auto"/>
                <w:sz w:val="24"/>
                <w:szCs w:val="24"/>
                <w:highlight w:val="none"/>
                <w:vertAlign w:val="baseline"/>
                <w:lang w:val="en-US" w:eastAsia="zh-CN"/>
              </w:rPr>
              <w:t>加热炉</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安装减振垫；定期对设备进行维护及检修；合理布局</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安装减振垫；场站机泵等设备置集中布置于室内，房间安装隔音门房</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落实</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固废污染控制</w:t>
            </w:r>
          </w:p>
        </w:tc>
        <w:tc>
          <w:tcPr>
            <w:tcW w:w="4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井场/集气站</w:t>
            </w: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一般岩屑、水基泥浆</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拉运至</w:t>
            </w:r>
            <w:r>
              <w:rPr>
                <w:rFonts w:hint="default" w:ascii="Times New Roman" w:hAnsi="Times New Roman" w:cs="Times New Roman"/>
                <w:color w:val="auto"/>
                <w:sz w:val="24"/>
                <w:szCs w:val="24"/>
                <w:highlight w:val="none"/>
                <w:vertAlign w:val="baseline"/>
                <w:lang w:val="en-US" w:eastAsia="zh-CN"/>
              </w:rPr>
              <w:t>输二公司废弃泥浆 无害化处理中心处理五站处理</w:t>
            </w:r>
            <w:r>
              <w:rPr>
                <w:rFonts w:hint="eastAsia" w:ascii="Times New Roman" w:hAnsi="Times New Roman" w:cs="Times New Roman"/>
                <w:color w:val="auto"/>
                <w:sz w:val="24"/>
                <w:szCs w:val="24"/>
                <w:highlight w:val="none"/>
                <w:vertAlign w:val="baseline"/>
                <w:lang w:val="en-US" w:eastAsia="zh-CN"/>
              </w:rPr>
              <w:t>；</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拉运至其他单位进行处置，不外排</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基本落实</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4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w:t>
            </w: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油基岩屑、油基泥浆</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委托大庆市云泰石化产品有限公司 处置</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委托大庆市云泰石化产品有限公司处置</w:t>
            </w:r>
            <w:r>
              <w:rPr>
                <w:rFonts w:hint="eastAsia" w:ascii="Times New Roman" w:hAnsi="Times New Roman" w:cs="Times New Roman"/>
                <w:color w:val="auto"/>
                <w:sz w:val="24"/>
                <w:szCs w:val="24"/>
                <w:highlight w:val="none"/>
                <w:vertAlign w:val="baseline"/>
                <w:lang w:val="en-US" w:eastAsia="zh-CN"/>
              </w:rPr>
              <w:t>；无害化处置后废渣满足废弃钻井液处理规范》（DB23/T693-2000），铺垫井场道路</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基本落实</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4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办公</w:t>
            </w: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生活垃圾</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统一收集至井场生活垃圾存放点，拉运至肇州县生活垃圾填埋场处理</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统一收集至井场生活垃圾存放点，拉运至肇州县生活垃圾填埋场处理</w:t>
            </w:r>
            <w:r>
              <w:rPr>
                <w:rFonts w:hint="eastAsia" w:ascii="Times New Roman" w:hAnsi="Times New Roman" w:cs="Times New Roman"/>
                <w:color w:val="auto"/>
                <w:sz w:val="24"/>
                <w:szCs w:val="24"/>
                <w:highlight w:val="none"/>
                <w:vertAlign w:val="baseline"/>
                <w:lang w:val="en-US" w:eastAsia="zh-CN"/>
              </w:rPr>
              <w:t>。</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落实</w:t>
            </w:r>
          </w:p>
        </w:tc>
        <w:tc>
          <w:tcPr>
            <w:tcW w:w="58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生态</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环境</w:t>
            </w:r>
          </w:p>
        </w:tc>
        <w:tc>
          <w:tcPr>
            <w:tcW w:w="48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采气管道、甲醇管道、通井路、场站</w:t>
            </w: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临时占地</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土地平整，恢复原有地貌植被，耕地进行复垦，对农作物损失进行经济赔偿；</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根据现场勘查，区块内投产气井周围生态环境基本恢复；临时占用农田已进行复垦，对比附近未占用农田，单位区块内农作物产量已恢复至建设前水平。</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井场周围土地已进行垫高，平整；井场周围环境无遗落及掩埋的防渗布等固体废物，井场周围表层土壤为黄色。</w:t>
            </w:r>
          </w:p>
        </w:tc>
        <w:tc>
          <w:tcPr>
            <w:tcW w:w="16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基本落实</w:t>
            </w:r>
          </w:p>
        </w:tc>
        <w:tc>
          <w:tcPr>
            <w:tcW w:w="16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0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48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4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永久占地</w:t>
            </w:r>
          </w:p>
        </w:tc>
        <w:tc>
          <w:tcPr>
            <w:tcW w:w="106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按照“占多少，垦多少”的原则，由建设单位负责开垦与所占用耕地的数量和质量相当的耕地，如果没有条件开垦时，按黑龙江省的规定缴纳耕地开垦费，用于开垦新的耕地。</w:t>
            </w:r>
          </w:p>
        </w:tc>
        <w:tc>
          <w:tcPr>
            <w:tcW w:w="14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已按照相关法律法规对占地进行补偿。</w:t>
            </w:r>
          </w:p>
        </w:tc>
        <w:tc>
          <w:tcPr>
            <w:tcW w:w="16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基本落实</w:t>
            </w:r>
          </w:p>
        </w:tc>
        <w:tc>
          <w:tcPr>
            <w:tcW w:w="16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正在进行验收</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p>
    <w:p>
      <w:pPr>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br w:type="page"/>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拟采取的整改措施</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）建议采气分公司继续加强徐深气田16区块现有的天然气开采井和集输管线的看护和日常巡护工作，防止管线破损，天然气泄露事件；及时发现事故隐患，预防环境风险事故发生。</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（2）钻井和气井作业、维护要严格执行占地标准，规范行车路线，完工后及时清和平整井场；要提高施工效率，减少工程在空间和时间上对生态环境的影响。</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（3）外购土进行井场垫高时，优先使用本乡土壤，防止外来物种入侵。</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（4）工程结束后，建于建设单位采取封禁等生态保护措施，将临时占地内现有生态种类的生态量及生产力恢复至施工前原有水平，再进行气井产能地面建设工程，在生态恢复期间可进行生态监测。</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（5）加强生态恢复管理力度，提高成活率。对于占用的基本农田应按照“占多少、垦多少”的原则，补充数量和质量相当的基本农田。</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05" w:name="_Toc29422"/>
      <w:bookmarkStart w:id="106" w:name="_Toc61981486"/>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3.</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3</w:t>
      </w:r>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公用工程</w:t>
      </w:r>
      <w:bookmarkEnd w:id="105"/>
      <w:bookmarkEnd w:id="106"/>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bookmarkStart w:id="107" w:name="_Toc11047792"/>
      <w:r>
        <w:rPr>
          <w:rFonts w:hint="default" w:ascii="Times New Roman" w:hAnsi="Times New Roman" w:eastAsia="宋体" w:cs="Times New Roman"/>
          <w:color w:val="auto"/>
          <w:kern w:val="0"/>
          <w:sz w:val="28"/>
          <w:szCs w:val="28"/>
          <w:highlight w:val="none"/>
          <w:lang w:val="en-US" w:eastAsia="zh-CN" w:bidi="ar"/>
        </w:rPr>
        <w:t>1、给排水</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本项目施工期用水主要为施工生活用水和钻井生产用水。生活用水采用桶装水，项目钻井施工时间为</w:t>
      </w:r>
      <w:r>
        <w:rPr>
          <w:rFonts w:hint="eastAsia" w:ascii="Times New Roman" w:hAnsi="Times New Roman" w:eastAsia="宋体" w:cs="Times New Roman"/>
          <w:color w:val="auto"/>
          <w:kern w:val="0"/>
          <w:sz w:val="28"/>
          <w:szCs w:val="28"/>
          <w:highlight w:val="none"/>
          <w:lang w:val="en-US" w:eastAsia="zh-CN" w:bidi="ar"/>
        </w:rPr>
        <w:t>100</w:t>
      </w:r>
      <w:r>
        <w:rPr>
          <w:rFonts w:hint="default" w:ascii="Times New Roman" w:hAnsi="Times New Roman" w:eastAsia="宋体" w:cs="Times New Roman"/>
          <w:color w:val="auto"/>
          <w:kern w:val="0"/>
          <w:sz w:val="28"/>
          <w:szCs w:val="28"/>
          <w:highlight w:val="none"/>
          <w:lang w:val="en-US" w:eastAsia="zh-CN" w:bidi="ar"/>
        </w:rPr>
        <w:t>天，施工人数为</w:t>
      </w:r>
      <w:r>
        <w:rPr>
          <w:rFonts w:hint="eastAsia" w:ascii="Times New Roman" w:hAnsi="Times New Roman" w:eastAsia="宋体" w:cs="Times New Roman"/>
          <w:color w:val="auto"/>
          <w:kern w:val="0"/>
          <w:sz w:val="28"/>
          <w:szCs w:val="28"/>
          <w:highlight w:val="none"/>
          <w:lang w:val="en-US" w:eastAsia="zh-CN" w:bidi="ar"/>
        </w:rPr>
        <w:t>30</w:t>
      </w:r>
      <w:r>
        <w:rPr>
          <w:rFonts w:hint="default" w:ascii="Times New Roman" w:hAnsi="Times New Roman" w:eastAsia="宋体" w:cs="Times New Roman"/>
          <w:color w:val="auto"/>
          <w:kern w:val="0"/>
          <w:sz w:val="28"/>
          <w:szCs w:val="28"/>
          <w:highlight w:val="none"/>
          <w:lang w:val="en-US" w:eastAsia="zh-CN" w:bidi="ar"/>
        </w:rPr>
        <w:t>人。参照《黑龙江省地方标准用水定额》（DB23/T727-2021）中农村居民生活用水量，本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施工期生活用水量每人80L/d，生活用水量共计</w:t>
      </w:r>
      <w:r>
        <w:rPr>
          <w:rFonts w:hint="eastAsia" w:ascii="Times New Roman" w:hAnsi="Times New Roman" w:eastAsia="宋体" w:cs="Times New Roman"/>
          <w:color w:val="auto"/>
          <w:kern w:val="0"/>
          <w:sz w:val="28"/>
          <w:szCs w:val="28"/>
          <w:highlight w:val="none"/>
          <w:lang w:val="en-US" w:eastAsia="zh-CN" w:bidi="ar"/>
        </w:rPr>
        <w:t>240</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。生活污水产生量按生活用水的80%计算，则生活污水产生量为</w:t>
      </w:r>
      <w:r>
        <w:rPr>
          <w:rFonts w:hint="eastAsia" w:ascii="Times New Roman" w:hAnsi="Times New Roman" w:eastAsia="宋体" w:cs="Times New Roman"/>
          <w:color w:val="auto"/>
          <w:kern w:val="0"/>
          <w:sz w:val="28"/>
          <w:szCs w:val="28"/>
          <w:highlight w:val="none"/>
          <w:lang w:val="en-US" w:eastAsia="zh-CN" w:bidi="ar"/>
        </w:rPr>
        <w:t>192</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。生活污水排入井场防渗生活污水池，施工结束后进行卫生处理，场地进行平整</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本项目钻井生产用水由水罐车运送，</w:t>
      </w:r>
      <w:r>
        <w:rPr>
          <w:rFonts w:hint="eastAsia" w:ascii="Times New Roman" w:hAnsi="Times New Roman" w:eastAsia="宋体" w:cs="Times New Roman"/>
          <w:color w:val="auto"/>
          <w:kern w:val="0"/>
          <w:sz w:val="28"/>
          <w:szCs w:val="28"/>
          <w:highlight w:val="none"/>
          <w:lang w:val="en-US" w:eastAsia="zh-CN" w:bidi="ar"/>
        </w:rPr>
        <w:t>根据油田企业实际钻井工程生产用水用量，每钻井</w:t>
      </w:r>
      <w:r>
        <w:rPr>
          <w:rFonts w:hint="default" w:ascii="Times New Roman" w:hAnsi="Times New Roman" w:eastAsia="宋体" w:cs="Times New Roman"/>
          <w:color w:val="auto"/>
          <w:kern w:val="0"/>
          <w:sz w:val="28"/>
          <w:szCs w:val="28"/>
          <w:highlight w:val="none"/>
          <w:lang w:val="en-US" w:eastAsia="zh-CN" w:bidi="ar"/>
        </w:rPr>
        <w:t>1000m</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清水用量</w:t>
      </w:r>
      <w:r>
        <w:rPr>
          <w:rFonts w:hint="eastAsia" w:ascii="Times New Roman" w:hAnsi="Times New Roman" w:eastAsia="宋体" w:cs="Times New Roman"/>
          <w:color w:val="auto"/>
          <w:kern w:val="0"/>
          <w:sz w:val="28"/>
          <w:szCs w:val="28"/>
          <w:highlight w:val="none"/>
          <w:lang w:val="en-US" w:eastAsia="zh-CN" w:bidi="ar"/>
        </w:rPr>
        <w:t>690</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，则钻井生产用水量为</w:t>
      </w:r>
      <w:r>
        <w:rPr>
          <w:rFonts w:hint="eastAsia" w:ascii="Times New Roman" w:hAnsi="Times New Roman" w:eastAsia="宋体" w:cs="Times New Roman"/>
          <w:color w:val="auto"/>
          <w:kern w:val="0"/>
          <w:sz w:val="28"/>
          <w:szCs w:val="28"/>
          <w:highlight w:val="none"/>
          <w:lang w:val="en-US" w:eastAsia="zh-CN" w:bidi="ar"/>
        </w:rPr>
        <w:t>8826</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w:t>
      </w:r>
    </w:p>
    <w:bookmarkEnd w:id="107"/>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bookmarkStart w:id="108" w:name="_Toc5710035"/>
      <w:bookmarkStart w:id="109" w:name="_Toc13059820"/>
      <w:r>
        <w:rPr>
          <w:rFonts w:hint="default" w:ascii="Times New Roman" w:hAnsi="Times New Roman" w:eastAsia="宋体" w:cs="Times New Roman"/>
          <w:color w:val="auto"/>
          <w:kern w:val="0"/>
          <w:sz w:val="28"/>
          <w:szCs w:val="28"/>
          <w:highlight w:val="none"/>
          <w:lang w:val="en-US" w:eastAsia="zh-CN" w:bidi="ar"/>
        </w:rPr>
        <w:t>2、供电工程</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本项目井场供电由自备柴油发电机组发电供给。</w:t>
      </w:r>
    </w:p>
    <w:bookmarkEnd w:id="108"/>
    <w:bookmarkEnd w:id="109"/>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bookmarkStart w:id="110" w:name="_Toc11047796"/>
      <w:r>
        <w:rPr>
          <w:rFonts w:hint="default" w:ascii="Times New Roman" w:hAnsi="Times New Roman" w:eastAsia="宋体" w:cs="Times New Roman"/>
          <w:color w:val="auto"/>
          <w:kern w:val="0"/>
          <w:sz w:val="28"/>
          <w:szCs w:val="28"/>
          <w:highlight w:val="none"/>
          <w:lang w:val="en-US" w:eastAsia="zh-CN" w:bidi="ar"/>
        </w:rPr>
        <w:t>3、采暖工程</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施工期钻井队住宿用房采用电取暖。</w:t>
      </w:r>
      <w:bookmarkEnd w:id="110"/>
    </w:p>
    <w:p>
      <w:pPr>
        <w:keepNext w:val="0"/>
        <w:keepLines w:val="0"/>
        <w:widowControl/>
        <w:suppressLineNumbers w:val="0"/>
        <w:spacing w:line="360" w:lineRule="auto"/>
        <w:jc w:val="both"/>
        <w:rPr>
          <w:rFonts w:hint="eastAsia" w:ascii="Times New Roman" w:hAnsi="Times New Roman" w:eastAsia="宋体" w:cs="Times New Roman"/>
          <w:b/>
          <w:bCs/>
          <w:color w:val="auto"/>
          <w:kern w:val="0"/>
          <w:sz w:val="30"/>
          <w:szCs w:val="30"/>
          <w:highlight w:val="none"/>
          <w:lang w:val="en-US" w:eastAsia="zh-CN" w:bidi="ar"/>
        </w:rPr>
      </w:pPr>
      <w:r>
        <w:rPr>
          <w:rFonts w:hint="default" w:ascii="Times New Roman" w:hAnsi="Times New Roman" w:eastAsia="宋体" w:cs="Times New Roman"/>
          <w:b/>
          <w:bCs/>
          <w:color w:val="auto"/>
          <w:kern w:val="0"/>
          <w:sz w:val="30"/>
          <w:szCs w:val="30"/>
          <w:highlight w:val="none"/>
          <w:lang w:val="en-US" w:eastAsia="zh-CN" w:bidi="ar"/>
        </w:rPr>
        <w:t>3.</w:t>
      </w:r>
      <w:r>
        <w:rPr>
          <w:rFonts w:hint="eastAsia" w:ascii="Times New Roman" w:hAnsi="Times New Roman" w:eastAsia="宋体" w:cs="Times New Roman"/>
          <w:b/>
          <w:bCs/>
          <w:color w:val="auto"/>
          <w:kern w:val="0"/>
          <w:sz w:val="30"/>
          <w:szCs w:val="30"/>
          <w:highlight w:val="none"/>
          <w:lang w:val="en-US" w:eastAsia="zh-CN" w:bidi="ar"/>
        </w:rPr>
        <w:t>3工艺流程及产污环节</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钻井工艺流程</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钻井工艺包括：钻前准备、钻进、钻进辅助作业、固井、完井。其中钻进辅助作业包括测井、录井。</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）钻前准备</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）钻前整理场地，并保证全套钻井设备达到相关的安装标准。</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）钻机安装，注意保护原井口设备。</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）开钻前必须校正天车、转盘和井口，以保证三者中心偏差不大于</w:t>
      </w:r>
      <w:r>
        <w:rPr>
          <w:rFonts w:hint="default" w:ascii="Times New Roman" w:hAnsi="Times New Roman" w:eastAsia="宋体" w:cs="Times New Roman"/>
          <w:color w:val="auto"/>
          <w:kern w:val="0"/>
          <w:sz w:val="28"/>
          <w:szCs w:val="28"/>
          <w:highlight w:val="none"/>
          <w:lang w:val="en-US" w:eastAsia="zh-CN" w:bidi="ar"/>
        </w:rPr>
        <w:t>10mm</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）设备运转正常，安全装置灵活好用。各种仪器仪表准确灵敏好用。</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）设备安装完后，进行整机试运转，连续运转</w:t>
      </w:r>
      <w:r>
        <w:rPr>
          <w:rFonts w:hint="default" w:ascii="Times New Roman" w:hAnsi="Times New Roman" w:eastAsia="宋体" w:cs="Times New Roman"/>
          <w:color w:val="auto"/>
          <w:kern w:val="0"/>
          <w:sz w:val="28"/>
          <w:szCs w:val="28"/>
          <w:highlight w:val="none"/>
          <w:lang w:val="en-US" w:eastAsia="zh-CN" w:bidi="ar"/>
        </w:rPr>
        <w:t>90min</w:t>
      </w:r>
      <w:r>
        <w:rPr>
          <w:rFonts w:hint="eastAsia" w:ascii="Times New Roman" w:hAnsi="Times New Roman" w:eastAsia="宋体" w:cs="Times New Roman"/>
          <w:color w:val="auto"/>
          <w:kern w:val="0"/>
          <w:sz w:val="28"/>
          <w:szCs w:val="28"/>
          <w:highlight w:val="none"/>
          <w:lang w:val="en-US" w:eastAsia="zh-CN" w:bidi="ar"/>
        </w:rPr>
        <w:t>，各部件工作正常，性能可靠。然后进行高压循环系统试压，钻机试压</w:t>
      </w:r>
      <w:r>
        <w:rPr>
          <w:rFonts w:hint="default" w:ascii="Times New Roman" w:hAnsi="Times New Roman" w:eastAsia="宋体" w:cs="Times New Roman"/>
          <w:color w:val="auto"/>
          <w:kern w:val="0"/>
          <w:sz w:val="28"/>
          <w:szCs w:val="28"/>
          <w:highlight w:val="none"/>
          <w:lang w:val="en-US" w:eastAsia="zh-CN" w:bidi="ar"/>
        </w:rPr>
        <w:t>25.0MPa</w:t>
      </w:r>
      <w:r>
        <w:rPr>
          <w:rFonts w:hint="eastAsia" w:ascii="Times New Roman" w:hAnsi="Times New Roman" w:eastAsia="宋体" w:cs="Times New Roman"/>
          <w:color w:val="auto"/>
          <w:kern w:val="0"/>
          <w:sz w:val="28"/>
          <w:szCs w:val="28"/>
          <w:highlight w:val="none"/>
          <w:lang w:val="en-US" w:eastAsia="zh-CN" w:bidi="ar"/>
        </w:rPr>
        <w:t>，运转</w:t>
      </w:r>
      <w:r>
        <w:rPr>
          <w:rFonts w:hint="default" w:ascii="Times New Roman" w:hAnsi="Times New Roman" w:eastAsia="宋体" w:cs="Times New Roman"/>
          <w:color w:val="auto"/>
          <w:kern w:val="0"/>
          <w:sz w:val="28"/>
          <w:szCs w:val="28"/>
          <w:highlight w:val="none"/>
          <w:lang w:val="en-US" w:eastAsia="zh-CN" w:bidi="ar"/>
        </w:rPr>
        <w:t>30min</w:t>
      </w:r>
      <w:r>
        <w:rPr>
          <w:rFonts w:hint="eastAsia" w:ascii="Times New Roman" w:hAnsi="Times New Roman" w:eastAsia="宋体" w:cs="Times New Roman"/>
          <w:color w:val="auto"/>
          <w:kern w:val="0"/>
          <w:sz w:val="28"/>
          <w:szCs w:val="28"/>
          <w:highlight w:val="none"/>
          <w:lang w:val="en-US" w:eastAsia="zh-CN" w:bidi="ar"/>
        </w:rPr>
        <w:t>以上，所有管线不刺不漏，油气水路畅通。</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6</w:t>
      </w:r>
      <w:r>
        <w:rPr>
          <w:rFonts w:hint="eastAsia" w:ascii="Times New Roman" w:hAnsi="Times New Roman" w:eastAsia="宋体" w:cs="Times New Roman"/>
          <w:color w:val="auto"/>
          <w:kern w:val="0"/>
          <w:sz w:val="28"/>
          <w:szCs w:val="28"/>
          <w:highlight w:val="none"/>
          <w:lang w:val="en-US" w:eastAsia="zh-CN" w:bidi="ar"/>
        </w:rPr>
        <w:t>）井口挖直径</w:t>
      </w:r>
      <w:r>
        <w:rPr>
          <w:rFonts w:hint="default" w:ascii="Times New Roman" w:hAnsi="Times New Roman" w:eastAsia="宋体" w:cs="Times New Roman"/>
          <w:color w:val="auto"/>
          <w:kern w:val="0"/>
          <w:sz w:val="28"/>
          <w:szCs w:val="28"/>
          <w:highlight w:val="none"/>
          <w:lang w:val="en-US" w:eastAsia="zh-CN" w:bidi="ar"/>
        </w:rPr>
        <w:t>3.0m</w:t>
      </w:r>
      <w:r>
        <w:rPr>
          <w:rFonts w:hint="eastAsia" w:ascii="Times New Roman" w:hAnsi="Times New Roman" w:eastAsia="宋体" w:cs="Times New Roman"/>
          <w:color w:val="auto"/>
          <w:kern w:val="0"/>
          <w:sz w:val="28"/>
          <w:szCs w:val="28"/>
          <w:highlight w:val="none"/>
          <w:lang w:val="en-US" w:eastAsia="zh-CN" w:bidi="ar"/>
        </w:rPr>
        <w:t>、深</w:t>
      </w:r>
      <w:r>
        <w:rPr>
          <w:rFonts w:hint="default" w:ascii="Times New Roman" w:hAnsi="Times New Roman" w:eastAsia="宋体" w:cs="Times New Roman"/>
          <w:color w:val="auto"/>
          <w:kern w:val="0"/>
          <w:sz w:val="28"/>
          <w:szCs w:val="28"/>
          <w:highlight w:val="none"/>
          <w:lang w:val="en-US" w:eastAsia="zh-CN" w:bidi="ar"/>
        </w:rPr>
        <w:t>2.5m</w:t>
      </w:r>
      <w:r>
        <w:rPr>
          <w:rFonts w:hint="eastAsia" w:ascii="Times New Roman" w:hAnsi="Times New Roman" w:eastAsia="宋体" w:cs="Times New Roman"/>
          <w:color w:val="auto"/>
          <w:kern w:val="0"/>
          <w:sz w:val="28"/>
          <w:szCs w:val="28"/>
          <w:highlight w:val="none"/>
          <w:lang w:val="en-US" w:eastAsia="zh-CN" w:bidi="ar"/>
        </w:rPr>
        <w:t>的圆井，挖好后周围用</w:t>
      </w:r>
      <w:r>
        <w:rPr>
          <w:rFonts w:hint="default" w:ascii="Times New Roman" w:hAnsi="Times New Roman" w:eastAsia="宋体" w:cs="Times New Roman"/>
          <w:color w:val="auto"/>
          <w:kern w:val="0"/>
          <w:sz w:val="28"/>
          <w:szCs w:val="28"/>
          <w:highlight w:val="none"/>
          <w:lang w:val="en-US" w:eastAsia="zh-CN" w:bidi="ar"/>
        </w:rPr>
        <w:t>5mm</w:t>
      </w:r>
      <w:r>
        <w:rPr>
          <w:rFonts w:hint="eastAsia" w:ascii="Times New Roman" w:hAnsi="Times New Roman" w:eastAsia="宋体" w:cs="Times New Roman"/>
          <w:color w:val="auto"/>
          <w:kern w:val="0"/>
          <w:sz w:val="28"/>
          <w:szCs w:val="28"/>
          <w:highlight w:val="none"/>
          <w:lang w:val="en-US" w:eastAsia="zh-CN" w:bidi="ar"/>
        </w:rPr>
        <w:t>厚的钢板围住，防止圆井坍塌。钢板焊好后，内壁用</w:t>
      </w:r>
      <w:r>
        <w:rPr>
          <w:rFonts w:hint="default" w:ascii="Times New Roman" w:hAnsi="Times New Roman" w:eastAsia="宋体" w:cs="Times New Roman"/>
          <w:color w:val="auto"/>
          <w:kern w:val="0"/>
          <w:sz w:val="28"/>
          <w:szCs w:val="28"/>
          <w:highlight w:val="none"/>
          <w:lang w:val="en-US" w:eastAsia="zh-CN" w:bidi="ar"/>
        </w:rPr>
        <w:t>60mm×60mm</w:t>
      </w:r>
      <w:r>
        <w:rPr>
          <w:rFonts w:hint="eastAsia" w:ascii="Times New Roman" w:hAnsi="Times New Roman" w:eastAsia="宋体" w:cs="Times New Roman"/>
          <w:color w:val="auto"/>
          <w:kern w:val="0"/>
          <w:sz w:val="28"/>
          <w:szCs w:val="28"/>
          <w:highlight w:val="none"/>
          <w:lang w:val="en-US" w:eastAsia="zh-CN" w:bidi="ar"/>
        </w:rPr>
        <w:t>角铁焊接固定，并焊有扶梯。圆井底部铺</w:t>
      </w:r>
      <w:r>
        <w:rPr>
          <w:rFonts w:hint="default" w:ascii="Times New Roman" w:hAnsi="Times New Roman" w:eastAsia="宋体" w:cs="Times New Roman"/>
          <w:color w:val="auto"/>
          <w:kern w:val="0"/>
          <w:sz w:val="28"/>
          <w:szCs w:val="28"/>
          <w:highlight w:val="none"/>
          <w:lang w:val="en-US" w:eastAsia="zh-CN" w:bidi="ar"/>
        </w:rPr>
        <w:t>0.5m</w:t>
      </w:r>
      <w:r>
        <w:rPr>
          <w:rFonts w:hint="eastAsia" w:ascii="Times New Roman" w:hAnsi="Times New Roman" w:eastAsia="宋体" w:cs="Times New Roman"/>
          <w:color w:val="auto"/>
          <w:kern w:val="0"/>
          <w:sz w:val="28"/>
          <w:szCs w:val="28"/>
          <w:highlight w:val="none"/>
          <w:lang w:val="en-US" w:eastAsia="zh-CN" w:bidi="ar"/>
        </w:rPr>
        <w:t>厚的砂浆，并找平。钢板周围环隙不小于</w:t>
      </w:r>
      <w:r>
        <w:rPr>
          <w:rFonts w:hint="default" w:ascii="Times New Roman" w:hAnsi="Times New Roman" w:eastAsia="宋体" w:cs="Times New Roman"/>
          <w:color w:val="auto"/>
          <w:kern w:val="0"/>
          <w:sz w:val="28"/>
          <w:szCs w:val="28"/>
          <w:highlight w:val="none"/>
          <w:lang w:val="en-US" w:eastAsia="zh-CN" w:bidi="ar"/>
        </w:rPr>
        <w:t>10cm</w:t>
      </w:r>
      <w:r>
        <w:rPr>
          <w:rFonts w:hint="eastAsia" w:ascii="Times New Roman" w:hAnsi="Times New Roman" w:eastAsia="宋体" w:cs="Times New Roman"/>
          <w:color w:val="auto"/>
          <w:kern w:val="0"/>
          <w:sz w:val="28"/>
          <w:szCs w:val="28"/>
          <w:highlight w:val="none"/>
          <w:lang w:val="en-US" w:eastAsia="zh-CN" w:bidi="ar"/>
        </w:rPr>
        <w:t>，并灌水泥砂浆固化。圆井顶部高于地面</w:t>
      </w:r>
      <w:r>
        <w:rPr>
          <w:rFonts w:hint="default" w:ascii="Times New Roman" w:hAnsi="Times New Roman" w:eastAsia="宋体" w:cs="Times New Roman"/>
          <w:color w:val="auto"/>
          <w:kern w:val="0"/>
          <w:sz w:val="28"/>
          <w:szCs w:val="28"/>
          <w:highlight w:val="none"/>
          <w:lang w:val="en-US" w:eastAsia="zh-CN" w:bidi="ar"/>
        </w:rPr>
        <w:t>5cm~10cm</w:t>
      </w:r>
      <w:r>
        <w:rPr>
          <w:rFonts w:hint="eastAsia" w:ascii="Times New Roman" w:hAnsi="Times New Roman" w:eastAsia="宋体" w:cs="Times New Roman"/>
          <w:color w:val="auto"/>
          <w:kern w:val="0"/>
          <w:sz w:val="28"/>
          <w:szCs w:val="28"/>
          <w:highlight w:val="none"/>
          <w:lang w:val="en-US" w:eastAsia="zh-CN" w:bidi="ar"/>
        </w:rPr>
        <w:t>，满足后续施工要求。</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）钻进</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进主要是利用钻头高效率地破碎岩石，钻头上面连接钻柱，钻柱把地面动力传给钻头；洗井主要是利用钻井液将钻进过程中产生的岩屑洗出至地面；接单根是指随着井不断加深钻杆也要随之加长，每次接入一根钻杆称之为接单根。起下钻主要为了更换磨损的钻头；固井主要是为了保护井眼和各地层之间不至有事故情况出现，将套管下入井中，并在井眼与套管之间灌注钻井液，封闭住地层。固井可有效保护地下水含水层不受破坏。</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录井：录取底层参数和钻进参数。</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测井：当钻井达到设计井深后，下入测井电缆，由测井仪记录参数。</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固井：向套管注入清水后再注入水泥浆，压胶塞后替清水。</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完井：井口安装套管头，及井口装置，期间井场内钻井用设备开始搬迁运出，为后续压裂试气作业提供设备场地。</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压裂试气作业工艺流程</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工程设计要求，本项目钻井完井后，钻井期间设备全部搬迁，安装压裂试气设备后开展压裂试气作业，主要作业流程为：施工准备→连接压裂管管线→电缆桥塞射孔压裂改造→返排→投放压力计→求产→带压下压裂完井一体化管柱→装采气树完井。压裂管管线安装完成后，首先进行射孔作业，射孔是采用特殊聚能器材进入井眼预定层位进行爆炸开孔让井下地层内流体进入孔眼的作业活动，一般采用磁定位校深传输射孔，射孔后提高目的地层宽度，连通生产层。射孔完成后，将开展压裂试气作业。压裂作业是利用水力作用，使油气层进一步形成裂缝的一种方法，又称水力压裂，压裂是人为地使地层产生裂缝，改善流体在地层的流动环境，使流体产能提高的工作。压裂作业结束后、压裂返排液进入回收液罐车内，由罐车拉运至</w:t>
      </w:r>
      <w:r>
        <w:rPr>
          <w:rFonts w:hint="default" w:ascii="Times New Roman" w:hAnsi="Times New Roman" w:eastAsia="宋体" w:cs="Times New Roman"/>
          <w:color w:val="auto"/>
          <w:kern w:val="0"/>
          <w:sz w:val="28"/>
          <w:szCs w:val="28"/>
          <w:highlight w:val="none"/>
          <w:lang w:val="en-US" w:eastAsia="zh-CN" w:bidi="ar"/>
        </w:rPr>
        <w:t>哈19卸液站</w:t>
      </w:r>
      <w:r>
        <w:rPr>
          <w:rFonts w:hint="eastAsia" w:ascii="Times New Roman" w:hAnsi="Times New Roman" w:eastAsia="宋体" w:cs="Times New Roman"/>
          <w:color w:val="auto"/>
          <w:kern w:val="0"/>
          <w:sz w:val="28"/>
          <w:szCs w:val="28"/>
          <w:highlight w:val="none"/>
          <w:lang w:val="en-US" w:eastAsia="zh-CN" w:bidi="ar"/>
        </w:rPr>
        <w:t>处理。</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试气就是将钻井、综合录井、测井所认识和评价的含气层，通过射孔、替喷、诱喷等多种方式，使地层中的流体进入井筒，流出地面，从而取得地层流体的性质、各种流体的产量、地层压力以及流体流动过程中的压力变化等资料，并通过对这些资料的分析和处理获得地层的各种物性参数，对地层进行评价的工作。</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试气作业时在井口安装分离器将试气产液进行气液分离，其中的天然气通过放空管线引入井场临时设置的放空火炬燃烧处理。试气作业期间火炬始终连续燃烧，保证产出气全部充分燃烧后排放；试气产液经计量池计量后贮存于储液罐内，最终拉运至升一联气田污水预处理站处理后回注现役油层。本项目产污环节见图</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w:t>
      </w:r>
    </w:p>
    <w:p>
      <w:pPr>
        <w:pStyle w:val="22"/>
        <w:spacing w:line="240" w:lineRule="auto"/>
        <w:ind w:left="0" w:leftChars="0"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5269865" cy="3793490"/>
            <wp:effectExtent l="0" t="0" r="6985" b="16510"/>
            <wp:docPr id="22" name="图片 25" descr="钻井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钻井工艺流程图"/>
                    <pic:cNvPicPr>
                      <a:picLocks noChangeAspect="1"/>
                    </pic:cNvPicPr>
                  </pic:nvPicPr>
                  <pic:blipFill>
                    <a:blip r:embed="rId19"/>
                    <a:stretch>
                      <a:fillRect/>
                    </a:stretch>
                  </pic:blipFill>
                  <pic:spPr>
                    <a:xfrm>
                      <a:off x="0" y="0"/>
                      <a:ext cx="5269865" cy="3793490"/>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图3.</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-1钻井及压裂试气产污流程图</w:t>
      </w:r>
    </w:p>
    <w:p>
      <w:pPr>
        <w:keepNext/>
        <w:keepLines/>
        <w:pageBreakBefore w:val="0"/>
        <w:widowControl w:val="0"/>
        <w:numPr>
          <w:ilvl w:val="0"/>
          <w:numId w:val="0"/>
        </w:numPr>
        <w:bidi w:val="0"/>
        <w:spacing w:before="78" w:beforeLines="25" w:after="78" w:afterLines="25" w:line="360" w:lineRule="auto"/>
        <w:jc w:val="left"/>
        <w:outlineLvl w:val="1"/>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11" w:name="_Toc17543"/>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3.</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4影响因素分析</w:t>
      </w:r>
      <w:bookmarkEnd w:id="111"/>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本项目影响因素分析见表</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zh-CN"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szCs w:val="24"/>
          <w:highlight w:val="none"/>
          <w:lang w:val="en-US" w:eastAsia="zh-CN" w:bidi="ar"/>
        </w:rPr>
        <w:t>影响因素分析一览表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76"/>
        <w:gridCol w:w="2340"/>
        <w:gridCol w:w="2671"/>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13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污染物类型</w:t>
            </w: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污染源名称</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主要污染物</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主要污染因子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废气</w:t>
            </w: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施工机械</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机械设备尾气</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X</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THC</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施工过程</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施工扬尘</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固井</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固井扬尘</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柴油发电机</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柴油机烟气</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X</w:t>
            </w:r>
            <w:r>
              <w:rPr>
                <w:rFonts w:hint="eastAsia" w:ascii="Times New Roman" w:hAnsi="Times New Roman" w:cs="Times New Roman"/>
                <w:color w:val="auto"/>
                <w:sz w:val="24"/>
                <w:szCs w:val="24"/>
                <w:highlight w:val="none"/>
                <w:vertAlign w:val="baseline"/>
                <w:lang w:val="en-US" w:eastAsia="zh-CN"/>
              </w:rPr>
              <w:t>、颗粒物、</w:t>
            </w:r>
            <w:r>
              <w:rPr>
                <w:rFonts w:hint="default" w:ascii="Times New Roman" w:hAnsi="Times New Roman" w:cs="Times New Roman"/>
                <w:color w:val="auto"/>
                <w:sz w:val="24"/>
                <w:szCs w:val="24"/>
                <w:highlight w:val="none"/>
                <w:vertAlign w:val="baseline"/>
                <w:lang w:val="en-US" w:eastAsia="zh-CN"/>
              </w:rPr>
              <w:t>CO</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HC</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试气放喷</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放空火炬燃烧烟气</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X</w:t>
            </w:r>
            <w:r>
              <w:rPr>
                <w:rFonts w:hint="eastAsia" w:ascii="Times New Roman" w:hAnsi="Times New Roman" w:cs="Times New Roman"/>
                <w:color w:val="auto"/>
                <w:sz w:val="24"/>
                <w:szCs w:val="24"/>
                <w:highlight w:val="none"/>
                <w:vertAlign w:val="baseli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废水</w:t>
            </w: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钻井污水</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SS</w:t>
            </w:r>
            <w:r>
              <w:rPr>
                <w:rFonts w:hint="eastAsia" w:ascii="Times New Roman" w:hAnsi="Times New Roman" w:cs="Times New Roman"/>
                <w:color w:val="auto"/>
                <w:sz w:val="24"/>
                <w:szCs w:val="24"/>
                <w:highlight w:val="none"/>
                <w:vertAlign w:val="baseline"/>
                <w:lang w:val="en-US" w:eastAsia="zh-CN"/>
              </w:rPr>
              <w:t>、石油类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压裂试气</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试气采出液</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压裂返排液</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SS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生活区</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baseli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固体废物</w:t>
            </w:r>
          </w:p>
        </w:tc>
        <w:tc>
          <w:tcPr>
            <w:tcW w:w="234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泥浆、岩屑</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COD、SS、石油类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膨润土等原料废包装袋</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一般固体废物包装袋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一般废弃防渗布</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泥浆、岩屑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含油防渗布</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压裂试气</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废射孔液</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无机盐类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废弃过硫酸钾和氢氧化钾废包装袋</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危险废物包装袋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施工作业</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生活垃圾</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w:t>
            </w:r>
          </w:p>
        </w:tc>
        <w:tc>
          <w:tcPr>
            <w:tcW w:w="2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施工机械</w:t>
            </w:r>
          </w:p>
        </w:tc>
        <w:tc>
          <w:tcPr>
            <w:tcW w:w="26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机械噪声</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等效声级</w:t>
            </w:r>
            <w:r>
              <w:rPr>
                <w:rFonts w:hint="default" w:ascii="Times New Roman" w:hAnsi="Times New Roman" w:cs="Times New Roman"/>
                <w:color w:val="auto"/>
                <w:sz w:val="24"/>
                <w:szCs w:val="24"/>
                <w:highlight w:val="none"/>
                <w:vertAlign w:val="baseline"/>
                <w:lang w:val="en-US" w:eastAsia="zh-CN"/>
              </w:rPr>
              <w:t>dB</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生态环境</w:t>
            </w:r>
          </w:p>
        </w:tc>
        <w:tc>
          <w:tcPr>
            <w:tcW w:w="501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使原有的地表结构、土地利用类型、局部地貌发生变化。</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生态破坏</w:t>
            </w:r>
          </w:p>
        </w:tc>
      </w:tr>
    </w:tbl>
    <w:p>
      <w:pPr>
        <w:keepNext w:val="0"/>
        <w:keepLines w:val="0"/>
        <w:widowControl/>
        <w:suppressLineNumbers w:val="0"/>
        <w:spacing w:line="360" w:lineRule="auto"/>
        <w:jc w:val="both"/>
        <w:rPr>
          <w:rFonts w:hint="eastAsia" w:ascii="Times New Roman" w:hAnsi="Times New Roman" w:eastAsia="宋体" w:cs="Times New Roman"/>
          <w:b/>
          <w:bCs/>
          <w:color w:val="auto"/>
          <w:kern w:val="0"/>
          <w:sz w:val="30"/>
          <w:szCs w:val="30"/>
          <w:highlight w:val="none"/>
          <w:lang w:val="en-US" w:eastAsia="zh-CN" w:bidi="ar"/>
        </w:rPr>
      </w:pPr>
      <w:r>
        <w:rPr>
          <w:rFonts w:hint="default" w:ascii="Times New Roman" w:hAnsi="Times New Roman" w:eastAsia="宋体" w:cs="Times New Roman"/>
          <w:b/>
          <w:bCs/>
          <w:color w:val="auto"/>
          <w:kern w:val="0"/>
          <w:sz w:val="30"/>
          <w:szCs w:val="30"/>
          <w:highlight w:val="none"/>
          <w:lang w:val="en-US" w:eastAsia="zh-CN" w:bidi="ar"/>
        </w:rPr>
        <w:t>3.</w:t>
      </w:r>
      <w:r>
        <w:rPr>
          <w:rFonts w:hint="eastAsia" w:ascii="Times New Roman" w:hAnsi="Times New Roman" w:eastAsia="宋体" w:cs="Times New Roman"/>
          <w:b/>
          <w:bCs/>
          <w:color w:val="auto"/>
          <w:kern w:val="0"/>
          <w:sz w:val="30"/>
          <w:szCs w:val="30"/>
          <w:highlight w:val="none"/>
          <w:lang w:val="en-US" w:eastAsia="zh-CN" w:bidi="ar"/>
        </w:rPr>
        <w:t>5污染源源强核算</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根据《污染源源强核算技术指南 准则》（HJ884-2018）和《排污许可证申请与核发技术规范 总则》（HJ942-2018），本项目为天然气开采专业及辅助性活动工程，项目源强核算采用“类比法”“产、排污系数法”进行源强核算。</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废气</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（1）柴油机烟气</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本项目钻井柴油耗量约为256</w:t>
      </w:r>
      <w:r>
        <w:rPr>
          <w:rFonts w:hint="default" w:ascii="Times New Roman" w:hAnsi="Times New Roman" w:eastAsia="宋体" w:cs="Times New Roman"/>
          <w:color w:val="auto"/>
          <w:kern w:val="0"/>
          <w:sz w:val="28"/>
          <w:szCs w:val="28"/>
          <w:highlight w:val="none"/>
          <w:lang w:val="en-US" w:eastAsia="zh-CN" w:bidi="ar"/>
        </w:rPr>
        <w:t>t</w:t>
      </w:r>
      <w:r>
        <w:rPr>
          <w:rFonts w:hint="eastAsia" w:ascii="Times New Roman" w:hAnsi="Times New Roman" w:eastAsia="宋体" w:cs="Times New Roman"/>
          <w:color w:val="auto"/>
          <w:kern w:val="0"/>
          <w:sz w:val="28"/>
          <w:szCs w:val="28"/>
          <w:highlight w:val="none"/>
          <w:lang w:val="en-US" w:eastAsia="zh-CN" w:bidi="ar"/>
        </w:rPr>
        <w:t>，柴油机安装有尾气净化装置，施工期间使用低标号柴油。运转时产生的燃烧烟气量按</w:t>
      </w:r>
      <w:r>
        <w:rPr>
          <w:rFonts w:hint="default" w:ascii="Times New Roman" w:hAnsi="Times New Roman" w:eastAsia="宋体" w:cs="Times New Roman"/>
          <w:color w:val="auto"/>
          <w:kern w:val="0"/>
          <w:sz w:val="28"/>
          <w:szCs w:val="28"/>
          <w:highlight w:val="none"/>
          <w:lang w:val="en-US" w:eastAsia="zh-CN" w:bidi="ar"/>
        </w:rPr>
        <w:t>12m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/kg</w:t>
      </w:r>
      <w:r>
        <w:rPr>
          <w:rFonts w:hint="eastAsia" w:ascii="Times New Roman" w:hAnsi="Times New Roman" w:eastAsia="宋体" w:cs="Times New Roman"/>
          <w:color w:val="auto"/>
          <w:kern w:val="0"/>
          <w:sz w:val="28"/>
          <w:szCs w:val="28"/>
          <w:highlight w:val="none"/>
          <w:lang w:val="en-US" w:eastAsia="zh-CN" w:bidi="ar"/>
        </w:rPr>
        <w:t>计，计算本项目排放的烟气量为12</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/kg×</w:t>
      </w:r>
      <w:r>
        <w:rPr>
          <w:rFonts w:hint="eastAsia" w:ascii="Times New Roman" w:hAnsi="Times New Roman" w:eastAsia="宋体" w:cs="Times New Roman"/>
          <w:color w:val="auto"/>
          <w:kern w:val="0"/>
          <w:sz w:val="28"/>
          <w:szCs w:val="28"/>
          <w:highlight w:val="none"/>
          <w:lang w:val="en-US" w:eastAsia="zh-CN" w:bidi="ar"/>
        </w:rPr>
        <w:t>（256</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1000）</w:t>
      </w:r>
      <w:r>
        <w:rPr>
          <w:rFonts w:hint="default" w:ascii="Times New Roman" w:hAnsi="Times New Roman" w:eastAsia="宋体" w:cs="Times New Roman"/>
          <w:color w:val="auto"/>
          <w:kern w:val="0"/>
          <w:sz w:val="28"/>
          <w:szCs w:val="28"/>
          <w:highlight w:val="none"/>
          <w:lang w:val="en-US" w:eastAsia="zh-CN" w:bidi="ar"/>
        </w:rPr>
        <w:t>kg</w:t>
      </w:r>
      <w:r>
        <w:rPr>
          <w:rFonts w:hint="eastAsia" w:ascii="Times New Roman" w:hAnsi="Times New Roman" w:eastAsia="宋体" w:cs="Times New Roman"/>
          <w:color w:val="auto"/>
          <w:kern w:val="0"/>
          <w:sz w:val="28"/>
          <w:szCs w:val="28"/>
          <w:highlight w:val="none"/>
          <w:lang w:val="en-US" w:eastAsia="zh-CN" w:bidi="ar"/>
        </w:rPr>
        <w:t>=307.2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10</w:t>
      </w:r>
      <w:r>
        <w:rPr>
          <w:rFonts w:hint="eastAsia" w:ascii="Times New Roman" w:hAnsi="Times New Roman" w:eastAsia="宋体" w:cs="Times New Roman"/>
          <w:color w:val="auto"/>
          <w:kern w:val="0"/>
          <w:sz w:val="28"/>
          <w:szCs w:val="28"/>
          <w:highlight w:val="none"/>
          <w:vertAlign w:val="superscript"/>
          <w:lang w:val="en-US" w:eastAsia="zh-CN" w:bidi="ar"/>
        </w:rPr>
        <w:t>4</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。排放的烟气中废气污染物主要有颗粒物、</w:t>
      </w:r>
      <w:r>
        <w:rPr>
          <w:rFonts w:hint="default" w:ascii="Times New Roman" w:hAnsi="Times New Roman" w:eastAsia="宋体" w:cs="Times New Roman"/>
          <w:color w:val="auto"/>
          <w:kern w:val="0"/>
          <w:sz w:val="28"/>
          <w:szCs w:val="28"/>
          <w:highlight w:val="none"/>
          <w:lang w:val="en-US" w:eastAsia="zh-CN" w:bidi="ar"/>
        </w:rPr>
        <w:t>NO</w:t>
      </w:r>
      <w:r>
        <w:rPr>
          <w:rFonts w:hint="default" w:ascii="Times New Roman" w:hAnsi="Times New Roman" w:eastAsia="宋体" w:cs="Times New Roman"/>
          <w:color w:val="auto"/>
          <w:kern w:val="0"/>
          <w:sz w:val="28"/>
          <w:szCs w:val="28"/>
          <w:highlight w:val="none"/>
          <w:vertAlign w:val="subscript"/>
          <w:lang w:val="en-US" w:eastAsia="zh-CN" w:bidi="ar"/>
        </w:rPr>
        <w:t>X</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HC</w:t>
      </w:r>
      <w:r>
        <w:rPr>
          <w:rFonts w:hint="eastAsia" w:ascii="Times New Roman" w:hAnsi="Times New Roman" w:eastAsia="宋体" w:cs="Times New Roman"/>
          <w:color w:val="auto"/>
          <w:kern w:val="0"/>
          <w:sz w:val="28"/>
          <w:szCs w:val="28"/>
          <w:highlight w:val="none"/>
          <w:lang w:val="en-US" w:eastAsia="zh-CN" w:bidi="ar"/>
        </w:rPr>
        <w:t>（烃类）、</w:t>
      </w:r>
      <w:r>
        <w:rPr>
          <w:rFonts w:hint="default" w:ascii="Times New Roman" w:hAnsi="Times New Roman" w:eastAsia="宋体" w:cs="Times New Roman"/>
          <w:color w:val="auto"/>
          <w:kern w:val="0"/>
          <w:sz w:val="28"/>
          <w:szCs w:val="28"/>
          <w:highlight w:val="none"/>
          <w:lang w:val="en-US" w:eastAsia="zh-CN" w:bidi="ar"/>
        </w:rPr>
        <w:t>CO</w:t>
      </w:r>
      <w:r>
        <w:rPr>
          <w:rFonts w:hint="eastAsia" w:ascii="Times New Roman" w:hAnsi="Times New Roman" w:eastAsia="宋体" w:cs="Times New Roman"/>
          <w:color w:val="auto"/>
          <w:kern w:val="0"/>
          <w:sz w:val="28"/>
          <w:szCs w:val="28"/>
          <w:highlight w:val="none"/>
          <w:lang w:val="en-US" w:eastAsia="zh-CN" w:bidi="ar"/>
        </w:rPr>
        <w:t>等。根据《环境影响评价工程师职业资格登记培训教材：社会区域类环境影响评价》中计算参数可知，</w:t>
      </w:r>
      <w:r>
        <w:rPr>
          <w:rFonts w:hint="default" w:ascii="Times New Roman" w:hAnsi="Times New Roman" w:eastAsia="宋体" w:cs="Times New Roman"/>
          <w:color w:val="auto"/>
          <w:kern w:val="0"/>
          <w:sz w:val="28"/>
          <w:szCs w:val="28"/>
          <w:highlight w:val="none"/>
          <w:lang w:val="en-US" w:eastAsia="zh-CN" w:bidi="ar"/>
        </w:rPr>
        <w:t>柴油发电机运行污染物排放系数为：SO</w:t>
      </w:r>
      <w:r>
        <w:rPr>
          <w:rFonts w:hint="default"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4g/L、NO</w:t>
      </w:r>
      <w:r>
        <w:rPr>
          <w:rFonts w:hint="default" w:ascii="Times New Roman" w:hAnsi="Times New Roman" w:eastAsia="宋体" w:cs="Times New Roman"/>
          <w:color w:val="auto"/>
          <w:kern w:val="0"/>
          <w:sz w:val="28"/>
          <w:szCs w:val="28"/>
          <w:highlight w:val="none"/>
          <w:vertAlign w:val="subscript"/>
          <w:lang w:val="en-US" w:eastAsia="zh-CN" w:bidi="ar"/>
        </w:rPr>
        <w:t>X</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2.56g/L、颗粒物</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0.7146g/L、CO</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1.52g/L、HC</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1.489g/L、HC+NO</w:t>
      </w:r>
      <w:r>
        <w:rPr>
          <w:rFonts w:hint="default" w:ascii="Times New Roman" w:hAnsi="Times New Roman" w:eastAsia="宋体" w:cs="Times New Roman"/>
          <w:color w:val="auto"/>
          <w:kern w:val="0"/>
          <w:sz w:val="28"/>
          <w:szCs w:val="28"/>
          <w:highlight w:val="none"/>
          <w:vertAlign w:val="subscript"/>
          <w:lang w:val="en-US" w:eastAsia="zh-CN" w:bidi="ar"/>
        </w:rPr>
        <w:t>X</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4.049g/L。1吨</w:t>
      </w:r>
      <w:r>
        <w:rPr>
          <w:rFonts w:hint="eastAsia" w:ascii="Times New Roman" w:hAnsi="Times New Roman" w:eastAsia="宋体" w:cs="Times New Roman"/>
          <w:color w:val="auto"/>
          <w:kern w:val="0"/>
          <w:sz w:val="28"/>
          <w:szCs w:val="28"/>
          <w:highlight w:val="none"/>
          <w:lang w:val="en-US" w:eastAsia="zh-CN" w:bidi="ar"/>
        </w:rPr>
        <w:t>-35</w:t>
      </w:r>
      <w:r>
        <w:rPr>
          <w:rFonts w:hint="default" w:ascii="Times New Roman" w:hAnsi="Times New Roman" w:eastAsia="宋体" w:cs="Times New Roman"/>
          <w:color w:val="auto"/>
          <w:kern w:val="0"/>
          <w:sz w:val="28"/>
          <w:szCs w:val="28"/>
          <w:highlight w:val="none"/>
          <w:lang w:val="en-US" w:eastAsia="zh-CN" w:bidi="ar"/>
        </w:rPr>
        <w:t>#柴油</w:t>
      </w:r>
      <w:r>
        <w:rPr>
          <w:rFonts w:hint="eastAsia" w:ascii="Times New Roman" w:hAnsi="Times New Roman" w:eastAsia="宋体" w:cs="Times New Roman"/>
          <w:color w:val="auto"/>
          <w:kern w:val="0"/>
          <w:sz w:val="28"/>
          <w:szCs w:val="28"/>
          <w:highlight w:val="none"/>
          <w:lang w:val="en-US" w:eastAsia="zh-CN" w:bidi="ar"/>
        </w:rPr>
        <w:t>（低标号）</w:t>
      </w:r>
      <w:r>
        <w:rPr>
          <w:rFonts w:hint="default" w:ascii="Times New Roman" w:hAnsi="Times New Roman" w:eastAsia="宋体" w:cs="Times New Roman"/>
          <w:color w:val="auto"/>
          <w:kern w:val="0"/>
          <w:sz w:val="28"/>
          <w:szCs w:val="28"/>
          <w:highlight w:val="none"/>
          <w:lang w:val="en-US" w:eastAsia="zh-CN" w:bidi="ar"/>
        </w:rPr>
        <w:t>体积为11</w:t>
      </w:r>
      <w:r>
        <w:rPr>
          <w:rFonts w:hint="eastAsia" w:ascii="Times New Roman" w:hAnsi="Times New Roman" w:eastAsia="宋体" w:cs="Times New Roman"/>
          <w:color w:val="auto"/>
          <w:kern w:val="0"/>
          <w:sz w:val="28"/>
          <w:szCs w:val="28"/>
          <w:highlight w:val="none"/>
          <w:lang w:val="en-US" w:eastAsia="zh-CN" w:bidi="ar"/>
        </w:rPr>
        <w:t>90</w:t>
      </w:r>
      <w:r>
        <w:rPr>
          <w:rFonts w:hint="default" w:ascii="Times New Roman" w:hAnsi="Times New Roman" w:eastAsia="宋体" w:cs="Times New Roman"/>
          <w:color w:val="auto"/>
          <w:kern w:val="0"/>
          <w:sz w:val="28"/>
          <w:szCs w:val="28"/>
          <w:highlight w:val="none"/>
          <w:lang w:val="en-US" w:eastAsia="zh-CN" w:bidi="ar"/>
        </w:rPr>
        <w:t>L，</w:t>
      </w:r>
      <w:r>
        <w:rPr>
          <w:rFonts w:hint="eastAsia" w:ascii="Times New Roman" w:hAnsi="Times New Roman" w:eastAsia="宋体" w:cs="Times New Roman"/>
          <w:color w:val="auto"/>
          <w:kern w:val="0"/>
          <w:sz w:val="28"/>
          <w:szCs w:val="28"/>
          <w:highlight w:val="none"/>
          <w:lang w:val="en-US" w:eastAsia="zh-CN" w:bidi="ar"/>
        </w:rPr>
        <w:t>则本项目使用-35#柴油共304640L。本项目每座进场使用柴油机3台，标定功率为895-1000kw。项目柴油机排放的废气中各种污染物的排放情况见表</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.5-1。</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szCs w:val="24"/>
          <w:highlight w:val="none"/>
          <w:lang w:val="en-US" w:eastAsia="zh-CN" w:bidi="ar"/>
        </w:rPr>
        <w:t>柴油机烟气中污染物排放表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07"/>
        <w:gridCol w:w="825"/>
        <w:gridCol w:w="1216"/>
        <w:gridCol w:w="1217"/>
        <w:gridCol w:w="1217"/>
        <w:gridCol w:w="1217"/>
        <w:gridCol w:w="12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w:t>
            </w:r>
          </w:p>
        </w:tc>
        <w:tc>
          <w:tcPr>
            <w:tcW w:w="8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X</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颗粒物</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HC+NO</w:t>
            </w:r>
            <w:r>
              <w:rPr>
                <w:rFonts w:hint="default" w:ascii="Times New Roman" w:hAnsi="Times New Roman" w:cs="Times New Roman"/>
                <w:color w:val="auto"/>
                <w:sz w:val="24"/>
                <w:szCs w:val="24"/>
                <w:highlight w:val="none"/>
                <w:vertAlign w:val="subscript"/>
                <w:lang w:val="en-US" w:eastAsia="zh-CN"/>
              </w:rPr>
              <w:t>X</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排污系数（g/L</w:t>
            </w:r>
            <w:r>
              <w:rPr>
                <w:rFonts w:hint="eastAsia" w:ascii="Times New Roman" w:hAnsi="Times New Roman" w:cs="Times New Roman"/>
                <w:color w:val="auto"/>
                <w:sz w:val="24"/>
                <w:szCs w:val="24"/>
                <w:highlight w:val="none"/>
                <w:vertAlign w:val="baseline"/>
                <w:lang w:val="en-US" w:eastAsia="zh-CN"/>
              </w:rPr>
              <w:t>柴油）</w:t>
            </w:r>
          </w:p>
        </w:tc>
        <w:tc>
          <w:tcPr>
            <w:tcW w:w="8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2.56</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0.7146</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1.52</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1.489</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排放量</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（t</w:t>
            </w:r>
            <w:r>
              <w:rPr>
                <w:rFonts w:hint="eastAsia" w:ascii="Times New Roman" w:hAnsi="Times New Roman" w:cs="Times New Roman"/>
                <w:color w:val="auto"/>
                <w:sz w:val="24"/>
                <w:szCs w:val="24"/>
                <w:highlight w:val="none"/>
                <w:vertAlign w:val="baseline"/>
                <w:lang w:val="en-US" w:eastAsia="zh-CN"/>
              </w:rPr>
              <w:t>）</w:t>
            </w:r>
          </w:p>
        </w:tc>
        <w:tc>
          <w:tcPr>
            <w:tcW w:w="8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0.780</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0.218</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0.463</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0.454</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7"/>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注：柴油密度以</w:t>
            </w:r>
            <w:r>
              <w:rPr>
                <w:rFonts w:hint="eastAsia" w:ascii="Times New Roman" w:hAnsi="Times New Roman" w:cs="Times New Roman"/>
                <w:color w:val="auto"/>
                <w:sz w:val="24"/>
                <w:szCs w:val="24"/>
                <w:highlight w:val="none"/>
                <w:vertAlign w:val="baseline"/>
                <w:lang w:val="en-US" w:eastAsia="zh-CN"/>
              </w:rPr>
              <w:t>0.84t/m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计</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-2</w:t>
      </w:r>
      <w:r>
        <w:rPr>
          <w:rFonts w:hint="eastAsia" w:ascii="Times New Roman" w:hAnsi="Times New Roman" w:eastAsia="宋体" w:cs="Times New Roman"/>
          <w:b/>
          <w:bCs/>
          <w:color w:val="auto"/>
          <w:kern w:val="0"/>
          <w:sz w:val="24"/>
          <w:szCs w:val="24"/>
          <w:highlight w:val="none"/>
          <w:lang w:val="en-US" w:eastAsia="zh-CN" w:bidi="ar"/>
        </w:rPr>
        <w:t>单台柴油机燃柴油污染物排放速率表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96"/>
        <w:gridCol w:w="1200"/>
        <w:gridCol w:w="1201"/>
        <w:gridCol w:w="1201"/>
        <w:gridCol w:w="1201"/>
        <w:gridCol w:w="1201"/>
        <w:gridCol w:w="12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X</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颗粒物</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HC+NO</w:t>
            </w:r>
            <w:r>
              <w:rPr>
                <w:rFonts w:hint="default" w:ascii="Times New Roman" w:hAnsi="Times New Roman" w:cs="Times New Roman"/>
                <w:color w:val="auto"/>
                <w:sz w:val="24"/>
                <w:szCs w:val="24"/>
                <w:highlight w:val="none"/>
                <w:vertAlign w:val="subscript"/>
                <w:lang w:val="en-US" w:eastAsia="zh-CN"/>
              </w:rPr>
              <w:t>X</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排放速率(g/kw•h)</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0.84</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0.54</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0.15</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0.32</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0.31</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第三阶段排放标准限值（g/kwh）</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0.20</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3.5</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占排放限值百分比（%</w:t>
            </w: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75</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9.1</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13.3</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（2）施工扬尘</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根据同类项目的现场模拟数据调查，在距施工现场</w:t>
      </w:r>
      <w:r>
        <w:rPr>
          <w:rFonts w:hint="default" w:ascii="Times New Roman" w:hAnsi="Times New Roman" w:eastAsia="宋体" w:cs="Times New Roman"/>
          <w:color w:val="auto"/>
          <w:kern w:val="0"/>
          <w:sz w:val="28"/>
          <w:szCs w:val="28"/>
          <w:highlight w:val="none"/>
          <w:lang w:val="en-US" w:eastAsia="zh-CN" w:bidi="ar"/>
        </w:rPr>
        <w:t>50m</w:t>
      </w:r>
      <w:r>
        <w:rPr>
          <w:rFonts w:hint="eastAsia" w:ascii="Times New Roman" w:hAnsi="Times New Roman" w:eastAsia="宋体" w:cs="Times New Roman"/>
          <w:color w:val="auto"/>
          <w:kern w:val="0"/>
          <w:sz w:val="28"/>
          <w:szCs w:val="28"/>
          <w:highlight w:val="none"/>
          <w:lang w:val="en-US" w:eastAsia="zh-CN" w:bidi="ar"/>
        </w:rPr>
        <w:t>处，产生的扬尘可降至</w:t>
      </w:r>
      <w:r>
        <w:rPr>
          <w:rFonts w:hint="default" w:ascii="Times New Roman" w:hAnsi="Times New Roman" w:eastAsia="宋体" w:cs="Times New Roman"/>
          <w:color w:val="auto"/>
          <w:kern w:val="0"/>
          <w:sz w:val="28"/>
          <w:szCs w:val="28"/>
          <w:highlight w:val="none"/>
          <w:lang w:val="en-US" w:eastAsia="zh-CN" w:bidi="ar"/>
        </w:rPr>
        <w:t>1.0mg/m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。另外，进出施工场地的运输车辆也会造成施工作业场所近地面粉尘浓度的升高，施工及运输车辆引起的扬尘仅对路边</w:t>
      </w:r>
      <w:r>
        <w:rPr>
          <w:rFonts w:hint="default" w:ascii="Times New Roman" w:hAnsi="Times New Roman" w:eastAsia="宋体" w:cs="Times New Roman"/>
          <w:color w:val="auto"/>
          <w:kern w:val="0"/>
          <w:sz w:val="28"/>
          <w:szCs w:val="28"/>
          <w:highlight w:val="none"/>
          <w:lang w:val="en-US" w:eastAsia="zh-CN" w:bidi="ar"/>
        </w:rPr>
        <w:t>30m</w:t>
      </w:r>
      <w:r>
        <w:rPr>
          <w:rFonts w:hint="eastAsia" w:ascii="Times New Roman" w:hAnsi="Times New Roman" w:eastAsia="宋体" w:cs="Times New Roman"/>
          <w:color w:val="auto"/>
          <w:kern w:val="0"/>
          <w:sz w:val="28"/>
          <w:szCs w:val="28"/>
          <w:highlight w:val="none"/>
          <w:lang w:val="en-US" w:eastAsia="zh-CN" w:bidi="ar"/>
        </w:rPr>
        <w:t>范围以内影响较大，而且成线型污染，路边的</w:t>
      </w:r>
      <w:r>
        <w:rPr>
          <w:rFonts w:hint="default" w:ascii="Times New Roman" w:hAnsi="Times New Roman" w:eastAsia="宋体" w:cs="Times New Roman"/>
          <w:color w:val="auto"/>
          <w:kern w:val="0"/>
          <w:sz w:val="28"/>
          <w:szCs w:val="28"/>
          <w:highlight w:val="none"/>
          <w:lang w:val="en-US" w:eastAsia="zh-CN" w:bidi="ar"/>
        </w:rPr>
        <w:t>TSP</w:t>
      </w:r>
      <w:r>
        <w:rPr>
          <w:rFonts w:hint="eastAsia" w:ascii="Times New Roman" w:hAnsi="Times New Roman" w:eastAsia="宋体" w:cs="Times New Roman"/>
          <w:color w:val="auto"/>
          <w:kern w:val="0"/>
          <w:sz w:val="28"/>
          <w:szCs w:val="28"/>
          <w:highlight w:val="none"/>
          <w:lang w:val="en-US" w:eastAsia="zh-CN" w:bidi="ar"/>
        </w:rPr>
        <w:t>浓度可达</w:t>
      </w:r>
      <w:r>
        <w:rPr>
          <w:rFonts w:hint="default" w:ascii="Times New Roman" w:hAnsi="Times New Roman" w:eastAsia="宋体" w:cs="Times New Roman"/>
          <w:color w:val="auto"/>
          <w:kern w:val="0"/>
          <w:sz w:val="28"/>
          <w:szCs w:val="28"/>
          <w:highlight w:val="none"/>
          <w:lang w:val="en-US" w:eastAsia="zh-CN" w:bidi="ar"/>
        </w:rPr>
        <w:t>10mg/m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以上，一般浓度在</w:t>
      </w:r>
      <w:r>
        <w:rPr>
          <w:rFonts w:hint="default" w:ascii="Times New Roman" w:hAnsi="Times New Roman" w:eastAsia="宋体" w:cs="Times New Roman"/>
          <w:color w:val="auto"/>
          <w:kern w:val="0"/>
          <w:sz w:val="28"/>
          <w:szCs w:val="28"/>
          <w:highlight w:val="none"/>
          <w:lang w:val="en-US" w:eastAsia="zh-CN" w:bidi="ar"/>
        </w:rPr>
        <w:t>1.5</w:t>
      </w:r>
      <w:r>
        <w:rPr>
          <w:rFonts w:hint="eastAsia" w:ascii="Times New Roman" w:hAnsi="Times New Roman" w:eastAsia="宋体" w:cs="Times New Roman"/>
          <w:color w:val="auto"/>
          <w:kern w:val="0"/>
          <w:sz w:val="28"/>
          <w:szCs w:val="28"/>
          <w:highlight w:val="none"/>
          <w:lang w:val="en-US" w:eastAsia="zh-CN" w:bidi="ar"/>
        </w:rPr>
        <w:t>～30</w:t>
      </w:r>
      <w:r>
        <w:rPr>
          <w:rFonts w:hint="default" w:ascii="Times New Roman" w:hAnsi="Times New Roman" w:eastAsia="宋体" w:cs="Times New Roman"/>
          <w:color w:val="auto"/>
          <w:kern w:val="0"/>
          <w:sz w:val="28"/>
          <w:szCs w:val="28"/>
          <w:highlight w:val="none"/>
          <w:lang w:val="en-US" w:eastAsia="zh-CN" w:bidi="ar"/>
        </w:rPr>
        <w:t>mg/m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（3）施工机械、运输车辆排放的废气</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在项目施工期间，施工机械及运输车辆的发动机排放的尾气在含有</w:t>
      </w:r>
      <w:r>
        <w:rPr>
          <w:rFonts w:hint="default" w:ascii="Times New Roman" w:hAnsi="Times New Roman" w:eastAsia="宋体" w:cs="Times New Roman"/>
          <w:color w:val="auto"/>
          <w:kern w:val="0"/>
          <w:sz w:val="28"/>
          <w:szCs w:val="28"/>
          <w:highlight w:val="none"/>
          <w:lang w:val="en-US" w:eastAsia="zh-CN" w:bidi="ar"/>
        </w:rPr>
        <w:t>NO</w:t>
      </w:r>
      <w:r>
        <w:rPr>
          <w:rFonts w:hint="eastAsia" w:ascii="Times New Roman" w:hAnsi="Times New Roman" w:eastAsia="宋体" w:cs="Times New Roman"/>
          <w:color w:val="auto"/>
          <w:kern w:val="0"/>
          <w:sz w:val="28"/>
          <w:szCs w:val="28"/>
          <w:highlight w:val="none"/>
          <w:vertAlign w:val="subscript"/>
          <w:lang w:val="en-US" w:eastAsia="zh-CN" w:bidi="ar"/>
        </w:rPr>
        <w:t>X</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CO</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THC</w:t>
      </w:r>
      <w:r>
        <w:rPr>
          <w:rFonts w:hint="eastAsia" w:ascii="Times New Roman" w:hAnsi="Times New Roman" w:eastAsia="宋体" w:cs="Times New Roman"/>
          <w:color w:val="auto"/>
          <w:kern w:val="0"/>
          <w:sz w:val="28"/>
          <w:szCs w:val="28"/>
          <w:highlight w:val="none"/>
          <w:lang w:val="en-US" w:eastAsia="zh-CN" w:bidi="ar"/>
        </w:rPr>
        <w:t>等污染物，</w:t>
      </w:r>
      <w:r>
        <w:rPr>
          <w:rFonts w:hint="default" w:ascii="Times New Roman" w:hAnsi="Times New Roman" w:eastAsia="宋体" w:cs="Times New Roman"/>
          <w:color w:val="auto"/>
          <w:kern w:val="0"/>
          <w:sz w:val="28"/>
          <w:szCs w:val="28"/>
          <w:highlight w:val="none"/>
          <w:lang w:val="en-US" w:eastAsia="zh-CN" w:bidi="ar"/>
        </w:rPr>
        <w:t>做好维护和保养，减少排放尾气的产生，施工车辆尾气仅在施工期产生，时间较短，</w:t>
      </w:r>
      <w:r>
        <w:rPr>
          <w:rFonts w:hint="eastAsia" w:ascii="Times New Roman" w:hAnsi="Times New Roman" w:eastAsia="宋体" w:cs="Times New Roman"/>
          <w:color w:val="auto"/>
          <w:kern w:val="0"/>
          <w:sz w:val="28"/>
          <w:szCs w:val="28"/>
          <w:highlight w:val="none"/>
          <w:lang w:val="en-US" w:eastAsia="zh-CN" w:bidi="ar"/>
        </w:rPr>
        <w:t>各种污染物的排放量不大，</w:t>
      </w:r>
      <w:r>
        <w:rPr>
          <w:rFonts w:hint="default" w:ascii="Times New Roman" w:hAnsi="Times New Roman" w:eastAsia="宋体" w:cs="Times New Roman"/>
          <w:color w:val="auto"/>
          <w:kern w:val="0"/>
          <w:sz w:val="28"/>
          <w:szCs w:val="28"/>
          <w:highlight w:val="none"/>
          <w:lang w:val="en-US" w:eastAsia="zh-CN" w:bidi="ar"/>
        </w:rPr>
        <w:t>施工结束随之消失</w:t>
      </w:r>
      <w:r>
        <w:rPr>
          <w:rFonts w:hint="eastAsia" w:ascii="Times New Roman" w:hAnsi="Times New Roman" w:eastAsia="宋体" w:cs="Times New Roman"/>
          <w:color w:val="auto"/>
          <w:kern w:val="0"/>
          <w:sz w:val="28"/>
          <w:szCs w:val="28"/>
          <w:highlight w:val="none"/>
          <w:lang w:val="en-US" w:eastAsia="zh-CN" w:bidi="ar"/>
        </w:rPr>
        <w:t>，对周围环境的影响较小。</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（4）水泥固井无组织粉尘</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固井水泥浆配置过程产生无组织粉尘，参照《逸散性工业粉尘控制技术》，水泥浆配置过程中粉尘产生情况取0.02kg/t物料量,项目使用水泥总量为1019t，则项目水泥固井工序产生的颗粒物总量为0.020t/a。</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本项目施工阶段定期洒水抑尘，根据《固体物料堆存颗粒物产排污核算系数手册》，洒水抑尘粉尘治理效率可达74%，则本项目无组织颗粒物排放量为0.005t/a。</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（5）放空火炬燃烧废气</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测试放喷是在射孔、压裂作业后，利用测试放喷专用管线将井内油气引至放喷池点火燃烧对油气井进行产量测试的过程。</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类比同区块气井，肇深16-1、肇深16-平1及肇深19-平1，单井日产气量在4100m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/h-6300m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/h。本项目测试放喷时间约15天，每次持续放喷时间约2～3h。则本项目试气量最大为85万m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。根据《排污申报登记实用手册》，1万m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天然气完全燃烧，产生的燃烧烟气量为10.5万m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vertAlign w:val="baseline"/>
          <w:lang w:val="en-US" w:eastAsia="zh-CN" w:bidi="ar"/>
        </w:rPr>
        <w:t>，试气期间燃烧烟气量为893万m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vertAlign w:val="baseline"/>
          <w:lang w:val="en-US" w:eastAsia="zh-CN" w:bidi="ar"/>
        </w:rPr>
        <w:t>，根据《社会区域类环境影响评价》，1000m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vertAlign w:val="baseline"/>
          <w:lang w:val="en-US" w:eastAsia="zh-CN" w:bidi="ar"/>
        </w:rPr>
        <w:t>天然气燃烧污染排放因子排放情况为TSP0.14kg，SO</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vertAlign w:val="baseline"/>
          <w:lang w:val="en-US" w:eastAsia="zh-CN" w:bidi="ar"/>
        </w:rPr>
        <w:t>0.18kg，NO</w:t>
      </w:r>
      <w:r>
        <w:rPr>
          <w:rFonts w:hint="eastAsia" w:ascii="Times New Roman" w:hAnsi="Times New Roman" w:eastAsia="宋体" w:cs="Times New Roman"/>
          <w:color w:val="auto"/>
          <w:kern w:val="0"/>
          <w:sz w:val="28"/>
          <w:szCs w:val="28"/>
          <w:highlight w:val="none"/>
          <w:vertAlign w:val="subscript"/>
          <w:lang w:val="en-US" w:eastAsia="zh-CN" w:bidi="ar"/>
        </w:rPr>
        <w:t>X</w:t>
      </w:r>
      <w:r>
        <w:rPr>
          <w:rFonts w:hint="eastAsia" w:ascii="Times New Roman" w:hAnsi="Times New Roman" w:eastAsia="宋体" w:cs="Times New Roman"/>
          <w:color w:val="auto"/>
          <w:kern w:val="0"/>
          <w:sz w:val="28"/>
          <w:szCs w:val="28"/>
          <w:highlight w:val="none"/>
          <w:vertAlign w:val="baseline"/>
          <w:lang w:val="en-US" w:eastAsia="zh-CN" w:bidi="ar"/>
        </w:rPr>
        <w:t>1.76kg。则本项目试气期间颗粒物产生量0.12t，0.87kg/h，二氧化硫产生量0.15t，1.11kg/h，氮氧化物产生量1.5t，11.1kg/h。</w:t>
      </w:r>
      <w:r>
        <w:rPr>
          <w:rFonts w:hint="eastAsia" w:ascii="Times New Roman" w:hAnsi="Times New Roman" w:eastAsia="宋体" w:cs="Times New Roman"/>
          <w:color w:val="auto"/>
          <w:kern w:val="0"/>
          <w:sz w:val="28"/>
          <w:szCs w:val="28"/>
          <w:highlight w:val="none"/>
          <w:lang w:val="en-US" w:eastAsia="zh-CN" w:bidi="ar"/>
        </w:rPr>
        <w:t>污染物主要有</w:t>
      </w:r>
      <w:r>
        <w:rPr>
          <w:rFonts w:hint="default" w:ascii="Times New Roman" w:hAnsi="Times New Roman" w:eastAsia="宋体" w:cs="Times New Roman"/>
          <w:color w:val="auto"/>
          <w:kern w:val="0"/>
          <w:sz w:val="28"/>
          <w:szCs w:val="28"/>
          <w:highlight w:val="none"/>
          <w:lang w:val="en-US" w:eastAsia="zh-CN" w:bidi="ar"/>
        </w:rPr>
        <w:t>SO</w:t>
      </w:r>
      <w:r>
        <w:rPr>
          <w:rFonts w:hint="default"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NOx</w:t>
      </w:r>
      <w:r>
        <w:rPr>
          <w:rFonts w:hint="eastAsia" w:ascii="Times New Roman" w:hAnsi="Times New Roman" w:eastAsia="宋体" w:cs="Times New Roman"/>
          <w:color w:val="auto"/>
          <w:kern w:val="0"/>
          <w:sz w:val="28"/>
          <w:szCs w:val="28"/>
          <w:highlight w:val="none"/>
          <w:lang w:val="en-US" w:eastAsia="zh-CN" w:bidi="ar"/>
        </w:rPr>
        <w:t>及颗粒物，天然气属于清洁能源，且排放时间短，当天试气结束后，烟气在空旷地带逸散，对环境影响持续影响较小。</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废水</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（1）钻井污水</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钻井污水主要来自钻井过程中冲洗钻台、钻具和设备等产生的废水。</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新建气井井别为定向井及水平井，均为特殊气井，设计完钻斜深3761～4607m，根据《石油和天然气开采专业及辅助性活动行业系数手册》续表5-续表7，本项目产生一般钻井污水量为1947t，含油钻井废水产生量为5118t。</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一般钻井废水与废弃水基钻井液、一般岩屑一起暂存于水基钢制泥浆槽，定期由罐车拉运至黑龙江龙之润五厂处理站处理。处理过程中产生的滤液由罐车送至杏十五一联合站污水处理站处理，满足《大庆油田地面工程建设设计规定》（Q/SYDQ0639-2015）限值要求“含油量≤20mg/L、悬浮固体含量≤20mg/L”，回注现役油层。</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含油钻井废水与废弃油基钻井液、油基岩屑一起暂存油基钢制泥浆槽，由罐车拉运至大庆市云泰石化产品有限公司建设的废弃泥浆无害化处理油基泥浆站处理。处理过程中产生的滤液由罐车运至龙一联含油污水站处理，处理后水质满足《大庆油田地面工程建设设计规定》（Q/SYDQ0639-2015）限值要求（含油量≤8mg/L、悬浮固体含量≤3mg/L）后回注。</w:t>
      </w:r>
    </w:p>
    <w:p>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生活污水</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本项目钻井队在井人数为</w:t>
      </w:r>
      <w:r>
        <w:rPr>
          <w:rFonts w:hint="eastAsia" w:ascii="Times New Roman" w:hAnsi="Times New Roman" w:eastAsia="宋体" w:cs="Times New Roman"/>
          <w:color w:val="auto"/>
          <w:kern w:val="0"/>
          <w:sz w:val="28"/>
          <w:szCs w:val="28"/>
          <w:highlight w:val="none"/>
          <w:lang w:val="en-US" w:eastAsia="zh-CN" w:bidi="ar"/>
        </w:rPr>
        <w:t>30</w:t>
      </w:r>
      <w:r>
        <w:rPr>
          <w:rFonts w:hint="eastAsia" w:ascii="宋体" w:hAnsi="宋体" w:eastAsia="宋体" w:cs="宋体"/>
          <w:color w:val="auto"/>
          <w:kern w:val="0"/>
          <w:sz w:val="28"/>
          <w:szCs w:val="28"/>
          <w:highlight w:val="none"/>
          <w:lang w:val="en-US" w:eastAsia="zh-CN" w:bidi="ar"/>
        </w:rPr>
        <w:t>人，钻井时间</w:t>
      </w:r>
      <w:r>
        <w:rPr>
          <w:rFonts w:hint="default" w:ascii="Times New Roman" w:hAnsi="Times New Roman" w:eastAsia="宋体" w:cs="Times New Roman"/>
          <w:color w:val="auto"/>
          <w:kern w:val="0"/>
          <w:sz w:val="28"/>
          <w:szCs w:val="28"/>
          <w:highlight w:val="none"/>
          <w:lang w:val="en-US" w:eastAsia="zh-CN" w:bidi="ar"/>
        </w:rPr>
        <w:t>100</w:t>
      </w:r>
      <w:r>
        <w:rPr>
          <w:rFonts w:hint="eastAsia" w:ascii="宋体" w:hAnsi="宋体" w:eastAsia="宋体" w:cs="宋体"/>
          <w:color w:val="auto"/>
          <w:kern w:val="0"/>
          <w:sz w:val="28"/>
          <w:szCs w:val="28"/>
          <w:highlight w:val="none"/>
          <w:lang w:val="en-US" w:eastAsia="zh-CN" w:bidi="ar"/>
        </w:rPr>
        <w:t>天。根据《黑龙江省地方标准用水定额》（</w:t>
      </w:r>
      <w:r>
        <w:rPr>
          <w:rFonts w:hint="default" w:ascii="Times New Roman" w:hAnsi="Times New Roman" w:eastAsia="宋体" w:cs="Times New Roman"/>
          <w:color w:val="auto"/>
          <w:kern w:val="0"/>
          <w:sz w:val="28"/>
          <w:szCs w:val="28"/>
          <w:highlight w:val="none"/>
          <w:lang w:val="en-US" w:eastAsia="zh-CN" w:bidi="ar"/>
        </w:rPr>
        <w:t>DB23/T727-2021</w:t>
      </w:r>
      <w:r>
        <w:rPr>
          <w:rFonts w:hint="eastAsia" w:ascii="宋体" w:hAnsi="宋体" w:eastAsia="宋体" w:cs="宋体"/>
          <w:color w:val="auto"/>
          <w:kern w:val="0"/>
          <w:sz w:val="28"/>
          <w:szCs w:val="28"/>
          <w:highlight w:val="none"/>
          <w:lang w:val="en-US" w:eastAsia="zh-CN" w:bidi="ar"/>
        </w:rPr>
        <w:t>），本项目施工人员生活</w:t>
      </w:r>
      <w:r>
        <w:rPr>
          <w:rFonts w:hint="eastAsia" w:ascii="Times New Roman" w:hAnsi="Times New Roman" w:eastAsia="宋体" w:cs="Times New Roman"/>
          <w:color w:val="auto"/>
          <w:kern w:val="0"/>
          <w:sz w:val="28"/>
          <w:szCs w:val="28"/>
          <w:highlight w:val="none"/>
          <w:lang w:val="en-US" w:eastAsia="zh-CN" w:bidi="ar"/>
        </w:rPr>
        <w:t>用水按</w:t>
      </w:r>
      <w:r>
        <w:rPr>
          <w:rFonts w:hint="default" w:ascii="Times New Roman" w:hAnsi="Times New Roman" w:eastAsia="宋体" w:cs="Times New Roman"/>
          <w:color w:val="auto"/>
          <w:kern w:val="0"/>
          <w:sz w:val="28"/>
          <w:szCs w:val="28"/>
          <w:highlight w:val="none"/>
          <w:lang w:val="en-US" w:eastAsia="zh-CN" w:bidi="ar"/>
        </w:rPr>
        <w:t>80L/</w:t>
      </w:r>
      <w:r>
        <w:rPr>
          <w:rFonts w:hint="eastAsia" w:ascii="Times New Roman" w:hAnsi="Times New Roman" w:eastAsia="宋体" w:cs="Times New Roman"/>
          <w:color w:val="auto"/>
          <w:kern w:val="0"/>
          <w:sz w:val="28"/>
          <w:szCs w:val="28"/>
          <w:highlight w:val="none"/>
          <w:lang w:val="en-US" w:eastAsia="zh-CN" w:bidi="ar"/>
        </w:rPr>
        <w:t>人</w:t>
      </w:r>
      <w:r>
        <w:rPr>
          <w:rFonts w:hint="default" w:ascii="Times New Roman" w:hAnsi="Times New Roman" w:eastAsia="宋体" w:cs="Times New Roman"/>
          <w:color w:val="auto"/>
          <w:kern w:val="0"/>
          <w:sz w:val="28"/>
          <w:szCs w:val="28"/>
          <w:highlight w:val="none"/>
          <w:lang w:val="en-US" w:eastAsia="zh-CN" w:bidi="ar"/>
        </w:rPr>
        <w:t>·d</w:t>
      </w:r>
      <w:r>
        <w:rPr>
          <w:rFonts w:hint="eastAsia" w:ascii="Times New Roman" w:hAnsi="Times New Roman" w:eastAsia="宋体" w:cs="Times New Roman"/>
          <w:color w:val="auto"/>
          <w:kern w:val="0"/>
          <w:sz w:val="28"/>
          <w:szCs w:val="28"/>
          <w:highlight w:val="none"/>
          <w:lang w:val="en-US" w:eastAsia="zh-CN" w:bidi="ar"/>
        </w:rPr>
        <w:t>，生活污水按用水量的</w:t>
      </w:r>
      <w:r>
        <w:rPr>
          <w:rFonts w:hint="default" w:ascii="Times New Roman" w:hAnsi="Times New Roman" w:eastAsia="宋体" w:cs="Times New Roman"/>
          <w:color w:val="auto"/>
          <w:kern w:val="0"/>
          <w:sz w:val="28"/>
          <w:szCs w:val="28"/>
          <w:highlight w:val="none"/>
          <w:lang w:val="en-US" w:eastAsia="zh-CN" w:bidi="ar"/>
        </w:rPr>
        <w:t>80%</w:t>
      </w:r>
      <w:r>
        <w:rPr>
          <w:rFonts w:hint="eastAsia" w:ascii="Times New Roman" w:hAnsi="Times New Roman" w:eastAsia="宋体" w:cs="Times New Roman"/>
          <w:color w:val="auto"/>
          <w:kern w:val="0"/>
          <w:sz w:val="28"/>
          <w:szCs w:val="28"/>
          <w:highlight w:val="none"/>
          <w:lang w:val="en-US" w:eastAsia="zh-CN" w:bidi="ar"/>
        </w:rPr>
        <w:t>计算，则本项目钻井期生活污水共产生192t。生活污水进入施工营地设置的生活污水池，施工结束后进行卫生处理，场地进行平整。</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（3）压裂返排液</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本项目压裂作业过程中将产生压裂返排液。</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根据《石油和天然气开采专业及辅助性活动行业系数手册》，本项目压裂返排液产生系数为263.98m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/井，则本项目产生的压裂返排液共792m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根据项目所在区域地质特性及油田多年井下作业经验，每口气井压裂期间使用量平均为19000m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，返排液的产生量约为用量的20%-30%，本项目以30%计，根据类比法，本项目产生的压裂返排液量共17100m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根据《石油和天然气开采专业及辅助性活动行业系数手册》“2.4其他需要说明问题”，本项目压裂返排液产生量以企业实际提供数据为准，17100m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暂存在储液罐中，定期</w:t>
      </w:r>
      <w:r>
        <w:rPr>
          <w:rFonts w:hint="default" w:ascii="Times New Roman" w:hAnsi="Times New Roman" w:eastAsia="宋体" w:cs="Times New Roman"/>
          <w:color w:val="auto"/>
          <w:kern w:val="0"/>
          <w:sz w:val="28"/>
          <w:szCs w:val="28"/>
          <w:highlight w:val="none"/>
          <w:lang w:val="en-US" w:eastAsia="zh-CN" w:bidi="ar"/>
        </w:rPr>
        <w:t>由罐车拉运至哈19卸液站</w:t>
      </w:r>
      <w:r>
        <w:rPr>
          <w:rFonts w:hint="eastAsia" w:ascii="Times New Roman" w:hAnsi="Times New Roman" w:eastAsia="宋体" w:cs="Times New Roman"/>
          <w:color w:val="auto"/>
          <w:kern w:val="0"/>
          <w:sz w:val="28"/>
          <w:szCs w:val="28"/>
          <w:highlight w:val="none"/>
          <w:lang w:val="en-US" w:eastAsia="zh-CN" w:bidi="ar"/>
        </w:rPr>
        <w:t>处理，处理后水质满足</w:t>
      </w:r>
      <w:r>
        <w:rPr>
          <w:rFonts w:hint="default" w:ascii="Times New Roman" w:hAnsi="Times New Roman" w:eastAsia="宋体" w:cs="Times New Roman"/>
          <w:color w:val="auto"/>
          <w:kern w:val="0"/>
          <w:sz w:val="28"/>
          <w:szCs w:val="28"/>
          <w:highlight w:val="none"/>
          <w:lang w:val="en-US" w:eastAsia="zh-CN" w:bidi="ar"/>
        </w:rPr>
        <w:t>《大庆油田地面工程建设设计规定》（Q/SYDQ0639-2015）限值要求（含油量≤20mg/L，悬浮固体含量≤20mg/L）</w:t>
      </w:r>
      <w:r>
        <w:rPr>
          <w:rFonts w:hint="eastAsia" w:ascii="Times New Roman" w:hAnsi="Times New Roman" w:eastAsia="宋体" w:cs="Times New Roman"/>
          <w:color w:val="auto"/>
          <w:kern w:val="0"/>
          <w:sz w:val="28"/>
          <w:szCs w:val="28"/>
          <w:highlight w:val="none"/>
          <w:lang w:val="en-US" w:eastAsia="zh-CN" w:bidi="ar"/>
        </w:rPr>
        <w:t>，回注现役油层。</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（4）试气采出液</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试气作业时在井口安装分离器将试气采出液进行气液分离，其中的天然气通过放空管线引入井场临时设置的放空火炬燃烧处理，试气采出液经计量池计量后贮存于储液罐内，最终拉运至升一联气田污水预处理站处理后回注现役油层。</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根据试气期间试气量约为85万m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，类比同一气田已投产气井，肇深16-平1及肇深19-平1采出水比率约为5%，天然气密度以0.7174kg/m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计，则本项目试气期间产生的采出液约为31m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本项目废水产生及排放情况见表3.</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表3.</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施工期废水产生及排放情况</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47"/>
        <w:gridCol w:w="1560"/>
        <w:gridCol w:w="1261"/>
        <w:gridCol w:w="1588"/>
        <w:gridCol w:w="31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15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污染源</w:t>
            </w:r>
          </w:p>
        </w:tc>
        <w:tc>
          <w:tcPr>
            <w:tcW w:w="12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产生量</w:t>
            </w:r>
          </w:p>
        </w:tc>
        <w:tc>
          <w:tcPr>
            <w:tcW w:w="15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主要污染物</w:t>
            </w:r>
          </w:p>
        </w:tc>
        <w:tc>
          <w:tcPr>
            <w:tcW w:w="31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处理措施及去向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p>
        </w:tc>
        <w:tc>
          <w:tcPr>
            <w:tcW w:w="15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一般钻井污水</w:t>
            </w:r>
          </w:p>
        </w:tc>
        <w:tc>
          <w:tcPr>
            <w:tcW w:w="12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1947t</w:t>
            </w:r>
          </w:p>
        </w:tc>
        <w:tc>
          <w:tcPr>
            <w:tcW w:w="15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COD、SS</w:t>
            </w:r>
          </w:p>
        </w:tc>
        <w:tc>
          <w:tcPr>
            <w:tcW w:w="31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由罐车拉运至黑龙江</w:t>
            </w:r>
            <w:r>
              <w:rPr>
                <w:rFonts w:hint="default" w:ascii="Times New Roman" w:hAnsi="Times New Roman" w:cs="Times New Roman"/>
                <w:color w:val="auto"/>
                <w:sz w:val="24"/>
                <w:szCs w:val="24"/>
                <w:highlight w:val="none"/>
                <w:vertAlign w:val="baseline"/>
                <w:lang w:val="en-US" w:eastAsia="zh-CN"/>
              </w:rPr>
              <w:t>龙之润五厂处理站</w:t>
            </w:r>
            <w:r>
              <w:rPr>
                <w:rFonts w:hint="eastAsia" w:ascii="Times New Roman" w:hAnsi="Times New Roman" w:cs="Times New Roman"/>
                <w:color w:val="auto"/>
                <w:sz w:val="24"/>
                <w:szCs w:val="24"/>
                <w:highlight w:val="none"/>
                <w:vertAlign w:val="baseline"/>
                <w:lang w:val="en-US" w:eastAsia="zh-CN"/>
              </w:rPr>
              <w:t>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w:t>
            </w:r>
          </w:p>
        </w:tc>
        <w:tc>
          <w:tcPr>
            <w:tcW w:w="15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含油钻井污水</w:t>
            </w:r>
          </w:p>
        </w:tc>
        <w:tc>
          <w:tcPr>
            <w:tcW w:w="12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5118t</w:t>
            </w:r>
          </w:p>
        </w:tc>
        <w:tc>
          <w:tcPr>
            <w:tcW w:w="15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COD、SS、石油类</w:t>
            </w:r>
          </w:p>
        </w:tc>
        <w:tc>
          <w:tcPr>
            <w:tcW w:w="31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由罐车拉运至大庆市云泰石化产品有限公司建设的废弃泥浆无害化处理油基泥浆站处理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w:t>
            </w:r>
          </w:p>
        </w:tc>
        <w:tc>
          <w:tcPr>
            <w:tcW w:w="15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压裂返排液</w:t>
            </w:r>
          </w:p>
        </w:tc>
        <w:tc>
          <w:tcPr>
            <w:tcW w:w="12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17100m</w:t>
            </w:r>
            <w:r>
              <w:rPr>
                <w:rFonts w:hint="eastAsia" w:ascii="Times New Roman" w:hAnsi="Times New Roman" w:cs="Times New Roman"/>
                <w:color w:val="auto"/>
                <w:sz w:val="24"/>
                <w:szCs w:val="24"/>
                <w:highlight w:val="none"/>
                <w:vertAlign w:val="superscript"/>
                <w:lang w:val="en-US" w:eastAsia="zh-CN"/>
              </w:rPr>
              <w:t>3</w:t>
            </w:r>
          </w:p>
        </w:tc>
        <w:tc>
          <w:tcPr>
            <w:tcW w:w="15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r>
              <w:rPr>
                <w:rFonts w:hint="eastAsia" w:ascii="Times New Roman" w:hAnsi="Times New Roman" w:cs="Times New Roman"/>
                <w:color w:val="auto"/>
                <w:sz w:val="24"/>
                <w:szCs w:val="24"/>
                <w:highlight w:val="none"/>
                <w:vertAlign w:val="baseline"/>
                <w:lang w:val="en-US" w:eastAsia="zh-CN"/>
              </w:rPr>
              <w:t>、SS</w:t>
            </w:r>
          </w:p>
        </w:tc>
        <w:tc>
          <w:tcPr>
            <w:tcW w:w="31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由罐车拉运至哈19卸液站</w:t>
            </w:r>
            <w:r>
              <w:rPr>
                <w:rFonts w:hint="eastAsia" w:ascii="Times New Roman" w:hAnsi="Times New Roman" w:cs="Times New Roman"/>
                <w:color w:val="auto"/>
                <w:sz w:val="24"/>
                <w:szCs w:val="24"/>
                <w:highlight w:val="none"/>
                <w:vertAlign w:val="baseline"/>
                <w:lang w:val="en-US" w:eastAsia="zh-CN"/>
              </w:rPr>
              <w:t>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w:t>
            </w:r>
          </w:p>
        </w:tc>
        <w:tc>
          <w:tcPr>
            <w:tcW w:w="15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试气采出液</w:t>
            </w:r>
          </w:p>
        </w:tc>
        <w:tc>
          <w:tcPr>
            <w:tcW w:w="12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31m</w:t>
            </w:r>
            <w:r>
              <w:rPr>
                <w:rFonts w:hint="eastAsia" w:ascii="Times New Roman" w:hAnsi="Times New Roman" w:cs="Times New Roman"/>
                <w:color w:val="auto"/>
                <w:sz w:val="24"/>
                <w:szCs w:val="24"/>
                <w:highlight w:val="none"/>
                <w:vertAlign w:val="superscript"/>
                <w:lang w:val="en-US" w:eastAsia="zh-CN"/>
              </w:rPr>
              <w:t>3</w:t>
            </w:r>
          </w:p>
        </w:tc>
        <w:tc>
          <w:tcPr>
            <w:tcW w:w="15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p>
        </w:tc>
        <w:tc>
          <w:tcPr>
            <w:tcW w:w="31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拉运至升一联气田污水预处理站处理后回注现役油层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5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w:t>
            </w:r>
          </w:p>
        </w:tc>
        <w:tc>
          <w:tcPr>
            <w:tcW w:w="12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192m</w:t>
            </w:r>
            <w:r>
              <w:rPr>
                <w:rFonts w:hint="eastAsia" w:ascii="Times New Roman" w:hAnsi="Times New Roman" w:cs="Times New Roman"/>
                <w:color w:val="auto"/>
                <w:sz w:val="24"/>
                <w:szCs w:val="24"/>
                <w:highlight w:val="none"/>
                <w:vertAlign w:val="superscript"/>
                <w:lang w:val="en-US" w:eastAsia="zh-CN"/>
              </w:rPr>
              <w:t>3</w:t>
            </w:r>
          </w:p>
        </w:tc>
        <w:tc>
          <w:tcPr>
            <w:tcW w:w="15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COD、氨氮</w:t>
            </w:r>
          </w:p>
        </w:tc>
        <w:tc>
          <w:tcPr>
            <w:tcW w:w="31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进入施工营地设置的</w:t>
            </w:r>
            <w:r>
              <w:rPr>
                <w:rFonts w:hint="eastAsia" w:ascii="Times New Roman" w:hAnsi="Times New Roman" w:cs="Times New Roman"/>
                <w:color w:val="auto"/>
                <w:sz w:val="24"/>
                <w:szCs w:val="24"/>
                <w:highlight w:val="none"/>
                <w:vertAlign w:val="baseline"/>
                <w:lang w:val="en-US" w:eastAsia="zh-CN"/>
              </w:rPr>
              <w:t>生活</w:t>
            </w:r>
            <w:r>
              <w:rPr>
                <w:rFonts w:hint="default" w:ascii="Times New Roman" w:hAnsi="Times New Roman" w:cs="Times New Roman"/>
                <w:color w:val="auto"/>
                <w:sz w:val="24"/>
                <w:szCs w:val="24"/>
                <w:highlight w:val="none"/>
                <w:vertAlign w:val="baseline"/>
                <w:lang w:val="en-US" w:eastAsia="zh-CN"/>
              </w:rPr>
              <w:t>污水池，施工结束后进行卫生处理，场地进行平整</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5.3</w:t>
      </w:r>
      <w:r>
        <w:rPr>
          <w:rFonts w:hint="default" w:ascii="Times New Roman" w:hAnsi="Times New Roman" w:eastAsia="宋体" w:cs="Times New Roman"/>
          <w:color w:val="auto"/>
          <w:kern w:val="0"/>
          <w:sz w:val="28"/>
          <w:szCs w:val="28"/>
          <w:highlight w:val="none"/>
          <w:lang w:val="en-US" w:eastAsia="zh-CN" w:bidi="ar"/>
        </w:rPr>
        <w:t>噪声</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施工期噪声主要是施工设备和运输车辆运行产生的噪声，具体排放情况见表3.</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表3.</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项目施工期主要噪声源统计表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噪声源</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噪声值</w:t>
            </w:r>
            <w:r>
              <w:rPr>
                <w:rFonts w:hint="default" w:ascii="Times New Roman" w:hAnsi="Times New Roman" w:cs="Times New Roman"/>
                <w:color w:val="auto"/>
                <w:sz w:val="24"/>
                <w:szCs w:val="24"/>
                <w:highlight w:val="none"/>
                <w:vertAlign w:val="baseline"/>
                <w:lang w:val="en-US" w:eastAsia="zh-CN"/>
              </w:rPr>
              <w:t>dB</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挖掘机</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推土机、轮式装载机</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85～90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运输车辆</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75～80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柴油发电机</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85～105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钻机</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85～90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泥浆泵</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75～85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振动筛</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压裂车组</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85～105</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4固体废弃物</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（1）废钻井液</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废钻井液是指钻井过程中无法利用或钻井完工后废弃的泥浆和废水，其性质由使用的钻井液决定，其排放量随井深而变。本项目一开使用膨润土浆，二开使用钾盐共聚物，三开使用钾盐共聚物或胺基聚合物作为钻井液，产生的泥浆均为水基泥浆。</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石油和天然气开采专业及辅助性活动行业系数手册》，本项目新建气井井别为定向井及水平井，均为特殊气井，设计完钻斜深3761～4607m，根据续表8，本项目产生的废弃水基钻井液为879t，废弃油基钻井液4484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废弃水基钻井液属于一般废物，根据《固体废物分类目录》（环办便函〔2022〕221号），废物种类为SW12钻井岩屑，废物代码为072-004-12，经井口设置的水基钢制泥浆槽收集后，由罐车拉运至黑龙江</w:t>
      </w:r>
      <w:r>
        <w:rPr>
          <w:rFonts w:hint="default" w:ascii="Times New Roman" w:hAnsi="Times New Roman" w:eastAsia="宋体" w:cs="Times New Roman"/>
          <w:color w:val="auto"/>
          <w:kern w:val="0"/>
          <w:sz w:val="28"/>
          <w:szCs w:val="28"/>
          <w:highlight w:val="none"/>
          <w:lang w:val="en-US" w:eastAsia="zh-CN" w:bidi="ar"/>
        </w:rPr>
        <w:t>龙之润五厂处理站</w:t>
      </w:r>
      <w:r>
        <w:rPr>
          <w:rFonts w:hint="eastAsia" w:ascii="Times New Roman" w:hAnsi="Times New Roman" w:eastAsia="宋体" w:cs="Times New Roman"/>
          <w:color w:val="auto"/>
          <w:kern w:val="0"/>
          <w:sz w:val="28"/>
          <w:szCs w:val="28"/>
          <w:highlight w:val="none"/>
          <w:lang w:val="en-US" w:eastAsia="zh-CN" w:bidi="ar"/>
        </w:rPr>
        <w:t>处理进行处理，处理后废渣满足《废弃钻井液处理规范》（DB23/T693-2000）及《一般工业固体废物贮存和填埋污染控制标准》（GB18599-2020）中第Ⅰ类一般工业固体废物标准要求，由油田统一调配用于井场平整及道路建设等综合利用。</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产生的废弃油基钻井液为危险废物，废物类别HW08废矿物油与含矿物油废物，废物代码为072-001-08；经井口设置的油基钢制泥浆槽收集后，由罐车拉运至大庆市云泰石化产品有限公司建设的废弃泥浆无害化处理油基泥浆站处理，废渣满足《废弃钻井液处理规范》（DB23/T693-2000）及《一般工业固体废物贮存和填埋污染控制标准》（GB18599-2020）中第Ⅰ类一般工业固体废物标准要求，用作油田垫井场和通井路。</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（2）钻井岩屑</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钻井过程中，岩石经钻头和泥浆的研磨而破碎成岩屑，其中部分岩屑混进泥浆中，剩余的岩屑经泥浆循环携带至井口，在地面经振动筛分离出来，完井后与废钻井液一起处理。根据大庆油田多年统计数据，单井每</w:t>
      </w:r>
      <w:r>
        <w:rPr>
          <w:rFonts w:hint="default" w:ascii="Times New Roman" w:hAnsi="Times New Roman" w:eastAsia="宋体" w:cs="Times New Roman"/>
          <w:color w:val="auto"/>
          <w:kern w:val="0"/>
          <w:sz w:val="28"/>
          <w:szCs w:val="28"/>
          <w:highlight w:val="none"/>
          <w:lang w:val="en-US" w:eastAsia="zh-CN" w:bidi="ar"/>
        </w:rPr>
        <w:t>1000m</w:t>
      </w:r>
      <w:r>
        <w:rPr>
          <w:rFonts w:hint="eastAsia" w:ascii="Times New Roman" w:hAnsi="Times New Roman" w:eastAsia="宋体" w:cs="Times New Roman"/>
          <w:color w:val="auto"/>
          <w:kern w:val="0"/>
          <w:sz w:val="28"/>
          <w:szCs w:val="28"/>
          <w:highlight w:val="none"/>
          <w:lang w:val="en-US" w:eastAsia="zh-CN" w:bidi="ar"/>
        </w:rPr>
        <w:t>进尺岩屑产生量约为</w:t>
      </w:r>
      <w:r>
        <w:rPr>
          <w:rFonts w:hint="default" w:ascii="Times New Roman" w:hAnsi="Times New Roman" w:eastAsia="宋体" w:cs="Times New Roman"/>
          <w:color w:val="auto"/>
          <w:kern w:val="0"/>
          <w:sz w:val="28"/>
          <w:szCs w:val="28"/>
          <w:highlight w:val="none"/>
          <w:lang w:val="en-US" w:eastAsia="zh-CN" w:bidi="ar"/>
        </w:rPr>
        <w:t>24m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。本项目定向井总进尺3761m，水平井一开、二开总总进尺5480m；水平井三开总总进尺3550m。本项目水基钻井岩屑产生量为222m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，油基岩屑产生量为80m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水基岩屑属于一般固体废物，根据《固体废物分类目录》（环办便函〔2022〕221号），废物种类为SW12钻井岩屑，废物代码为072-001-12，由罐车拉运至黑龙江</w:t>
      </w:r>
      <w:r>
        <w:rPr>
          <w:rFonts w:hint="default" w:ascii="Times New Roman" w:hAnsi="Times New Roman" w:eastAsia="宋体" w:cs="Times New Roman"/>
          <w:color w:val="auto"/>
          <w:kern w:val="0"/>
          <w:sz w:val="28"/>
          <w:szCs w:val="28"/>
          <w:highlight w:val="none"/>
          <w:lang w:val="en-US" w:eastAsia="zh-CN" w:bidi="ar"/>
        </w:rPr>
        <w:t>龙之润五厂处理站</w:t>
      </w:r>
      <w:r>
        <w:rPr>
          <w:rFonts w:hint="eastAsia" w:ascii="Times New Roman" w:hAnsi="Times New Roman" w:eastAsia="宋体" w:cs="Times New Roman"/>
          <w:color w:val="auto"/>
          <w:kern w:val="0"/>
          <w:sz w:val="28"/>
          <w:szCs w:val="28"/>
          <w:highlight w:val="none"/>
          <w:lang w:val="en-US" w:eastAsia="zh-CN" w:bidi="ar"/>
        </w:rPr>
        <w:t>进行处理，最终用于铺路或垫井场等综合利用。</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油基岩屑为危险废物，废物类别HW08废矿物油与含矿物油废物，废物代码为072-001-08；拉运至废弃泥浆无害化处理油基泥浆站处理。最终用于铺路或垫井场等综合利用。</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（3）废射孔液</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本项目新钻井需进行射孔作业，作业过程中将产生废射孔液，根据大庆油田多年统计数据，废射孔液产生量约</w:t>
      </w:r>
      <w:r>
        <w:rPr>
          <w:rFonts w:hint="default" w:ascii="Times New Roman" w:hAnsi="Times New Roman" w:eastAsia="宋体" w:cs="Times New Roman"/>
          <w:color w:val="auto"/>
          <w:kern w:val="0"/>
          <w:sz w:val="28"/>
          <w:szCs w:val="28"/>
          <w:highlight w:val="none"/>
          <w:lang w:val="en-US" w:eastAsia="zh-CN" w:bidi="ar"/>
        </w:rPr>
        <w:t>36m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井，本项目共产生废射孔液108</w:t>
      </w:r>
      <w:r>
        <w:rPr>
          <w:rFonts w:hint="default"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，主要成分为水及无机盐类。属于气井开发作业中产生的，从井下返排上来的液固混合物，废物种类为SW12钻井岩屑，废物代码为072-004-12，由罐车拉运至黑龙江</w:t>
      </w:r>
      <w:r>
        <w:rPr>
          <w:rFonts w:hint="default" w:ascii="Times New Roman" w:hAnsi="Times New Roman" w:eastAsia="宋体" w:cs="Times New Roman"/>
          <w:color w:val="auto"/>
          <w:kern w:val="0"/>
          <w:sz w:val="28"/>
          <w:szCs w:val="28"/>
          <w:highlight w:val="none"/>
          <w:lang w:val="en-US" w:eastAsia="zh-CN" w:bidi="ar"/>
        </w:rPr>
        <w:t>龙之润五厂处理站</w:t>
      </w:r>
      <w:r>
        <w:rPr>
          <w:rFonts w:hint="eastAsia" w:ascii="Times New Roman" w:hAnsi="Times New Roman" w:eastAsia="宋体" w:cs="Times New Roman"/>
          <w:color w:val="auto"/>
          <w:kern w:val="0"/>
          <w:sz w:val="28"/>
          <w:szCs w:val="28"/>
          <w:highlight w:val="none"/>
          <w:lang w:val="en-US" w:eastAsia="zh-CN" w:bidi="ar"/>
        </w:rPr>
        <w:t>进行压滤处理，最终用于铺路或垫井场等综合利用。</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（4）生活垃圾</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钻井期间井队在井人数30人，钻井时间</w:t>
      </w:r>
      <w:r>
        <w:rPr>
          <w:rFonts w:hint="default" w:ascii="Times New Roman" w:hAnsi="Times New Roman" w:eastAsia="宋体" w:cs="Times New Roman"/>
          <w:color w:val="auto"/>
          <w:kern w:val="0"/>
          <w:sz w:val="28"/>
          <w:szCs w:val="28"/>
          <w:highlight w:val="none"/>
          <w:lang w:val="en-US" w:eastAsia="zh-CN" w:bidi="ar"/>
        </w:rPr>
        <w:t>100</w:t>
      </w:r>
      <w:r>
        <w:rPr>
          <w:rFonts w:hint="eastAsia" w:ascii="Times New Roman" w:hAnsi="Times New Roman" w:eastAsia="宋体" w:cs="Times New Roman"/>
          <w:color w:val="auto"/>
          <w:kern w:val="0"/>
          <w:sz w:val="28"/>
          <w:szCs w:val="28"/>
          <w:highlight w:val="none"/>
          <w:lang w:val="en-US" w:eastAsia="zh-CN" w:bidi="ar"/>
        </w:rPr>
        <w:t>天，每人每天产生生活垃圾</w:t>
      </w:r>
      <w:r>
        <w:rPr>
          <w:rFonts w:hint="default" w:ascii="Times New Roman" w:hAnsi="Times New Roman" w:eastAsia="宋体" w:cs="Times New Roman"/>
          <w:color w:val="auto"/>
          <w:kern w:val="0"/>
          <w:sz w:val="28"/>
          <w:szCs w:val="28"/>
          <w:highlight w:val="none"/>
          <w:lang w:val="en-US" w:eastAsia="zh-CN" w:bidi="ar"/>
        </w:rPr>
        <w:t>0.5kg</w:t>
      </w:r>
      <w:r>
        <w:rPr>
          <w:rFonts w:hint="eastAsia" w:ascii="Times New Roman" w:hAnsi="Times New Roman" w:eastAsia="宋体" w:cs="Times New Roman"/>
          <w:color w:val="auto"/>
          <w:kern w:val="0"/>
          <w:sz w:val="28"/>
          <w:szCs w:val="28"/>
          <w:highlight w:val="none"/>
          <w:lang w:val="en-US" w:eastAsia="zh-CN" w:bidi="ar"/>
        </w:rPr>
        <w:t>，则钻井期间共产生生活垃圾1.5</w:t>
      </w:r>
      <w:r>
        <w:rPr>
          <w:rFonts w:hint="default" w:ascii="Times New Roman" w:hAnsi="Times New Roman" w:eastAsia="宋体" w:cs="Times New Roman"/>
          <w:color w:val="auto"/>
          <w:kern w:val="0"/>
          <w:sz w:val="28"/>
          <w:szCs w:val="28"/>
          <w:highlight w:val="none"/>
          <w:lang w:val="en-US" w:eastAsia="zh-CN" w:bidi="ar"/>
        </w:rPr>
        <w:t>t</w:t>
      </w:r>
      <w:r>
        <w:rPr>
          <w:rFonts w:hint="eastAsia" w:ascii="Times New Roman" w:hAnsi="Times New Roman" w:eastAsia="宋体" w:cs="Times New Roman"/>
          <w:color w:val="auto"/>
          <w:kern w:val="0"/>
          <w:sz w:val="28"/>
          <w:szCs w:val="28"/>
          <w:highlight w:val="none"/>
          <w:lang w:val="en-US" w:eastAsia="zh-CN" w:bidi="ar"/>
        </w:rPr>
        <w:t>，统一收集后，委托大庆三联实业有限公司拉运处置。</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（5）废弃包装袋</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本项目产生的废弃包装袋主要来自钻井过程中膨润土、氢氧化钾、重晶石粉和其他原料使用后的废弃袋，压裂作业过程中纯碱、过硫酸钾等使用后的废弃袋。</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其中废弃过硫酸钾和氢氧化钾包装袋属于危险废物，危险废物类别为</w:t>
      </w:r>
      <w:r>
        <w:rPr>
          <w:rFonts w:hint="default" w:ascii="Times New Roman" w:hAnsi="Times New Roman" w:eastAsia="宋体" w:cs="Times New Roman"/>
          <w:color w:val="auto"/>
          <w:kern w:val="0"/>
          <w:sz w:val="28"/>
          <w:szCs w:val="28"/>
          <w:highlight w:val="none"/>
          <w:lang w:val="en-US" w:eastAsia="zh-CN" w:bidi="ar"/>
        </w:rPr>
        <w:t>HW49</w:t>
      </w:r>
      <w:r>
        <w:rPr>
          <w:rFonts w:hint="eastAsia" w:ascii="Times New Roman" w:hAnsi="Times New Roman" w:eastAsia="宋体" w:cs="Times New Roman"/>
          <w:color w:val="auto"/>
          <w:kern w:val="0"/>
          <w:sz w:val="28"/>
          <w:szCs w:val="28"/>
          <w:highlight w:val="none"/>
          <w:lang w:val="en-US" w:eastAsia="zh-CN" w:bidi="ar"/>
        </w:rPr>
        <w:t>其他废物，代码为</w:t>
      </w:r>
      <w:r>
        <w:rPr>
          <w:rFonts w:hint="default" w:ascii="Times New Roman" w:hAnsi="Times New Roman" w:eastAsia="宋体" w:cs="Times New Roman"/>
          <w:color w:val="auto"/>
          <w:kern w:val="0"/>
          <w:sz w:val="28"/>
          <w:szCs w:val="28"/>
          <w:highlight w:val="none"/>
          <w:lang w:val="en-US" w:eastAsia="zh-CN" w:bidi="ar"/>
        </w:rPr>
        <w:t>900-041-49</w:t>
      </w:r>
      <w:r>
        <w:rPr>
          <w:rFonts w:hint="eastAsia" w:ascii="Times New Roman" w:hAnsi="Times New Roman" w:eastAsia="宋体" w:cs="Times New Roman"/>
          <w:color w:val="auto"/>
          <w:kern w:val="0"/>
          <w:sz w:val="28"/>
          <w:szCs w:val="28"/>
          <w:highlight w:val="none"/>
          <w:lang w:val="en-US" w:eastAsia="zh-CN" w:bidi="ar"/>
        </w:rPr>
        <w:t>。根据大庆油田多年井场施工经验，单井压裂过程中过硫酸钾用量约为0.025t，过硫酸钾规格为25kg/袋，则单井压裂共产生1个废弃过硫酸钾包装袋，每个包装袋以0.001t计，则本项目产生废弃过硫酸钾包装袋为0.003t。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根据钻井工程设计资料，本项目氢氧化钾使用量共6.4t，其中工业氢氧化钾规格为25kg/袋，共产生128个废弃包装袋，每个包装袋以0.001t计，则本项目产生废弃氢氧化钾包装袋为0.128t。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放在密闭的金属容器内，由专用车辆及时运走，委托有资质单位进行处理。</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其余纯碱（</w:t>
      </w:r>
      <w:r>
        <w:rPr>
          <w:rFonts w:hint="default" w:ascii="Times New Roman" w:hAnsi="Times New Roman" w:eastAsia="宋体" w:cs="Times New Roman"/>
          <w:color w:val="auto"/>
          <w:kern w:val="0"/>
          <w:sz w:val="28"/>
          <w:szCs w:val="28"/>
          <w:highlight w:val="none"/>
          <w:lang w:val="en-US" w:eastAsia="zh-CN" w:bidi="ar"/>
        </w:rPr>
        <w:t>Na</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CO</w:t>
      </w:r>
      <w:r>
        <w:rPr>
          <w:rFonts w:hint="default" w:ascii="Times New Roman" w:hAnsi="Times New Roman" w:eastAsia="宋体" w:cs="Times New Roman"/>
          <w:color w:val="auto"/>
          <w:kern w:val="0"/>
          <w:sz w:val="28"/>
          <w:szCs w:val="28"/>
          <w:highlight w:val="none"/>
          <w:vertAlign w:val="sub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）、重晶石粉等材料的包装袋均属于一般废物，属于天然气开采过程中产生的其他工业固体废物，废物种类为SW12钻井岩屑，废物代码为900-099-12。</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此类包装袋产生量约</w:t>
      </w:r>
      <w:r>
        <w:rPr>
          <w:rFonts w:hint="default" w:ascii="Times New Roman" w:hAnsi="Times New Roman" w:eastAsia="宋体" w:cs="Times New Roman"/>
          <w:color w:val="auto"/>
          <w:kern w:val="0"/>
          <w:sz w:val="28"/>
          <w:szCs w:val="28"/>
          <w:highlight w:val="none"/>
          <w:lang w:val="en-US" w:eastAsia="zh-CN" w:bidi="ar"/>
        </w:rPr>
        <w:t>0.15t/</w:t>
      </w:r>
      <w:r>
        <w:rPr>
          <w:rFonts w:hint="eastAsia" w:ascii="Times New Roman" w:hAnsi="Times New Roman" w:eastAsia="宋体" w:cs="Times New Roman"/>
          <w:color w:val="auto"/>
          <w:kern w:val="0"/>
          <w:sz w:val="28"/>
          <w:szCs w:val="28"/>
          <w:highlight w:val="none"/>
          <w:lang w:val="en-US" w:eastAsia="zh-CN" w:bidi="ar"/>
        </w:rPr>
        <w:t>井，则本项目一般废弃包装袋产生量为0.45t。统一收集后送大庆市岗源环保科技有限责任公司工业废弃物处置中心处置。</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（6）防渗布</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为防止在钻井过程中钻井液、钻井污水污染地面，需在钻井平台附近铺设防渗布，类比油田现有施工经验，本项目单井钻井使用面积为井架下方，占地面积约</w:t>
      </w:r>
      <w:r>
        <w:rPr>
          <w:rFonts w:hint="default" w:ascii="Times New Roman" w:hAnsi="Times New Roman" w:eastAsia="宋体" w:cs="Times New Roman"/>
          <w:color w:val="auto"/>
          <w:kern w:val="0"/>
          <w:sz w:val="28"/>
          <w:szCs w:val="28"/>
          <w:highlight w:val="none"/>
          <w:lang w:val="en-US" w:eastAsia="zh-CN" w:bidi="ar"/>
        </w:rPr>
        <w:t>50m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，重量以</w:t>
      </w:r>
      <w:r>
        <w:rPr>
          <w:rFonts w:hint="default" w:ascii="Times New Roman" w:hAnsi="Times New Roman" w:eastAsia="宋体" w:cs="Times New Roman"/>
          <w:color w:val="auto"/>
          <w:kern w:val="0"/>
          <w:sz w:val="28"/>
          <w:szCs w:val="28"/>
          <w:highlight w:val="none"/>
          <w:lang w:val="en-US" w:eastAsia="zh-CN" w:bidi="ar"/>
        </w:rPr>
        <w:t>500g/m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计，则本项目废弃防渗布产生量约</w:t>
      </w:r>
      <w:r>
        <w:rPr>
          <w:rFonts w:hint="default" w:ascii="Times New Roman" w:hAnsi="Times New Roman" w:eastAsia="宋体" w:cs="Times New Roman"/>
          <w:color w:val="auto"/>
          <w:kern w:val="0"/>
          <w:sz w:val="28"/>
          <w:szCs w:val="28"/>
          <w:highlight w:val="none"/>
          <w:lang w:val="en-US" w:eastAsia="zh-CN" w:bidi="ar"/>
        </w:rPr>
        <w:t>0.0</w:t>
      </w:r>
      <w:r>
        <w:rPr>
          <w:rFonts w:hint="eastAsia" w:ascii="Times New Roman" w:hAnsi="Times New Roman" w:eastAsia="宋体" w:cs="Times New Roman"/>
          <w:color w:val="auto"/>
          <w:kern w:val="0"/>
          <w:sz w:val="28"/>
          <w:szCs w:val="28"/>
          <w:highlight w:val="none"/>
          <w:lang w:val="en-US" w:eastAsia="zh-CN" w:bidi="ar"/>
        </w:rPr>
        <w:t>25</w:t>
      </w:r>
      <w:r>
        <w:rPr>
          <w:rFonts w:hint="default" w:ascii="Times New Roman" w:hAnsi="Times New Roman" w:eastAsia="宋体" w:cs="Times New Roman"/>
          <w:color w:val="auto"/>
          <w:kern w:val="0"/>
          <w:sz w:val="28"/>
          <w:szCs w:val="28"/>
          <w:highlight w:val="none"/>
          <w:lang w:val="en-US" w:eastAsia="zh-CN" w:bidi="ar"/>
        </w:rPr>
        <w:t>t/</w:t>
      </w:r>
      <w:r>
        <w:rPr>
          <w:rFonts w:hint="eastAsia" w:ascii="Times New Roman" w:hAnsi="Times New Roman" w:eastAsia="宋体" w:cs="Times New Roman"/>
          <w:color w:val="auto"/>
          <w:kern w:val="0"/>
          <w:sz w:val="28"/>
          <w:szCs w:val="28"/>
          <w:highlight w:val="none"/>
          <w:lang w:val="en-US" w:eastAsia="zh-CN" w:bidi="ar"/>
        </w:rPr>
        <w:t>井。</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其中定向井井场施工产生的废弃防渗布属于一般固废废物，产生量为0.025t，废物种类为SW12钻井岩屑，废物代码为900-099-12。在施工结束后送大庆市岗源环保科技有限责任公司工业废弃物处置中心处置。</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水平井井场施工产生的废弃防渗布为含油废弃防渗布，属于危险废物，产生量为0.05t，废物类别为：HW08废矿物油与含矿物油废物，废物代码为：900-249-08。施工结束后，设备搬离井场时产生，直接暂存于指定容器中，交由有资质单位处置。</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本项目固废产生及排放情况详见表</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5。</w:t>
      </w:r>
    </w:p>
    <w:p>
      <w:pPr>
        <w:keepNext w:val="0"/>
        <w:keepLines w:val="0"/>
        <w:widowControl/>
        <w:suppressLineNumbers w:val="0"/>
        <w:spacing w:line="360" w:lineRule="auto"/>
        <w:ind w:firstLine="482" w:firstLineChars="200"/>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表3.5-5本项目一般固废产生及排放情况一览表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6"/>
        <w:gridCol w:w="1487"/>
        <w:gridCol w:w="1132"/>
        <w:gridCol w:w="859"/>
        <w:gridCol w:w="1336"/>
        <w:gridCol w:w="1779"/>
        <w:gridCol w:w="12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4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污染物名称</w:t>
            </w:r>
          </w:p>
        </w:tc>
        <w:tc>
          <w:tcPr>
            <w:tcW w:w="1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产生量</w:t>
            </w:r>
          </w:p>
        </w:tc>
        <w:tc>
          <w:tcPr>
            <w:tcW w:w="8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单位</w:t>
            </w:r>
          </w:p>
        </w:tc>
        <w:tc>
          <w:tcPr>
            <w:tcW w:w="1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废物种类</w:t>
            </w:r>
          </w:p>
        </w:tc>
        <w:tc>
          <w:tcPr>
            <w:tcW w:w="17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废物代码</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4" w:hRule="atLeast"/>
        </w:trPr>
        <w:tc>
          <w:tcPr>
            <w:tcW w:w="7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水基废弃钻井液</w:t>
            </w:r>
          </w:p>
        </w:tc>
        <w:tc>
          <w:tcPr>
            <w:tcW w:w="1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879</w:t>
            </w:r>
          </w:p>
        </w:tc>
        <w:tc>
          <w:tcPr>
            <w:tcW w:w="8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t</w:t>
            </w:r>
          </w:p>
        </w:tc>
        <w:tc>
          <w:tcPr>
            <w:tcW w:w="1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SW12钻井岩屑</w:t>
            </w:r>
          </w:p>
        </w:tc>
        <w:tc>
          <w:tcPr>
            <w:tcW w:w="17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072-004-12</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COD、SS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4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水基钻井岩屑</w:t>
            </w:r>
          </w:p>
        </w:tc>
        <w:tc>
          <w:tcPr>
            <w:tcW w:w="1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222</w:t>
            </w:r>
          </w:p>
        </w:tc>
        <w:tc>
          <w:tcPr>
            <w:tcW w:w="8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superscript"/>
                <w:lang w:val="en-US" w:eastAsia="zh-CN"/>
              </w:rPr>
              <w:t>3</w:t>
            </w:r>
          </w:p>
        </w:tc>
        <w:tc>
          <w:tcPr>
            <w:tcW w:w="1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SW12钻井岩屑</w:t>
            </w:r>
          </w:p>
        </w:tc>
        <w:tc>
          <w:tcPr>
            <w:tcW w:w="17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072-001-12</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岩屑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4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废射孔液</w:t>
            </w:r>
          </w:p>
        </w:tc>
        <w:tc>
          <w:tcPr>
            <w:tcW w:w="1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108</w:t>
            </w:r>
          </w:p>
        </w:tc>
        <w:tc>
          <w:tcPr>
            <w:tcW w:w="8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superscript"/>
                <w:lang w:val="en-US" w:eastAsia="zh-CN"/>
              </w:rPr>
              <w:t>3</w:t>
            </w:r>
          </w:p>
        </w:tc>
        <w:tc>
          <w:tcPr>
            <w:tcW w:w="1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SW12钻井岩屑</w:t>
            </w:r>
          </w:p>
        </w:tc>
        <w:tc>
          <w:tcPr>
            <w:tcW w:w="17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072-004-12</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无机盐类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4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一般废弃防渗布</w:t>
            </w:r>
          </w:p>
        </w:tc>
        <w:tc>
          <w:tcPr>
            <w:tcW w:w="1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0.025</w:t>
            </w:r>
          </w:p>
        </w:tc>
        <w:tc>
          <w:tcPr>
            <w:tcW w:w="8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t</w:t>
            </w:r>
          </w:p>
        </w:tc>
        <w:tc>
          <w:tcPr>
            <w:tcW w:w="1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SW12钻井岩屑</w:t>
            </w:r>
          </w:p>
        </w:tc>
        <w:tc>
          <w:tcPr>
            <w:tcW w:w="17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900-099-12</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水基钻井岩屑、泥浆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14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一般废弃包装袋</w:t>
            </w:r>
          </w:p>
        </w:tc>
        <w:tc>
          <w:tcPr>
            <w:tcW w:w="11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w:t>
            </w:r>
          </w:p>
        </w:tc>
        <w:tc>
          <w:tcPr>
            <w:tcW w:w="8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t</w:t>
            </w:r>
          </w:p>
        </w:tc>
        <w:tc>
          <w:tcPr>
            <w:tcW w:w="1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SW12钻井岩屑</w:t>
            </w:r>
          </w:p>
        </w:tc>
        <w:tc>
          <w:tcPr>
            <w:tcW w:w="17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900-099-12</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钻井及压裂原料</w:t>
            </w:r>
          </w:p>
        </w:tc>
      </w:tr>
    </w:tbl>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本项目产生的危险废物详见表</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6。</w:t>
      </w:r>
    </w:p>
    <w:p>
      <w:pP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br w:type="page"/>
      </w:r>
    </w:p>
    <w:p>
      <w:pPr>
        <w:keepNext w:val="0"/>
        <w:keepLines w:val="0"/>
        <w:widowControl/>
        <w:suppressLineNumbers w:val="0"/>
        <w:spacing w:line="360" w:lineRule="auto"/>
        <w:ind w:firstLine="482" w:firstLineChars="200"/>
        <w:jc w:val="center"/>
        <w:rPr>
          <w:rFonts w:hint="eastAsia" w:ascii="Times New Roman" w:hAnsi="Times New Roman" w:eastAsia="宋体" w:cs="Times New Roman"/>
          <w:b/>
          <w:bCs/>
          <w:color w:val="auto"/>
          <w:kern w:val="0"/>
          <w:sz w:val="24"/>
          <w:szCs w:val="24"/>
          <w:highlight w:val="none"/>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val="0"/>
        <w:keepLines w:val="0"/>
        <w:widowControl/>
        <w:suppressLineNumbers w:val="0"/>
        <w:spacing w:line="360" w:lineRule="auto"/>
        <w:ind w:firstLine="482" w:firstLineChars="200"/>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6危险废物情况表</w:t>
      </w:r>
    </w:p>
    <w:tbl>
      <w:tblPr>
        <w:tblStyle w:val="20"/>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8"/>
        <w:gridCol w:w="1080"/>
        <w:gridCol w:w="1418"/>
        <w:gridCol w:w="1571"/>
        <w:gridCol w:w="1282"/>
        <w:gridCol w:w="1200"/>
        <w:gridCol w:w="891"/>
        <w:gridCol w:w="1268"/>
        <w:gridCol w:w="1132"/>
        <w:gridCol w:w="1004"/>
        <w:gridCol w:w="567"/>
        <w:gridCol w:w="22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号</w:t>
            </w:r>
          </w:p>
        </w:tc>
        <w:tc>
          <w:tcPr>
            <w:tcW w:w="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废物</w:t>
            </w:r>
          </w:p>
        </w:tc>
        <w:tc>
          <w:tcPr>
            <w:tcW w:w="5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废物类别</w:t>
            </w:r>
          </w:p>
        </w:tc>
        <w:tc>
          <w:tcPr>
            <w:tcW w:w="5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废物代码</w:t>
            </w:r>
          </w:p>
        </w:tc>
        <w:tc>
          <w:tcPr>
            <w:tcW w:w="4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产生量（t）</w:t>
            </w:r>
          </w:p>
        </w:tc>
        <w:tc>
          <w:tcPr>
            <w:tcW w:w="4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产生工序</w:t>
            </w:r>
          </w:p>
        </w:tc>
        <w:tc>
          <w:tcPr>
            <w:tcW w:w="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形态</w:t>
            </w:r>
          </w:p>
        </w:tc>
        <w:tc>
          <w:tcPr>
            <w:tcW w:w="4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主要成分</w:t>
            </w:r>
          </w:p>
        </w:tc>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有害成分</w:t>
            </w:r>
          </w:p>
        </w:tc>
        <w:tc>
          <w:tcPr>
            <w:tcW w:w="3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产废</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周期</w:t>
            </w:r>
          </w:p>
        </w:tc>
        <w:tc>
          <w:tcPr>
            <w:tcW w:w="2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特性</w:t>
            </w:r>
          </w:p>
        </w:tc>
        <w:tc>
          <w:tcPr>
            <w:tcW w:w="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废弃过硫酸钾包装袋</w:t>
            </w:r>
          </w:p>
        </w:tc>
        <w:tc>
          <w:tcPr>
            <w:tcW w:w="50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HW49</w:t>
            </w:r>
            <w:r>
              <w:rPr>
                <w:rFonts w:hint="eastAsia" w:ascii="Times New Roman" w:hAnsi="Times New Roman" w:cs="Times New Roman"/>
                <w:color w:val="auto"/>
                <w:sz w:val="24"/>
                <w:szCs w:val="24"/>
                <w:highlight w:val="none"/>
                <w:vertAlign w:val="baseline"/>
                <w:lang w:val="en-US" w:eastAsia="zh-CN"/>
              </w:rPr>
              <w:t>其他废物</w:t>
            </w:r>
          </w:p>
        </w:tc>
        <w:tc>
          <w:tcPr>
            <w:tcW w:w="5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900-041-49</w:t>
            </w:r>
          </w:p>
        </w:tc>
        <w:tc>
          <w:tcPr>
            <w:tcW w:w="4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0.003</w:t>
            </w:r>
          </w:p>
        </w:tc>
        <w:tc>
          <w:tcPr>
            <w:tcW w:w="4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w:t>
            </w:r>
          </w:p>
        </w:tc>
        <w:tc>
          <w:tcPr>
            <w:tcW w:w="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固态</w:t>
            </w:r>
          </w:p>
        </w:tc>
        <w:tc>
          <w:tcPr>
            <w:tcW w:w="4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过硫酸钾</w:t>
            </w:r>
          </w:p>
        </w:tc>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过硫酸钾</w:t>
            </w:r>
          </w:p>
        </w:tc>
        <w:tc>
          <w:tcPr>
            <w:tcW w:w="3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压裂期</w:t>
            </w:r>
          </w:p>
        </w:tc>
        <w:tc>
          <w:tcPr>
            <w:tcW w:w="20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I</w:t>
            </w:r>
          </w:p>
        </w:tc>
        <w:tc>
          <w:tcPr>
            <w:tcW w:w="80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委托资质单位处理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废弃氢氧化钾包装袋</w:t>
            </w:r>
          </w:p>
        </w:tc>
        <w:tc>
          <w:tcPr>
            <w:tcW w:w="50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5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4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0.128</w:t>
            </w:r>
          </w:p>
        </w:tc>
        <w:tc>
          <w:tcPr>
            <w:tcW w:w="4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w:t>
            </w:r>
          </w:p>
        </w:tc>
        <w:tc>
          <w:tcPr>
            <w:tcW w:w="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固态</w:t>
            </w:r>
          </w:p>
        </w:tc>
        <w:tc>
          <w:tcPr>
            <w:tcW w:w="4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氢氧化钾</w:t>
            </w:r>
          </w:p>
        </w:tc>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氢氧化钾</w:t>
            </w:r>
          </w:p>
        </w:tc>
        <w:tc>
          <w:tcPr>
            <w:tcW w:w="3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钻井二开、三开</w:t>
            </w:r>
          </w:p>
        </w:tc>
        <w:tc>
          <w:tcPr>
            <w:tcW w:w="20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80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废弃油基钻井液</w:t>
            </w:r>
          </w:p>
        </w:tc>
        <w:tc>
          <w:tcPr>
            <w:tcW w:w="50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HW08废矿物油与含矿物油废物</w:t>
            </w:r>
          </w:p>
        </w:tc>
        <w:tc>
          <w:tcPr>
            <w:tcW w:w="5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072-001-08</w:t>
            </w:r>
          </w:p>
        </w:tc>
        <w:tc>
          <w:tcPr>
            <w:tcW w:w="4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4484t</w:t>
            </w:r>
          </w:p>
        </w:tc>
        <w:tc>
          <w:tcPr>
            <w:tcW w:w="4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w:t>
            </w:r>
          </w:p>
        </w:tc>
        <w:tc>
          <w:tcPr>
            <w:tcW w:w="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固液混合</w:t>
            </w:r>
          </w:p>
        </w:tc>
        <w:tc>
          <w:tcPr>
            <w:tcW w:w="4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COD、SS、石油类</w:t>
            </w:r>
          </w:p>
        </w:tc>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COD、SS、石油类</w:t>
            </w:r>
          </w:p>
        </w:tc>
        <w:tc>
          <w:tcPr>
            <w:tcW w:w="3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钻井三开</w:t>
            </w:r>
          </w:p>
        </w:tc>
        <w:tc>
          <w:tcPr>
            <w:tcW w:w="2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T</w:t>
            </w:r>
          </w:p>
        </w:tc>
        <w:tc>
          <w:tcPr>
            <w:tcW w:w="80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拉运至大庆市云泰石化产品有限公司建设的废弃泥浆无害化处理油基泥浆站处理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油基</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岩屑</w:t>
            </w:r>
          </w:p>
        </w:tc>
        <w:tc>
          <w:tcPr>
            <w:tcW w:w="50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5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4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80m</w:t>
            </w:r>
            <w:r>
              <w:rPr>
                <w:rFonts w:hint="eastAsia" w:ascii="Times New Roman" w:hAnsi="Times New Roman" w:cs="Times New Roman"/>
                <w:color w:val="auto"/>
                <w:sz w:val="24"/>
                <w:szCs w:val="24"/>
                <w:highlight w:val="none"/>
                <w:vertAlign w:val="superscript"/>
                <w:lang w:val="en-US" w:eastAsia="zh-CN"/>
              </w:rPr>
              <w:t>3</w:t>
            </w:r>
          </w:p>
        </w:tc>
        <w:tc>
          <w:tcPr>
            <w:tcW w:w="4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w:t>
            </w:r>
          </w:p>
        </w:tc>
        <w:tc>
          <w:tcPr>
            <w:tcW w:w="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固态</w:t>
            </w:r>
          </w:p>
        </w:tc>
        <w:tc>
          <w:tcPr>
            <w:tcW w:w="4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岩屑</w:t>
            </w:r>
          </w:p>
        </w:tc>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岩屑</w:t>
            </w:r>
          </w:p>
        </w:tc>
        <w:tc>
          <w:tcPr>
            <w:tcW w:w="3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钻井三开</w:t>
            </w:r>
          </w:p>
        </w:tc>
        <w:tc>
          <w:tcPr>
            <w:tcW w:w="2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T</w:t>
            </w:r>
          </w:p>
        </w:tc>
        <w:tc>
          <w:tcPr>
            <w:tcW w:w="80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含油废弃防渗布</w:t>
            </w:r>
          </w:p>
        </w:tc>
        <w:tc>
          <w:tcPr>
            <w:tcW w:w="50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5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900-249-08</w:t>
            </w:r>
          </w:p>
        </w:tc>
        <w:tc>
          <w:tcPr>
            <w:tcW w:w="4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w:t>
            </w:r>
          </w:p>
        </w:tc>
        <w:tc>
          <w:tcPr>
            <w:tcW w:w="42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w:t>
            </w:r>
          </w:p>
        </w:tc>
        <w:tc>
          <w:tcPr>
            <w:tcW w:w="31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固态</w:t>
            </w:r>
          </w:p>
        </w:tc>
        <w:tc>
          <w:tcPr>
            <w:tcW w:w="4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石油类、油基泥浆</w:t>
            </w:r>
          </w:p>
        </w:tc>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石油类、油基泥浆</w:t>
            </w:r>
          </w:p>
        </w:tc>
        <w:tc>
          <w:tcPr>
            <w:tcW w:w="3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水平井钻井</w:t>
            </w:r>
          </w:p>
        </w:tc>
        <w:tc>
          <w:tcPr>
            <w:tcW w:w="2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T</w:t>
            </w:r>
            <w:r>
              <w:rPr>
                <w:rFonts w:hint="eastAsia" w:ascii="Times New Roman" w:hAnsi="Times New Roman" w:cs="Times New Roman"/>
                <w:color w:val="auto"/>
                <w:sz w:val="24"/>
                <w:szCs w:val="24"/>
                <w:highlight w:val="none"/>
                <w:vertAlign w:val="baseline"/>
                <w:lang w:val="en-US" w:eastAsia="zh-CN"/>
              </w:rPr>
              <w:t>，I</w:t>
            </w:r>
          </w:p>
        </w:tc>
        <w:tc>
          <w:tcPr>
            <w:tcW w:w="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委托资质单位处理</w:t>
            </w:r>
          </w:p>
        </w:tc>
      </w:tr>
    </w:tbl>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本项目污染源源强核算结果及相关参数汇总见表</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10。</w:t>
      </w:r>
    </w:p>
    <w:p>
      <w:pPr>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br w:type="page"/>
      </w:r>
    </w:p>
    <w:p>
      <w:pPr>
        <w:pStyle w:val="22"/>
        <w:ind w:left="0" w:leftChars="0" w:firstLine="0" w:firstLineChars="0"/>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val="0"/>
        <w:keepLines w:val="0"/>
        <w:widowControl/>
        <w:suppressLineNumbers w:val="0"/>
        <w:spacing w:line="360" w:lineRule="auto"/>
        <w:ind w:firstLine="482" w:firstLineChars="200"/>
        <w:jc w:val="center"/>
        <w:rPr>
          <w:rFonts w:hint="eastAsia"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7废气污染源源强核算结果及相关参数一览表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1"/>
        <w:gridCol w:w="733"/>
        <w:gridCol w:w="735"/>
        <w:gridCol w:w="1152"/>
        <w:gridCol w:w="735"/>
        <w:gridCol w:w="1209"/>
        <w:gridCol w:w="1377"/>
        <w:gridCol w:w="888"/>
        <w:gridCol w:w="730"/>
        <w:gridCol w:w="807"/>
        <w:gridCol w:w="731"/>
        <w:gridCol w:w="1209"/>
        <w:gridCol w:w="1377"/>
        <w:gridCol w:w="888"/>
        <w:gridCol w:w="8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工序</w:t>
            </w:r>
          </w:p>
        </w:tc>
        <w:tc>
          <w:tcPr>
            <w:tcW w:w="73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装置</w:t>
            </w:r>
          </w:p>
        </w:tc>
        <w:tc>
          <w:tcPr>
            <w:tcW w:w="73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污染源</w:t>
            </w:r>
          </w:p>
        </w:tc>
        <w:tc>
          <w:tcPr>
            <w:tcW w:w="115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w:t>
            </w:r>
          </w:p>
        </w:tc>
        <w:tc>
          <w:tcPr>
            <w:tcW w:w="4209"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污染物产生情况</w:t>
            </w:r>
          </w:p>
        </w:tc>
        <w:tc>
          <w:tcPr>
            <w:tcW w:w="153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治理措施</w:t>
            </w:r>
          </w:p>
        </w:tc>
        <w:tc>
          <w:tcPr>
            <w:tcW w:w="4205"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污染物排放情况</w:t>
            </w: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排放时间（</w:t>
            </w:r>
            <w:r>
              <w:rPr>
                <w:rFonts w:hint="default" w:ascii="Times New Roman" w:hAnsi="Times New Roman" w:cs="Times New Roman"/>
                <w:color w:val="auto"/>
                <w:sz w:val="24"/>
                <w:szCs w:val="24"/>
                <w:highlight w:val="none"/>
                <w:vertAlign w:val="baseline"/>
                <w:lang w:val="en-US" w:eastAsia="zh-CN"/>
              </w:rPr>
              <w:t>h</w:t>
            </w: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核算</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方法</w:t>
            </w:r>
          </w:p>
        </w:tc>
        <w:tc>
          <w:tcPr>
            <w:tcW w:w="1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废气产生量（万</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产生浓度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产生量（</w:t>
            </w:r>
            <w:r>
              <w:rPr>
                <w:rFonts w:hint="default" w:ascii="Times New Roman" w:hAnsi="Times New Roman" w:cs="Times New Roman"/>
                <w:color w:val="auto"/>
                <w:sz w:val="24"/>
                <w:szCs w:val="24"/>
                <w:highlight w:val="none"/>
                <w:vertAlign w:val="baseline"/>
                <w:lang w:val="en-US" w:eastAsia="zh-CN"/>
              </w:rPr>
              <w:t>t</w:t>
            </w:r>
            <w:r>
              <w:rPr>
                <w:rFonts w:hint="eastAsia" w:ascii="Times New Roman" w:hAnsi="Times New Roman" w:cs="Times New Roman"/>
                <w:color w:val="auto"/>
                <w:sz w:val="24"/>
                <w:szCs w:val="24"/>
                <w:highlight w:val="none"/>
                <w:vertAlign w:val="baseline"/>
                <w:lang w:val="en-US" w:eastAsia="zh-CN"/>
              </w:rPr>
              <w:t>）</w:t>
            </w:r>
          </w:p>
        </w:tc>
        <w:tc>
          <w:tcPr>
            <w:tcW w:w="7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工艺</w:t>
            </w:r>
          </w:p>
        </w:tc>
        <w:tc>
          <w:tcPr>
            <w:tcW w:w="8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效率</w:t>
            </w:r>
            <w:r>
              <w:rPr>
                <w:rFonts w:hint="default" w:ascii="Times New Roman" w:hAnsi="Times New Roman" w:cs="Times New Roman"/>
                <w:color w:val="auto"/>
                <w:sz w:val="24"/>
                <w:szCs w:val="24"/>
                <w:highlight w:val="none"/>
                <w:vertAlign w:val="baseline"/>
                <w:lang w:val="en-US" w:eastAsia="zh-CN"/>
              </w:rPr>
              <w:t>%</w:t>
            </w:r>
          </w:p>
        </w:tc>
        <w:tc>
          <w:tcPr>
            <w:tcW w:w="7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核算</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方法</w:t>
            </w:r>
          </w:p>
        </w:tc>
        <w:tc>
          <w:tcPr>
            <w:tcW w:w="1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废气排放量（万</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排放浓度（</w:t>
            </w:r>
            <w:r>
              <w:rPr>
                <w:rFonts w:hint="default" w:ascii="Times New Roman" w:hAnsi="Times New Roman" w:cs="Times New Roman"/>
                <w:color w:val="auto"/>
                <w:sz w:val="24"/>
                <w:szCs w:val="24"/>
                <w:highlight w:val="none"/>
                <w:vertAlign w:val="baseli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排放量（</w:t>
            </w:r>
            <w:r>
              <w:rPr>
                <w:rFonts w:hint="default" w:ascii="Times New Roman" w:hAnsi="Times New Roman" w:cs="Times New Roman"/>
                <w:color w:val="auto"/>
                <w:sz w:val="24"/>
                <w:szCs w:val="24"/>
                <w:highlight w:val="none"/>
                <w:vertAlign w:val="baseline"/>
                <w:lang w:val="en-US" w:eastAsia="zh-CN"/>
              </w:rPr>
              <w:t>t</w:t>
            </w:r>
            <w:r>
              <w:rPr>
                <w:rFonts w:hint="eastAsia" w:ascii="Times New Roman" w:hAnsi="Times New Roman" w:cs="Times New Roman"/>
                <w:color w:val="auto"/>
                <w:sz w:val="24"/>
                <w:szCs w:val="24"/>
                <w:highlight w:val="none"/>
                <w:vertAlign w:val="baseline"/>
                <w:lang w:val="en-US" w:eastAsia="zh-CN"/>
              </w:rPr>
              <w:t>）</w:t>
            </w: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w:t>
            </w:r>
          </w:p>
        </w:tc>
        <w:tc>
          <w:tcPr>
            <w:tcW w:w="73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柴油发电机</w:t>
            </w:r>
          </w:p>
        </w:tc>
        <w:tc>
          <w:tcPr>
            <w:tcW w:w="73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柴油机烟气</w:t>
            </w:r>
          </w:p>
        </w:tc>
        <w:tc>
          <w:tcPr>
            <w:tcW w:w="1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c>
          <w:tcPr>
            <w:tcW w:w="73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法</w:t>
            </w:r>
          </w:p>
        </w:tc>
        <w:tc>
          <w:tcPr>
            <w:tcW w:w="12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307.2</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10</w:t>
            </w:r>
            <w:r>
              <w:rPr>
                <w:rFonts w:hint="eastAsia" w:ascii="Times New Roman" w:hAnsi="Times New Roman" w:cs="Times New Roman"/>
                <w:color w:val="auto"/>
                <w:sz w:val="24"/>
                <w:szCs w:val="24"/>
                <w:highlight w:val="none"/>
                <w:vertAlign w:val="superscript"/>
                <w:lang w:val="en-US" w:eastAsia="zh-CN"/>
              </w:rPr>
              <w:t>4</w:t>
            </w: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0.218</w:t>
            </w:r>
          </w:p>
        </w:tc>
        <w:tc>
          <w:tcPr>
            <w:tcW w:w="73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73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法</w:t>
            </w:r>
          </w:p>
        </w:tc>
        <w:tc>
          <w:tcPr>
            <w:tcW w:w="12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307.2</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10</w:t>
            </w:r>
            <w:r>
              <w:rPr>
                <w:rFonts w:hint="eastAsia" w:ascii="Times New Roman" w:hAnsi="Times New Roman" w:cs="Times New Roman"/>
                <w:color w:val="auto"/>
                <w:sz w:val="24"/>
                <w:szCs w:val="24"/>
                <w:highlight w:val="none"/>
                <w:vertAlign w:val="superscript"/>
                <w:lang w:val="en-US" w:eastAsia="zh-CN"/>
              </w:rPr>
              <w:t>4</w:t>
            </w: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0.218</w:t>
            </w: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X</w:t>
            </w: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0.780</w:t>
            </w:r>
          </w:p>
        </w:tc>
        <w:tc>
          <w:tcPr>
            <w:tcW w:w="73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0.780</w:t>
            </w: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w:t>
            </w: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0.454</w:t>
            </w:r>
          </w:p>
        </w:tc>
        <w:tc>
          <w:tcPr>
            <w:tcW w:w="73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0.454</w:t>
            </w: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HC+NOx</w:t>
            </w: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1.23</w:t>
            </w:r>
          </w:p>
        </w:tc>
        <w:tc>
          <w:tcPr>
            <w:tcW w:w="73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1.23</w:t>
            </w: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0.463</w:t>
            </w:r>
          </w:p>
        </w:tc>
        <w:tc>
          <w:tcPr>
            <w:tcW w:w="73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0.463</w:t>
            </w: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SO</w:t>
            </w:r>
            <w:r>
              <w:rPr>
                <w:rFonts w:hint="eastAsia" w:ascii="Times New Roman" w:hAnsi="Times New Roman" w:cs="Times New Roman"/>
                <w:color w:val="auto"/>
                <w:sz w:val="24"/>
                <w:szCs w:val="24"/>
                <w:highlight w:val="none"/>
                <w:vertAlign w:val="subscript"/>
                <w:lang w:val="en-US" w:eastAsia="zh-CN"/>
              </w:rPr>
              <w:t>2</w:t>
            </w: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1.22</w:t>
            </w:r>
          </w:p>
        </w:tc>
        <w:tc>
          <w:tcPr>
            <w:tcW w:w="73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1.22</w:t>
            </w: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固井</w:t>
            </w:r>
          </w:p>
        </w:tc>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水泥固井</w:t>
            </w:r>
          </w:p>
        </w:tc>
        <w:tc>
          <w:tcPr>
            <w:tcW w:w="7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水泥固井</w:t>
            </w:r>
          </w:p>
        </w:tc>
        <w:tc>
          <w:tcPr>
            <w:tcW w:w="1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c>
          <w:tcPr>
            <w:tcW w:w="7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系数法</w:t>
            </w:r>
          </w:p>
        </w:tc>
        <w:tc>
          <w:tcPr>
            <w:tcW w:w="1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0.020</w:t>
            </w:r>
          </w:p>
        </w:tc>
        <w:tc>
          <w:tcPr>
            <w:tcW w:w="7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洒水抑尘</w:t>
            </w:r>
          </w:p>
        </w:tc>
        <w:tc>
          <w:tcPr>
            <w:tcW w:w="8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74</w:t>
            </w:r>
          </w:p>
        </w:tc>
        <w:tc>
          <w:tcPr>
            <w:tcW w:w="7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法</w:t>
            </w:r>
          </w:p>
        </w:tc>
        <w:tc>
          <w:tcPr>
            <w:tcW w:w="1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0.005</w:t>
            </w: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试气作业</w:t>
            </w:r>
          </w:p>
        </w:tc>
        <w:tc>
          <w:tcPr>
            <w:tcW w:w="73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放空火炬</w:t>
            </w:r>
          </w:p>
        </w:tc>
        <w:tc>
          <w:tcPr>
            <w:tcW w:w="73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燃烧烟气</w:t>
            </w:r>
          </w:p>
        </w:tc>
        <w:tc>
          <w:tcPr>
            <w:tcW w:w="1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2</w:t>
            </w:r>
          </w:p>
        </w:tc>
        <w:tc>
          <w:tcPr>
            <w:tcW w:w="73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系数法</w:t>
            </w:r>
          </w:p>
        </w:tc>
        <w:tc>
          <w:tcPr>
            <w:tcW w:w="12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893</w:t>
            </w: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0.15</w:t>
            </w:r>
          </w:p>
        </w:tc>
        <w:tc>
          <w:tcPr>
            <w:tcW w:w="7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73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系数法</w:t>
            </w:r>
          </w:p>
        </w:tc>
        <w:tc>
          <w:tcPr>
            <w:tcW w:w="12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893</w:t>
            </w: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0.15</w:t>
            </w: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X</w:t>
            </w: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c>
          <w:tcPr>
            <w:tcW w:w="7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c>
          <w:tcPr>
            <w:tcW w:w="73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0.12</w:t>
            </w:r>
          </w:p>
        </w:tc>
        <w:tc>
          <w:tcPr>
            <w:tcW w:w="7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7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0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0.12</w:t>
            </w: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bl>
    <w:p>
      <w:pP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br w:type="page"/>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8废水污染源源强核算结果及相关参数一览表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16"/>
        <w:gridCol w:w="795"/>
        <w:gridCol w:w="900"/>
        <w:gridCol w:w="945"/>
        <w:gridCol w:w="780"/>
        <w:gridCol w:w="855"/>
        <w:gridCol w:w="1170"/>
        <w:gridCol w:w="945"/>
        <w:gridCol w:w="1860"/>
        <w:gridCol w:w="937"/>
        <w:gridCol w:w="1190"/>
        <w:gridCol w:w="1216"/>
        <w:gridCol w:w="979"/>
        <w:gridCol w:w="9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工序</w:t>
            </w:r>
          </w:p>
        </w:tc>
        <w:tc>
          <w:tcPr>
            <w:tcW w:w="79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装置</w:t>
            </w:r>
          </w:p>
        </w:tc>
        <w:tc>
          <w:tcPr>
            <w:tcW w:w="90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污染源</w:t>
            </w:r>
          </w:p>
        </w:tc>
        <w:tc>
          <w:tcPr>
            <w:tcW w:w="94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w:t>
            </w:r>
          </w:p>
        </w:tc>
        <w:tc>
          <w:tcPr>
            <w:tcW w:w="3750"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污染物产生情况</w:t>
            </w:r>
          </w:p>
        </w:tc>
        <w:tc>
          <w:tcPr>
            <w:tcW w:w="186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治理措施</w:t>
            </w:r>
          </w:p>
        </w:tc>
        <w:tc>
          <w:tcPr>
            <w:tcW w:w="4322"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污染物排放情况</w:t>
            </w:r>
          </w:p>
        </w:tc>
        <w:tc>
          <w:tcPr>
            <w:tcW w:w="98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时间</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h</w:t>
            </w: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0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4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核算方法</w:t>
            </w:r>
          </w:p>
        </w:tc>
        <w:tc>
          <w:tcPr>
            <w:tcW w:w="8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产生废水量（m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浓度（</w:t>
            </w:r>
            <w:r>
              <w:rPr>
                <w:rFonts w:hint="default" w:ascii="Times New Roman" w:hAnsi="Times New Roman" w:cs="Times New Roman"/>
                <w:color w:val="auto"/>
                <w:sz w:val="24"/>
                <w:szCs w:val="24"/>
                <w:highlight w:val="none"/>
                <w:vertAlign w:val="baseline"/>
                <w:lang w:val="en-US" w:eastAsia="zh-CN"/>
              </w:rPr>
              <w:t>mg/L</w:t>
            </w:r>
            <w:r>
              <w:rPr>
                <w:rFonts w:hint="eastAsia" w:ascii="Times New Roman" w:hAnsi="Times New Roman" w:cs="Times New Roman"/>
                <w:color w:val="auto"/>
                <w:sz w:val="24"/>
                <w:szCs w:val="24"/>
                <w:highlight w:val="none"/>
                <w:vertAlign w:val="baseline"/>
                <w:lang w:val="en-US" w:eastAsia="zh-CN"/>
              </w:rPr>
              <w:t>）</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产生量</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（t）</w:t>
            </w:r>
          </w:p>
        </w:tc>
        <w:tc>
          <w:tcPr>
            <w:tcW w:w="18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核算</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方法</w:t>
            </w: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排放废水</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量（m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排放浓度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mg/L</w:t>
            </w: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排放量（t）</w:t>
            </w:r>
          </w:p>
        </w:tc>
        <w:tc>
          <w:tcPr>
            <w:tcW w:w="98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w:t>
            </w:r>
          </w:p>
        </w:tc>
        <w:tc>
          <w:tcPr>
            <w:tcW w:w="79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钻井设备</w:t>
            </w:r>
          </w:p>
        </w:tc>
        <w:tc>
          <w:tcPr>
            <w:tcW w:w="90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一般钻井污水</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产污系数法</w:t>
            </w:r>
          </w:p>
        </w:tc>
        <w:tc>
          <w:tcPr>
            <w:tcW w:w="85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1947</w:t>
            </w: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0.548</w:t>
            </w:r>
          </w:p>
        </w:tc>
        <w:tc>
          <w:tcPr>
            <w:tcW w:w="186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与水基岩屑、废弃水基钻井液一起拉运至黑龙江</w:t>
            </w:r>
            <w:r>
              <w:rPr>
                <w:rFonts w:hint="default" w:ascii="Times New Roman" w:hAnsi="Times New Roman" w:cs="Times New Roman"/>
                <w:color w:val="auto"/>
                <w:sz w:val="24"/>
                <w:szCs w:val="24"/>
                <w:highlight w:val="none"/>
                <w:vertAlign w:val="baseline"/>
                <w:lang w:val="en-US" w:eastAsia="zh-CN"/>
              </w:rPr>
              <w:t>龙之润五厂处理站</w:t>
            </w:r>
            <w:r>
              <w:rPr>
                <w:rFonts w:hint="eastAsia" w:ascii="Times New Roman" w:hAnsi="Times New Roman" w:cs="Times New Roman"/>
                <w:color w:val="auto"/>
                <w:sz w:val="24"/>
                <w:szCs w:val="24"/>
                <w:highlight w:val="none"/>
                <w:vertAlign w:val="baseline"/>
                <w:lang w:val="en-US" w:eastAsia="zh-CN"/>
              </w:rPr>
              <w:t>进行处理</w:t>
            </w:r>
          </w:p>
        </w:tc>
        <w:tc>
          <w:tcPr>
            <w:tcW w:w="9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产污系数法</w:t>
            </w: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0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SS</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0.292</w:t>
            </w:r>
          </w:p>
        </w:tc>
        <w:tc>
          <w:tcPr>
            <w:tcW w:w="18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9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0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含油钻井废水</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5118</w:t>
            </w: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1.54</w:t>
            </w:r>
          </w:p>
        </w:tc>
        <w:tc>
          <w:tcPr>
            <w:tcW w:w="186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与油基岩屑、废弃油基钻井液一起拉运至大庆市云泰石化产品有限公司处理</w:t>
            </w:r>
          </w:p>
        </w:tc>
        <w:tc>
          <w:tcPr>
            <w:tcW w:w="9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0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0.768</w:t>
            </w:r>
          </w:p>
        </w:tc>
        <w:tc>
          <w:tcPr>
            <w:tcW w:w="18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9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0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SS</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2.56</w:t>
            </w:r>
          </w:p>
        </w:tc>
        <w:tc>
          <w:tcPr>
            <w:tcW w:w="18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9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6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9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施工人员</w:t>
            </w:r>
          </w:p>
        </w:tc>
        <w:tc>
          <w:tcPr>
            <w:tcW w:w="90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85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192</w:t>
            </w: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0.058</w:t>
            </w:r>
          </w:p>
        </w:tc>
        <w:tc>
          <w:tcPr>
            <w:tcW w:w="186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进入施工营地设置的生活污水池，施工结束后进行卫生处理</w:t>
            </w:r>
          </w:p>
        </w:tc>
        <w:tc>
          <w:tcPr>
            <w:tcW w:w="9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0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氨氮</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0.006</w:t>
            </w:r>
          </w:p>
        </w:tc>
        <w:tc>
          <w:tcPr>
            <w:tcW w:w="18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9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w:t>
            </w:r>
          </w:p>
        </w:tc>
        <w:tc>
          <w:tcPr>
            <w:tcW w:w="79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压裂装置</w:t>
            </w:r>
          </w:p>
        </w:tc>
        <w:tc>
          <w:tcPr>
            <w:tcW w:w="90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压裂返排液</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85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17100</w:t>
            </w: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1000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17.1</w:t>
            </w:r>
          </w:p>
        </w:tc>
        <w:tc>
          <w:tcPr>
            <w:tcW w:w="186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罐车拉运至</w:t>
            </w:r>
            <w:r>
              <w:rPr>
                <w:rFonts w:hint="default" w:ascii="Times New Roman" w:hAnsi="Times New Roman" w:cs="Times New Roman"/>
                <w:color w:val="auto"/>
                <w:sz w:val="24"/>
                <w:szCs w:val="24"/>
                <w:highlight w:val="none"/>
                <w:vertAlign w:val="baseline"/>
                <w:lang w:val="en-US" w:eastAsia="zh-CN"/>
              </w:rPr>
              <w:t>哈19卸液站</w:t>
            </w:r>
            <w:r>
              <w:rPr>
                <w:rFonts w:hint="eastAsia" w:ascii="Times New Roman" w:hAnsi="Times New Roman" w:cs="Times New Roman"/>
                <w:color w:val="auto"/>
                <w:sz w:val="24"/>
                <w:szCs w:val="24"/>
                <w:highlight w:val="none"/>
                <w:vertAlign w:val="baseline"/>
                <w:lang w:val="en-US" w:eastAsia="zh-CN"/>
              </w:rPr>
              <w:t>处理</w:t>
            </w:r>
          </w:p>
        </w:tc>
        <w:tc>
          <w:tcPr>
            <w:tcW w:w="9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0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SS</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8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200</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3.42</w:t>
            </w:r>
          </w:p>
        </w:tc>
        <w:tc>
          <w:tcPr>
            <w:tcW w:w="18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w:t>
            </w:r>
          </w:p>
        </w:tc>
        <w:tc>
          <w:tcPr>
            <w:tcW w:w="7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试气装置</w:t>
            </w:r>
          </w:p>
        </w:tc>
        <w:tc>
          <w:tcPr>
            <w:tcW w:w="9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试气采出液</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8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31</w:t>
            </w:r>
          </w:p>
        </w:tc>
        <w:tc>
          <w:tcPr>
            <w:tcW w:w="11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8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送升一联气田污水预处理站处理</w:t>
            </w:r>
          </w:p>
        </w:tc>
        <w:tc>
          <w:tcPr>
            <w:tcW w:w="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1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98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bl>
    <w:p>
      <w:pPr>
        <w:keepNext w:val="0"/>
        <w:keepLines w:val="0"/>
        <w:widowControl/>
        <w:suppressLineNumbers w:val="0"/>
        <w:spacing w:line="360" w:lineRule="auto"/>
        <w:ind w:firstLine="482" w:firstLineChars="200"/>
        <w:jc w:val="center"/>
        <w:rPr>
          <w:rFonts w:hint="eastAsia"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9噪声污染源源强核算结果及相关参数一览表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5"/>
        <w:gridCol w:w="1320"/>
        <w:gridCol w:w="1620"/>
        <w:gridCol w:w="1057"/>
        <w:gridCol w:w="1288"/>
        <w:gridCol w:w="1289"/>
        <w:gridCol w:w="1289"/>
        <w:gridCol w:w="1289"/>
        <w:gridCol w:w="1289"/>
        <w:gridCol w:w="1289"/>
        <w:gridCol w:w="12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工序</w:t>
            </w:r>
          </w:p>
        </w:tc>
        <w:tc>
          <w:tcPr>
            <w:tcW w:w="132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装置</w:t>
            </w:r>
          </w:p>
        </w:tc>
        <w:tc>
          <w:tcPr>
            <w:tcW w:w="162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噪声源</w:t>
            </w:r>
          </w:p>
        </w:tc>
        <w:tc>
          <w:tcPr>
            <w:tcW w:w="105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声源类型（频发、偶发等）</w:t>
            </w:r>
          </w:p>
        </w:tc>
        <w:tc>
          <w:tcPr>
            <w:tcW w:w="257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噪声源强</w:t>
            </w:r>
          </w:p>
        </w:tc>
        <w:tc>
          <w:tcPr>
            <w:tcW w:w="257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降噪措施</w:t>
            </w:r>
          </w:p>
        </w:tc>
        <w:tc>
          <w:tcPr>
            <w:tcW w:w="257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噪声值排放</w:t>
            </w:r>
          </w:p>
        </w:tc>
        <w:tc>
          <w:tcPr>
            <w:tcW w:w="128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持续时间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62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05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核算方法</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噪声值/dB（A）</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工艺</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降噪效果</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核算方法</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噪声值/dB（A）</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井场平整及设备安装</w:t>
            </w:r>
          </w:p>
        </w:tc>
        <w:tc>
          <w:tcPr>
            <w:tcW w:w="132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施工机械</w:t>
            </w:r>
          </w:p>
        </w:tc>
        <w:tc>
          <w:tcPr>
            <w:tcW w:w="16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挖掘机</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偶发</w:t>
            </w:r>
          </w:p>
        </w:tc>
        <w:tc>
          <w:tcPr>
            <w:tcW w:w="128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80～85</w:t>
            </w:r>
          </w:p>
        </w:tc>
        <w:tc>
          <w:tcPr>
            <w:tcW w:w="128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采取合理安排施工进度，调整同时作业的施工机械数量</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8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80～85</w:t>
            </w:r>
          </w:p>
        </w:tc>
        <w:tc>
          <w:tcPr>
            <w:tcW w:w="128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6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推土机、轮式装载机</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偶发</w:t>
            </w:r>
          </w:p>
        </w:tc>
        <w:tc>
          <w:tcPr>
            <w:tcW w:w="12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85～90</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85～90</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6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运输车辆</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偶发</w:t>
            </w:r>
          </w:p>
        </w:tc>
        <w:tc>
          <w:tcPr>
            <w:tcW w:w="12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75～80</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75～80</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发电机</w:t>
            </w:r>
          </w:p>
        </w:tc>
        <w:tc>
          <w:tcPr>
            <w:tcW w:w="16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柴油发电机</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频发</w:t>
            </w:r>
          </w:p>
        </w:tc>
        <w:tc>
          <w:tcPr>
            <w:tcW w:w="12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85～105</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定期对设备的维护和保养</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85～105</w:t>
            </w:r>
          </w:p>
        </w:tc>
        <w:tc>
          <w:tcPr>
            <w:tcW w:w="128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65d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钻机</w:t>
            </w:r>
          </w:p>
        </w:tc>
        <w:tc>
          <w:tcPr>
            <w:tcW w:w="16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钻机</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频发</w:t>
            </w:r>
          </w:p>
        </w:tc>
        <w:tc>
          <w:tcPr>
            <w:tcW w:w="12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85～90</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减振、低噪电机</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80～85</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泥浆泵</w:t>
            </w:r>
          </w:p>
        </w:tc>
        <w:tc>
          <w:tcPr>
            <w:tcW w:w="16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泥浆泵</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频发</w:t>
            </w:r>
          </w:p>
        </w:tc>
        <w:tc>
          <w:tcPr>
            <w:tcW w:w="12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75～85</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基础减振</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70～80</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振动筛</w:t>
            </w:r>
          </w:p>
        </w:tc>
        <w:tc>
          <w:tcPr>
            <w:tcW w:w="16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振动筛</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频发</w:t>
            </w:r>
          </w:p>
        </w:tc>
        <w:tc>
          <w:tcPr>
            <w:tcW w:w="12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70～85</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基础减振</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65～80</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压裂车组</w:t>
            </w:r>
          </w:p>
        </w:tc>
        <w:tc>
          <w:tcPr>
            <w:tcW w:w="16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压裂车组</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频发</w:t>
            </w:r>
          </w:p>
        </w:tc>
        <w:tc>
          <w:tcPr>
            <w:tcW w:w="12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85～105</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基础减振</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28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80～100</w:t>
            </w:r>
          </w:p>
        </w:tc>
        <w:tc>
          <w:tcPr>
            <w:tcW w:w="12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20d</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10固体废物污染源源强核算结果及相关参数一览表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9"/>
        <w:gridCol w:w="1940"/>
        <w:gridCol w:w="1612"/>
        <w:gridCol w:w="1674"/>
        <w:gridCol w:w="1230"/>
        <w:gridCol w:w="2595"/>
        <w:gridCol w:w="1118"/>
        <w:gridCol w:w="27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工序</w:t>
            </w:r>
          </w:p>
        </w:tc>
        <w:tc>
          <w:tcPr>
            <w:tcW w:w="194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固体废物名称</w:t>
            </w:r>
          </w:p>
        </w:tc>
        <w:tc>
          <w:tcPr>
            <w:tcW w:w="161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固废属性</w:t>
            </w:r>
          </w:p>
        </w:tc>
        <w:tc>
          <w:tcPr>
            <w:tcW w:w="290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产生情况</w:t>
            </w:r>
          </w:p>
        </w:tc>
        <w:tc>
          <w:tcPr>
            <w:tcW w:w="371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处置措施</w:t>
            </w:r>
          </w:p>
        </w:tc>
        <w:tc>
          <w:tcPr>
            <w:tcW w:w="27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最终去向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4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61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核算方法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产生量</w:t>
            </w:r>
          </w:p>
        </w:tc>
        <w:tc>
          <w:tcPr>
            <w:tcW w:w="25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工艺</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处置量</w:t>
            </w:r>
          </w:p>
        </w:tc>
        <w:tc>
          <w:tcPr>
            <w:tcW w:w="27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w:t>
            </w:r>
          </w:p>
        </w:tc>
        <w:tc>
          <w:tcPr>
            <w:tcW w:w="1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废弃水基钻井液</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一般固废</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产污系数法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879t</w:t>
            </w:r>
          </w:p>
        </w:tc>
        <w:tc>
          <w:tcPr>
            <w:tcW w:w="259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拉运至黑龙江</w:t>
            </w:r>
            <w:r>
              <w:rPr>
                <w:rFonts w:hint="default" w:ascii="Times New Roman" w:hAnsi="Times New Roman" w:cs="Times New Roman"/>
                <w:color w:val="auto"/>
                <w:sz w:val="24"/>
                <w:szCs w:val="24"/>
                <w:highlight w:val="none"/>
                <w:vertAlign w:val="baseline"/>
                <w:lang w:val="en-US" w:eastAsia="zh-CN"/>
              </w:rPr>
              <w:t>龙之润五厂处理站</w:t>
            </w:r>
            <w:r>
              <w:rPr>
                <w:rFonts w:hint="eastAsia" w:ascii="Times New Roman" w:hAnsi="Times New Roman" w:cs="Times New Roman"/>
                <w:color w:val="auto"/>
                <w:sz w:val="24"/>
                <w:szCs w:val="24"/>
                <w:highlight w:val="none"/>
                <w:vertAlign w:val="baseline"/>
                <w:lang w:val="en-US" w:eastAsia="zh-CN"/>
              </w:rPr>
              <w:t>进行压滤处理；采用“一级处理（高频脱水振动筛）-二级处理（除砂一体机）-三级处理（中速离心机）-压裂絮凝-四级处理-清水收集”工艺</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879t</w:t>
            </w:r>
          </w:p>
        </w:tc>
        <w:tc>
          <w:tcPr>
            <w:tcW w:w="27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处理后废渣满足《废弃钻井液处理规范》（DB23/T693-2000）及《一般工业固体废物贮存和填埋污染控制标准》（GB18599-2020）中第Ⅰ类一般工业固体废物标准要求，油田统一调配用于井场平整及道路建设等综合利用。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水基钻井岩屑</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一般固废</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222m</w:t>
            </w:r>
            <w:r>
              <w:rPr>
                <w:rFonts w:hint="eastAsia" w:ascii="Times New Roman" w:hAnsi="Times New Roman" w:cs="Times New Roman"/>
                <w:color w:val="auto"/>
                <w:sz w:val="24"/>
                <w:szCs w:val="24"/>
                <w:highlight w:val="none"/>
                <w:vertAlign w:val="superscript"/>
                <w:lang w:val="en-US" w:eastAsia="zh-CN"/>
              </w:rPr>
              <w:t>3</w:t>
            </w:r>
          </w:p>
        </w:tc>
        <w:tc>
          <w:tcPr>
            <w:tcW w:w="25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222m</w:t>
            </w:r>
            <w:r>
              <w:rPr>
                <w:rFonts w:hint="eastAsia" w:ascii="Times New Roman" w:hAnsi="Times New Roman" w:cs="Times New Roman"/>
                <w:color w:val="auto"/>
                <w:sz w:val="24"/>
                <w:szCs w:val="24"/>
                <w:highlight w:val="none"/>
                <w:vertAlign w:val="superscript"/>
                <w:lang w:val="en-US" w:eastAsia="zh-CN"/>
              </w:rPr>
              <w:t>3</w:t>
            </w:r>
          </w:p>
        </w:tc>
        <w:tc>
          <w:tcPr>
            <w:tcW w:w="27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废射孔液</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一般固废</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108m</w:t>
            </w:r>
            <w:r>
              <w:rPr>
                <w:rFonts w:hint="eastAsia" w:ascii="Times New Roman" w:hAnsi="Times New Roman" w:cs="Times New Roman"/>
                <w:color w:val="auto"/>
                <w:sz w:val="24"/>
                <w:szCs w:val="24"/>
                <w:highlight w:val="none"/>
                <w:vertAlign w:val="superscript"/>
                <w:lang w:val="en-US" w:eastAsia="zh-CN"/>
              </w:rPr>
              <w:t>3</w:t>
            </w:r>
          </w:p>
        </w:tc>
        <w:tc>
          <w:tcPr>
            <w:tcW w:w="25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108m</w:t>
            </w:r>
            <w:r>
              <w:rPr>
                <w:rFonts w:hint="eastAsia" w:ascii="Times New Roman" w:hAnsi="Times New Roman" w:cs="Times New Roman"/>
                <w:color w:val="auto"/>
                <w:sz w:val="24"/>
                <w:szCs w:val="24"/>
                <w:highlight w:val="none"/>
                <w:vertAlign w:val="superscript"/>
                <w:lang w:val="en-US" w:eastAsia="zh-CN"/>
              </w:rPr>
              <w:t>3</w:t>
            </w:r>
          </w:p>
        </w:tc>
        <w:tc>
          <w:tcPr>
            <w:tcW w:w="27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废弃油基钻井液</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危险废物</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产污系数法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4484t</w:t>
            </w:r>
          </w:p>
        </w:tc>
        <w:tc>
          <w:tcPr>
            <w:tcW w:w="259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拉运至废弃泥浆无害化处理油基泥浆站处理；采用“预处理+深度脱附”工艺</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4484t</w:t>
            </w:r>
          </w:p>
        </w:tc>
        <w:tc>
          <w:tcPr>
            <w:tcW w:w="27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油基钻井岩屑</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危险废物</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80m</w:t>
            </w:r>
            <w:r>
              <w:rPr>
                <w:rFonts w:hint="eastAsia" w:ascii="Times New Roman" w:hAnsi="Times New Roman" w:cs="Times New Roman"/>
                <w:color w:val="auto"/>
                <w:sz w:val="24"/>
                <w:szCs w:val="24"/>
                <w:highlight w:val="none"/>
                <w:vertAlign w:val="superscript"/>
                <w:lang w:val="en-US" w:eastAsia="zh-CN"/>
              </w:rPr>
              <w:t>3</w:t>
            </w:r>
          </w:p>
        </w:tc>
        <w:tc>
          <w:tcPr>
            <w:tcW w:w="25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80m</w:t>
            </w:r>
            <w:r>
              <w:rPr>
                <w:rFonts w:hint="eastAsia" w:ascii="Times New Roman" w:hAnsi="Times New Roman" w:cs="Times New Roman"/>
                <w:color w:val="auto"/>
                <w:sz w:val="24"/>
                <w:szCs w:val="24"/>
                <w:highlight w:val="none"/>
                <w:vertAlign w:val="superscript"/>
                <w:lang w:val="en-US" w:eastAsia="zh-CN"/>
              </w:rPr>
              <w:t>3</w:t>
            </w:r>
          </w:p>
        </w:tc>
        <w:tc>
          <w:tcPr>
            <w:tcW w:w="27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一般废弃防渗布</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一般固废</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0.025t</w:t>
            </w:r>
          </w:p>
        </w:tc>
        <w:tc>
          <w:tcPr>
            <w:tcW w:w="259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无害化处理</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0.025t</w:t>
            </w:r>
          </w:p>
        </w:tc>
        <w:tc>
          <w:tcPr>
            <w:tcW w:w="27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送大庆市岗源环保科技有限责任公司工业废弃物处置中心处置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一般废弃包装袋</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一般固废</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0.45t</w:t>
            </w:r>
          </w:p>
        </w:tc>
        <w:tc>
          <w:tcPr>
            <w:tcW w:w="25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0.45t</w:t>
            </w:r>
          </w:p>
        </w:tc>
        <w:tc>
          <w:tcPr>
            <w:tcW w:w="27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含油废弃防渗布</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危险废物</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0.05t</w:t>
            </w:r>
          </w:p>
        </w:tc>
        <w:tc>
          <w:tcPr>
            <w:tcW w:w="259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无害化处理</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0.05t</w:t>
            </w:r>
          </w:p>
        </w:tc>
        <w:tc>
          <w:tcPr>
            <w:tcW w:w="27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委托有资质单位处理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w:t>
            </w:r>
          </w:p>
        </w:tc>
        <w:tc>
          <w:tcPr>
            <w:tcW w:w="1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废弃过硫酸钾和氢氧化钾包装袋</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危险废物</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类比法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0.131t</w:t>
            </w:r>
          </w:p>
        </w:tc>
        <w:tc>
          <w:tcPr>
            <w:tcW w:w="25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0.131t</w:t>
            </w:r>
          </w:p>
        </w:tc>
        <w:tc>
          <w:tcPr>
            <w:tcW w:w="27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6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办公生活</w:t>
            </w:r>
          </w:p>
        </w:tc>
        <w:tc>
          <w:tcPr>
            <w:tcW w:w="19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生活垃圾</w:t>
            </w:r>
          </w:p>
        </w:tc>
        <w:tc>
          <w:tcPr>
            <w:tcW w:w="16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生活垃圾</w:t>
            </w:r>
          </w:p>
        </w:tc>
        <w:tc>
          <w:tcPr>
            <w:tcW w:w="16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系数法</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1.5t</w:t>
            </w:r>
          </w:p>
        </w:tc>
        <w:tc>
          <w:tcPr>
            <w:tcW w:w="25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拉运处置</w:t>
            </w:r>
          </w:p>
        </w:tc>
        <w:tc>
          <w:tcPr>
            <w:tcW w:w="11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1.5t</w:t>
            </w:r>
          </w:p>
        </w:tc>
        <w:tc>
          <w:tcPr>
            <w:tcW w:w="27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委托大庆三联实业有限公司拉运处置。</w:t>
            </w:r>
          </w:p>
        </w:tc>
      </w:tr>
    </w:tbl>
    <w:p>
      <w:pPr>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br w:type="page"/>
      </w:r>
    </w:p>
    <w:p>
      <w:pPr>
        <w:keepNext w:val="0"/>
        <w:keepLines w:val="0"/>
        <w:widowControl/>
        <w:suppressLineNumbers w:val="0"/>
        <w:jc w:val="left"/>
        <w:rPr>
          <w:rFonts w:hint="eastAsia" w:ascii="宋体" w:hAnsi="宋体" w:eastAsia="宋体" w:cs="宋体"/>
          <w:color w:val="auto"/>
          <w:kern w:val="0"/>
          <w:sz w:val="28"/>
          <w:szCs w:val="28"/>
          <w:highlight w:val="none"/>
          <w:lang w:val="en-US" w:eastAsia="zh-CN" w:bidi="ar"/>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pStyle w:val="5"/>
        <w:keepNext w:val="0"/>
        <w:keepLines w:val="0"/>
        <w:pageBreakBefore w:val="0"/>
        <w:numPr>
          <w:ilvl w:val="0"/>
          <w:numId w:val="0"/>
        </w:numPr>
        <w:tabs>
          <w:tab w:val="left" w:pos="1080"/>
        </w:tabs>
        <w:bidi w:val="0"/>
        <w:adjustRightInd w:val="0"/>
        <w:snapToGrid w:val="0"/>
        <w:spacing w:before="240" w:after="0" w:line="360" w:lineRule="auto"/>
        <w:ind w:left="0" w:firstLine="0" w:firstLineChars="0"/>
        <w:jc w:val="center"/>
        <w:rPr>
          <w:rFonts w:hint="default" w:ascii="Times New Roman" w:hAnsi="Times New Roman" w:eastAsia="宋体" w:cs="Times New Roman"/>
          <w:b/>
          <w:bCs/>
          <w:caps w:val="0"/>
          <w:smallCaps w:val="0"/>
          <w:color w:val="auto"/>
          <w:spacing w:val="0"/>
          <w:w w:val="100"/>
          <w:sz w:val="32"/>
          <w:szCs w:val="32"/>
          <w:highlight w:val="none"/>
          <w:lang w:val="en-US" w:eastAsia="zh-CN"/>
        </w:rPr>
      </w:pPr>
      <w:bookmarkStart w:id="112" w:name="_Toc5936"/>
      <w:r>
        <w:rPr>
          <w:rFonts w:hint="eastAsia" w:ascii="Times New Roman" w:hAnsi="Times New Roman" w:eastAsia="宋体" w:cs="Times New Roman"/>
          <w:b/>
          <w:bCs/>
          <w:caps w:val="0"/>
          <w:smallCaps w:val="0"/>
          <w:color w:val="auto"/>
          <w:spacing w:val="0"/>
          <w:w w:val="100"/>
          <w:sz w:val="32"/>
          <w:szCs w:val="32"/>
          <w:highlight w:val="none"/>
          <w:lang w:val="en-US" w:eastAsia="zh-CN"/>
        </w:rPr>
        <w:t>第四章   环境现状调查与评价</w:t>
      </w:r>
      <w:bookmarkEnd w:id="112"/>
    </w:p>
    <w:p>
      <w:pPr>
        <w:keepNext/>
        <w:keepLines/>
        <w:pageBreakBefore w:val="0"/>
        <w:widowControl w:val="0"/>
        <w:numPr>
          <w:ilvl w:val="0"/>
          <w:numId w:val="0"/>
        </w:numPr>
        <w:bidi w:val="0"/>
        <w:spacing w:before="78" w:beforeLines="25" w:after="78" w:afterLines="25" w:line="360" w:lineRule="auto"/>
        <w:jc w:val="left"/>
        <w:outlineLvl w:val="1"/>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13" w:name="_Toc31812"/>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fldChar w:fldCharType="begin"/>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instrText xml:space="preserve">HYPERLINK \l "_Toc189535398"</w:instrTex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fldChar w:fldCharType="separate"/>
      </w:r>
      <w:bookmarkStart w:id="114" w:name="_Toc63346954"/>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4.1</w:t>
      </w:r>
      <w:bookmarkEnd w:id="114"/>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自然环境现状调查与评价</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fldChar w:fldCharType="end"/>
      </w:r>
      <w:bookmarkEnd w:id="113"/>
    </w:p>
    <w:p>
      <w:pPr>
        <w:pageBreakBefore w:val="0"/>
        <w:widowControl w:val="0"/>
        <w:bidi w:val="0"/>
        <w:adjustRightInd w:val="0"/>
        <w:snapToGrid w:val="0"/>
        <w:spacing w:line="360" w:lineRule="auto"/>
        <w:jc w:val="both"/>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pPr>
      <w:r>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t>4.1.1地理位置</w:t>
      </w:r>
    </w:p>
    <w:p>
      <w:pPr>
        <w:pageBreakBefore w:val="0"/>
        <w:widowControl w:val="0"/>
        <w:bidi w:val="0"/>
        <w:adjustRightInd w:val="0"/>
        <w:snapToGrid w:val="0"/>
        <w:spacing w:line="360" w:lineRule="auto"/>
        <w:ind w:firstLine="560" w:firstLineChars="200"/>
        <w:jc w:val="both"/>
        <w:rPr>
          <w:rFonts w:hint="default" w:ascii="Times New Roman" w:hAnsi="Times New Roman" w:eastAsia="宋体" w:cs="Times New Roman"/>
          <w:caps w:val="0"/>
          <w:smallCaps w:val="0"/>
          <w:color w:val="auto"/>
          <w:spacing w:val="0"/>
          <w:w w:val="100"/>
          <w:kern w:val="0"/>
          <w:sz w:val="28"/>
          <w:szCs w:val="28"/>
          <w:highlight w:val="none"/>
          <w:lang w:val="en-US" w:eastAsia="zh-CN"/>
        </w:rPr>
      </w:pPr>
      <w:r>
        <w:rPr>
          <w:rFonts w:hint="default" w:ascii="Times New Roman" w:hAnsi="Times New Roman" w:eastAsia="宋体" w:cs="Times New Roman"/>
          <w:caps w:val="0"/>
          <w:smallCaps w:val="0"/>
          <w:color w:val="auto"/>
          <w:spacing w:val="0"/>
          <w:w w:val="100"/>
          <w:kern w:val="0"/>
          <w:sz w:val="28"/>
          <w:szCs w:val="28"/>
          <w:highlight w:val="none"/>
          <w:lang w:val="en-US" w:eastAsia="zh-CN"/>
        </w:rPr>
        <w:t>本项目位于黑龙江省大庆市肇州县双发乡境内，新建井场地理坐标经度为：125°16′34.163″～125°17′17.572″，纬度为：45°47′47.440″～45°48′22.154″。周围零散分布少量气井，区域内主要道路系统为G203国道和省道，G203国道由北向南方向在区块西边边界穿过，省道由西向东在区块内穿过。区域内同时还分布多条已建乡间路，交通较为便利。</w:t>
      </w:r>
    </w:p>
    <w:p>
      <w:pPr>
        <w:pageBreakBefore w:val="0"/>
        <w:widowControl w:val="0"/>
        <w:bidi w:val="0"/>
        <w:adjustRightInd w:val="0"/>
        <w:snapToGrid w:val="0"/>
        <w:spacing w:line="360" w:lineRule="auto"/>
        <w:jc w:val="both"/>
        <w:rPr>
          <w:rFonts w:hint="eastAsia" w:ascii="Times New Roman" w:hAnsi="Times New Roman" w:eastAsia="宋体" w:cs="Times New Roman"/>
          <w:b w:val="0"/>
          <w:bCs w:val="0"/>
          <w:caps w:val="0"/>
          <w:smallCaps w:val="0"/>
          <w:color w:val="auto"/>
          <w:spacing w:val="0"/>
          <w:w w:val="100"/>
          <w:kern w:val="0"/>
          <w:sz w:val="28"/>
          <w:szCs w:val="28"/>
          <w:highlight w:val="none"/>
          <w:lang w:val="en-US" w:eastAsia="zh-CN"/>
        </w:rPr>
      </w:pPr>
      <w:r>
        <w:rPr>
          <w:rFonts w:hint="eastAsia" w:ascii="Times New Roman" w:hAnsi="Times New Roman" w:eastAsia="宋体" w:cs="Times New Roman"/>
          <w:b w:val="0"/>
          <w:bCs w:val="0"/>
          <w:caps w:val="0"/>
          <w:smallCaps w:val="0"/>
          <w:color w:val="auto"/>
          <w:spacing w:val="0"/>
          <w:w w:val="100"/>
          <w:kern w:val="0"/>
          <w:sz w:val="28"/>
          <w:szCs w:val="28"/>
          <w:highlight w:val="none"/>
          <w:lang w:val="en-US" w:eastAsia="zh-CN"/>
        </w:rPr>
        <w:fldChar w:fldCharType="begin"/>
      </w:r>
      <w:r>
        <w:rPr>
          <w:rFonts w:hint="eastAsia" w:ascii="Times New Roman" w:hAnsi="Times New Roman" w:eastAsia="宋体" w:cs="Times New Roman"/>
          <w:b w:val="0"/>
          <w:bCs w:val="0"/>
          <w:caps w:val="0"/>
          <w:smallCaps w:val="0"/>
          <w:color w:val="auto"/>
          <w:spacing w:val="0"/>
          <w:w w:val="100"/>
          <w:kern w:val="0"/>
          <w:sz w:val="28"/>
          <w:szCs w:val="28"/>
          <w:highlight w:val="none"/>
          <w:lang w:val="en-US" w:eastAsia="zh-CN"/>
        </w:rPr>
        <w:instrText xml:space="preserve">HYPERLINK \l "_Toc189535400"</w:instrText>
      </w:r>
      <w:r>
        <w:rPr>
          <w:rFonts w:hint="eastAsia" w:ascii="Times New Roman" w:hAnsi="Times New Roman" w:eastAsia="宋体" w:cs="Times New Roman"/>
          <w:b w:val="0"/>
          <w:bCs w:val="0"/>
          <w:caps w:val="0"/>
          <w:smallCaps w:val="0"/>
          <w:color w:val="auto"/>
          <w:spacing w:val="0"/>
          <w:w w:val="100"/>
          <w:kern w:val="0"/>
          <w:sz w:val="28"/>
          <w:szCs w:val="28"/>
          <w:highlight w:val="none"/>
          <w:lang w:val="en-US" w:eastAsia="zh-CN"/>
        </w:rPr>
        <w:fldChar w:fldCharType="separate"/>
      </w:r>
      <w:r>
        <w:rPr>
          <w:rFonts w:hint="eastAsia" w:ascii="Times New Roman" w:hAnsi="Times New Roman" w:eastAsia="宋体" w:cs="Times New Roman"/>
          <w:b w:val="0"/>
          <w:bCs w:val="0"/>
          <w:caps w:val="0"/>
          <w:smallCaps w:val="0"/>
          <w:color w:val="auto"/>
          <w:spacing w:val="0"/>
          <w:w w:val="100"/>
          <w:kern w:val="0"/>
          <w:sz w:val="28"/>
          <w:szCs w:val="28"/>
          <w:highlight w:val="none"/>
          <w:lang w:val="en-US" w:eastAsia="zh-CN"/>
        </w:rPr>
        <w:t>4.1.2地形、地貌</w:t>
      </w:r>
      <w:r>
        <w:rPr>
          <w:rFonts w:hint="eastAsia" w:ascii="Times New Roman" w:hAnsi="Times New Roman" w:eastAsia="宋体" w:cs="Times New Roman"/>
          <w:b w:val="0"/>
          <w:bCs w:val="0"/>
          <w:caps w:val="0"/>
          <w:smallCaps w:val="0"/>
          <w:color w:val="auto"/>
          <w:spacing w:val="0"/>
          <w:w w:val="100"/>
          <w:kern w:val="0"/>
          <w:sz w:val="28"/>
          <w:szCs w:val="28"/>
          <w:highlight w:val="none"/>
          <w:lang w:val="en-US" w:eastAsia="zh-CN"/>
        </w:rPr>
        <w:fldChar w:fldCharType="end"/>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该区域位于松花江、嫩江一级阶地上，境内无山岭，地势由北向南渐低。地貌表现为波状起伏的低平原，稍高处为平缓漫岗，地形起伏较大，属冲积性平原地貌，项目所在区域主要为基本农田。</w:t>
      </w:r>
    </w:p>
    <w:p>
      <w:pPr>
        <w:pageBreakBefore w:val="0"/>
        <w:widowControl w:val="0"/>
        <w:bidi w:val="0"/>
        <w:adjustRightInd w:val="0"/>
        <w:snapToGrid w:val="0"/>
        <w:spacing w:line="360" w:lineRule="auto"/>
        <w:jc w:val="both"/>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pPr>
      <w:r>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fldChar w:fldCharType="begin"/>
      </w:r>
      <w:r>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instrText xml:space="preserve">HYPERLINK \l "_Toc189535400"</w:instrText>
      </w:r>
      <w:r>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fldChar w:fldCharType="separate"/>
      </w:r>
      <w:r>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t>4.1.3气象、气候</w:t>
      </w:r>
      <w:r>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fldChar w:fldCharType="end"/>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大庆市气象局近20年气象观测资料显示，该地区属北温带大陆性季风气候，四季分明，受蒙古内陆冷空气和海洋暖流季风影响较大，冬季漫长而寒冷干燥，夏季短暂而温湿多雨，春秋季风交替，气温变化大，冰封期长，无霜期短，冻土深达2-2.2m。</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气温：年平均气温3.3℃，年极端最高气温38.9℃，年极端最低气温-36.2℃。</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风速：平均风速3.7m/s，年最大风速为22.7m/s。</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降水量：年平均442.0mm，年最大降水量651.2mm。</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年平均水气压：8.2hpa。</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降雪量：平均积雪158d，最大积雪深度220.0mm。</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蒸发量：年平均蒸发量1531.4mm，年最大蒸发量1711.0mm，年最小蒸发量1378.4mm。</w:t>
      </w:r>
    </w:p>
    <w:p>
      <w:pPr>
        <w:pageBreakBefore w:val="0"/>
        <w:widowControl w:val="0"/>
        <w:bidi w:val="0"/>
        <w:adjustRightInd w:val="0"/>
        <w:snapToGrid w:val="0"/>
        <w:spacing w:line="360" w:lineRule="auto"/>
        <w:jc w:val="both"/>
        <w:rPr>
          <w:rFonts w:hint="eastAsia" w:ascii="Times New Roman" w:hAnsi="Times New Roman" w:eastAsia="宋体" w:cs="Times New Roman"/>
          <w:b w:val="0"/>
          <w:bCs w:val="0"/>
          <w:caps w:val="0"/>
          <w:smallCaps w:val="0"/>
          <w:color w:val="auto"/>
          <w:spacing w:val="0"/>
          <w:w w:val="100"/>
          <w:kern w:val="0"/>
          <w:sz w:val="28"/>
          <w:szCs w:val="28"/>
          <w:highlight w:val="none"/>
          <w:lang w:val="en-US" w:eastAsia="zh-CN"/>
        </w:rPr>
      </w:pPr>
      <w:r>
        <w:rPr>
          <w:rFonts w:hint="eastAsia" w:ascii="Times New Roman" w:hAnsi="Times New Roman" w:eastAsia="宋体" w:cs="Times New Roman"/>
          <w:b w:val="0"/>
          <w:bCs w:val="0"/>
          <w:caps w:val="0"/>
          <w:smallCaps w:val="0"/>
          <w:color w:val="auto"/>
          <w:spacing w:val="0"/>
          <w:w w:val="100"/>
          <w:kern w:val="0"/>
          <w:sz w:val="28"/>
          <w:szCs w:val="28"/>
          <w:highlight w:val="none"/>
          <w:lang w:val="en-US" w:eastAsia="zh-CN"/>
        </w:rPr>
        <w:t>4.1.4区域地质及水文地质条件</w:t>
      </w:r>
    </w:p>
    <w:p>
      <w:pPr>
        <w:keepNext w:val="0"/>
        <w:keepLines w:val="0"/>
        <w:widowControl/>
        <w:suppressLineNumbers w:val="0"/>
        <w:spacing w:line="360" w:lineRule="auto"/>
        <w:jc w:val="both"/>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（1）地质构造</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调查区内地表普遍被第四系覆盖。地表为缓波状起伏的低平原地貌景观。地势东高西低。地面海拔高程在146.96-191.3m之间，相对高差44.34m。区内分布着大量住宅区，局部地区有草原、季节性排水渠。</w:t>
      </w:r>
    </w:p>
    <w:p>
      <w:pPr>
        <w:keepNext w:val="0"/>
        <w:keepLines w:val="0"/>
        <w:widowControl/>
        <w:suppressLineNumbers w:val="0"/>
        <w:spacing w:line="360" w:lineRule="auto"/>
        <w:jc w:val="both"/>
        <w:rPr>
          <w:rFonts w:hint="eastAsia"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（2）地层岩性</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调查区内浅部地层从老到新依次为白垩系明水组一段下部（K</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vertAlign w:val="super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）、白垩系明水组一段上部（K</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）、白垩系明水组二段下部（K</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vertAlign w:val="super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）、新近系大安组（N</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d）和第四系（Q）。</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1）白垩系明水组一段下部（K</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vertAlign w:val="super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白垩系明水组一段下部（K</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vertAlign w:val="super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地层在调查区内广泛分布。地层厚度一般为63.0～109.0m。岩性：上部为黑灰、黑色泥岩，页岩，质纯致密，其底部有薄层黄铁矿。下部为灰、灰绿色细粉砂岩，砂质泥岩，底部为含砾砂岩。电性特征：上部视电阻率曲线光滑平直，电阻值较低，底部有极低值，下部为1～2组高电阻层夹低电阻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本组地层与下伏地层为不整合接触。</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2）白垩系明水组一段上部（K</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白垩系明水组一段上部（K</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地层仅在在调查区内北部分布，由北向南逐渐变薄在调查区南部缺失。地层厚度一般为0～58.0m。岩性：上部为黑色泥页岩，质纯、致密，其底部有薄层黄铁矿。下部为块状灰绿色含砾砂岩，中粗砂岩。电性特征：上部视电阻率曲线光滑平直，电阻值较低，底部有极低值，下部为高电阻层夹薄层低电阻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本组地层与下伏地层为整合接触。</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3）白垩系明水组二段下部（K</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白垩系明水组二段下部（K</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地层仅在调查区内北部分布，由北向南逐渐变薄在调查区南部缺失。地层厚度一般为0-79.5m。岩性：上部为灰绿色、棕红色泥岩，砂质泥岩夹泥质粉砂岩。下部为杂色含砾砂岩，中粗砂岩，夹灰、灰绿色泥质砂岩和砂质泥岩。</w:t>
      </w:r>
    </w:p>
    <w:p>
      <w:pPr>
        <w:keepNext w:val="0"/>
        <w:keepLines w:val="0"/>
        <w:widowControl/>
        <w:suppressLineNumbers w:val="0"/>
        <w:spacing w:line="360" w:lineRule="auto"/>
        <w:ind w:firstLine="560" w:firstLineChars="200"/>
        <w:jc w:val="both"/>
        <w:rPr>
          <w:rFonts w:hint="eastAsia"/>
          <w:color w:val="auto"/>
          <w:sz w:val="28"/>
          <w:szCs w:val="28"/>
          <w:highlight w:val="none"/>
        </w:rPr>
      </w:pPr>
      <w:r>
        <w:rPr>
          <w:rFonts w:hint="eastAsia" w:ascii="Times New Roman" w:hAnsi="Times New Roman" w:eastAsia="宋体" w:cs="Times New Roman"/>
          <w:color w:val="auto"/>
          <w:kern w:val="0"/>
          <w:sz w:val="28"/>
          <w:szCs w:val="28"/>
          <w:highlight w:val="none"/>
          <w:lang w:val="en-US" w:eastAsia="zh-CN" w:bidi="ar"/>
        </w:rPr>
        <w:t>本组地层与下伏地层为整合接触。</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4）新近系大安组（N</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d）</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新近系大安组（N</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d）地层仅在调查区内南部分布，由南向北逐渐变薄在调查区北部缺失。地层厚度一般为0m～40.0m。岩性：上部为灰绿灰黄色泥岩，中部为灰色泥岩，下部为灰白色含砾砂岩。地层结构表现为下粗上细的明显正旋回特征。</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本组地层与下伏地层为不整合接触。</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5）第四系(Q)</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在调查区内广泛分布，其厚度一般10.0-27.0m。上部为黄褐色粉质黏土，下部为灰色粉质黏土，底部灰白色砂砾石缺失。</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本组地层与下伏地层为不整合接触。</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根据浅部钻孔资料，所揭露的地层按照岩土成因、结构、性质综合划分2层。对地层结构及特征描述如下：</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①粉质黏土：黄褐色，冲积成因，Q3年代地层，土质不均匀，仅在ZK201001号孔夹杂薄层粉砂。无摇震反应，稍有光泽，干强度中等，韧性中等，可塑。</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②粉质黏土：灰色，淤积成因，Q3年代地层。土质较均匀，局部黏性较大呈黏土。无摇震反应，稍有光泽，干强度中等，韧性中等，可塑-硬塑。</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（3）区域水文地质条件</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1）包气带</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根据本次勘察地下水及浅部地层特征，调查区包气带厚度最大值为3.4m，主要为粉质黏土，垂向渗透系数可取0.037m/d。</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2）第四系含水层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第四系潜水含水层岩性主要是粉质黏土。</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第四系承压含水层缺失，调查区内无第四系承压含水层。</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3）新近系大安组承压含水层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大安组含水层仅在调查区新近系大安组（N</w:t>
      </w:r>
      <w:r>
        <w:rPr>
          <w:rFonts w:hint="eastAsia" w:ascii="Times New Roman" w:hAnsi="Times New Roman" w:eastAsia="宋体" w:cs="Times New Roman"/>
          <w:color w:val="auto"/>
          <w:kern w:val="0"/>
          <w:sz w:val="28"/>
          <w:szCs w:val="28"/>
          <w:highlight w:val="none"/>
          <w:vertAlign w:val="subscript"/>
          <w:lang w:val="en-US" w:eastAsia="zh-CN" w:bidi="ar"/>
        </w:rPr>
        <w:t>1</w:t>
      </w:r>
      <w:r>
        <w:rPr>
          <w:rFonts w:hint="eastAsia" w:ascii="Times New Roman" w:hAnsi="Times New Roman" w:eastAsia="宋体" w:cs="Times New Roman"/>
          <w:color w:val="auto"/>
          <w:kern w:val="0"/>
          <w:sz w:val="28"/>
          <w:szCs w:val="28"/>
          <w:highlight w:val="none"/>
          <w:lang w:val="en-US" w:eastAsia="zh-CN" w:bidi="ar"/>
        </w:rPr>
        <w:t>d）地层仅在调查区内南部分布，由南向北逐渐变薄在调查区北部缺失，为承压含水层，厚度为0-14.0m。含水层岩性为灰及深灰色、黑色砂岩，连通性差，渗透性差，富水性差。</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4）白垩系明水组二段下部承压含水层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白垩系明水组二段下部含水层分布在调查区北部分布，为承压含水层，厚度为0-47.0m。含水层岩性为杂色含砾砂岩、中粗砂岩，孔隙较大，连通一般，渗透性一般，富水性中等。</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5）白垩系明水组一段上部承压含水层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白垩系明水组一段上部含水层分布在调查区北部，为承压含水层，厚度一般0～41.0m。含水层岩性为砂岩、砂砾岩，孔隙较大，连通性一般，渗透性一般，富水性中等。</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6）白垩系明水组一段下部承压含水层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白垩系明水组一段下部含水层在调查区南部地区分布，为承压含水层，厚度一般0～40.0m。含水层岩性为细粉砂岩，砂质泥岩，底部为含砾砂岩，孔隙一般，连通性一般，渗透性一般，富水性中等。</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（4）地下水补、径、排条件</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地下水系统及其周围环境决定了地下水补给、径流、排泄特征，而其补给、径流和排泄构成了含水层地下水流系统形成条件。</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1）地下水补给</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第四系潜水含水层地下水补给主要为大气降水入渗补给。</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新近系大安组、白垩系明水组承压含水层地下水补给主要为地下水径流补给、上覆地层垂向渗透补给。</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2）地下水径流</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从潜水地下水等水位线图可看出，地下水的径流方向为由东向西，局部地区受地势影响。从承压水等水位线图可看出，调查区白垩系明水组承压水地下水径流方向由东北向西南。</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3）地下水的排泄</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根据调查区的地质及水文地质条件和地下水开采情况分析，地下水的排泄方式主要有三种：蒸发排泄、地下水的径流排泄、地下水人工开采排泄。</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（5）区域地下水动态变化情况</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区域潜水含水层埋深较浅，水位变化主要受大气降水补给和人工开采影响较大。根据已有资料，地下水枯水期为2-4月份，丰水期为9～12月份。调查期间潜水埋深1.16-7.9m之间，潜水埋深变化较大，水位变化差6.74m左右。</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调查区内白垩系明水组承压含水层水位随周边工业用水水量变化而变化，承压枯水期为9～12月份，丰水期为2～4月份。</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4.1.5地表水环境</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所在区域内东侧为北大排水干渠，位于拟建井场东侧，相对最近距离为1.8km，由北向南流经，为T型排水干渠，水渠东西宽30-40m，水渠深度约为4m，在非降雨期为干涸状态。截止现场调查时间为止，水渠内未有积水。</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区域内地表水文状况属安达闭流区，无天然河流泡沼分布。</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fldChar w:fldCharType="begin"/>
      </w:r>
      <w:r>
        <w:rPr>
          <w:rFonts w:hint="eastAsia" w:ascii="Times New Roman" w:hAnsi="Times New Roman" w:eastAsia="宋体" w:cs="Times New Roman"/>
          <w:color w:val="auto"/>
          <w:kern w:val="0"/>
          <w:sz w:val="28"/>
          <w:szCs w:val="28"/>
          <w:highlight w:val="none"/>
          <w:lang w:val="en-US" w:eastAsia="zh-CN" w:bidi="ar"/>
        </w:rPr>
        <w:instrText xml:space="preserve">HYPERLINK \l "_Toc189535402"</w:instrText>
      </w:r>
      <w:r>
        <w:rPr>
          <w:rFonts w:hint="eastAsia" w:ascii="Times New Roman" w:hAnsi="Times New Roman" w:eastAsia="宋体" w:cs="Times New Roman"/>
          <w:color w:val="auto"/>
          <w:kern w:val="0"/>
          <w:sz w:val="28"/>
          <w:szCs w:val="28"/>
          <w:highlight w:val="none"/>
          <w:lang w:val="en-US" w:eastAsia="zh-CN" w:bidi="ar"/>
        </w:rPr>
        <w:fldChar w:fldCharType="separate"/>
      </w:r>
      <w:r>
        <w:rPr>
          <w:rFonts w:hint="eastAsia" w:ascii="Times New Roman" w:hAnsi="Times New Roman" w:eastAsia="宋体" w:cs="Times New Roman"/>
          <w:color w:val="auto"/>
          <w:kern w:val="0"/>
          <w:sz w:val="28"/>
          <w:szCs w:val="28"/>
          <w:highlight w:val="none"/>
          <w:lang w:val="en-US" w:eastAsia="zh-CN" w:bidi="ar"/>
        </w:rPr>
        <w:t>4.1.6土壤类型与植被分布</w:t>
      </w:r>
      <w:r>
        <w:rPr>
          <w:rFonts w:hint="eastAsia" w:ascii="Times New Roman" w:hAnsi="Times New Roman" w:eastAsia="宋体" w:cs="Times New Roman"/>
          <w:color w:val="auto"/>
          <w:kern w:val="0"/>
          <w:sz w:val="28"/>
          <w:szCs w:val="28"/>
          <w:highlight w:val="none"/>
          <w:lang w:val="en-US" w:eastAsia="zh-CN" w:bidi="ar"/>
        </w:rPr>
        <w:fldChar w:fldCharType="end"/>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区域内主要土壤类型有黑钙土和草甸土等。植物资源以草本植物为主体，草原天然植被属于“蒙古植物区系”。低洼地范围内生长有芦苇、三棱草、蒲草等植被；在地势较高处草原植被较为茂盛繁杂，羊草、萎陵菜和针茅为优势种，伴生种有蒿属等植物；区域内农作物主要为玉米、土豆、白菜及其他应季节蔬菜等。</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本项目所在区域不存在重要野生植物及极小种群野生植物。</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fldChar w:fldCharType="begin"/>
      </w:r>
      <w:r>
        <w:rPr>
          <w:rFonts w:hint="eastAsia" w:ascii="Times New Roman" w:hAnsi="Times New Roman" w:eastAsia="宋体" w:cs="Times New Roman"/>
          <w:color w:val="auto"/>
          <w:kern w:val="0"/>
          <w:sz w:val="28"/>
          <w:szCs w:val="28"/>
          <w:highlight w:val="none"/>
          <w:lang w:val="en-US" w:eastAsia="zh-CN" w:bidi="ar"/>
        </w:rPr>
        <w:instrText xml:space="preserve">HYPERLINK \l "_Toc189535402"</w:instrText>
      </w:r>
      <w:r>
        <w:rPr>
          <w:rFonts w:hint="eastAsia" w:ascii="Times New Roman" w:hAnsi="Times New Roman" w:eastAsia="宋体" w:cs="Times New Roman"/>
          <w:color w:val="auto"/>
          <w:kern w:val="0"/>
          <w:sz w:val="28"/>
          <w:szCs w:val="28"/>
          <w:highlight w:val="none"/>
          <w:lang w:val="en-US" w:eastAsia="zh-CN" w:bidi="ar"/>
        </w:rPr>
        <w:fldChar w:fldCharType="separate"/>
      </w:r>
      <w:r>
        <w:rPr>
          <w:rFonts w:hint="eastAsia" w:ascii="Times New Roman" w:hAnsi="Times New Roman" w:eastAsia="宋体" w:cs="Times New Roman"/>
          <w:color w:val="auto"/>
          <w:kern w:val="0"/>
          <w:sz w:val="28"/>
          <w:szCs w:val="28"/>
          <w:highlight w:val="none"/>
          <w:lang w:val="en-US" w:eastAsia="zh-CN" w:bidi="ar"/>
        </w:rPr>
        <w:t>4.1.7野生动物分布</w:t>
      </w:r>
      <w:r>
        <w:rPr>
          <w:rFonts w:hint="eastAsia" w:ascii="Times New Roman" w:hAnsi="Times New Roman" w:eastAsia="宋体" w:cs="Times New Roman"/>
          <w:color w:val="auto"/>
          <w:kern w:val="0"/>
          <w:sz w:val="28"/>
          <w:szCs w:val="28"/>
          <w:highlight w:val="none"/>
          <w:lang w:val="en-US" w:eastAsia="zh-CN" w:bidi="ar"/>
        </w:rPr>
        <w:fldChar w:fldCharType="end"/>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区域内野生动物种类和数量均较少，伴随人类生存的农田小型鼠类、麻雀、家燕等种群数量较多，使陆生动物区系具有典型的农田动物群色彩。小型哺乳类特别是鼠类仍为常见种。野生动物主要有普通刺猬（Erinaceus amurensis Schrenk）、东北兔（Lepus mandschuricus Radde）、黄鼬（Mustela sibirica Pallas）、褐家鼠（Rattus nitidus）、小家鼠（Mus musculus L）、大仓鼠（Cricetulus triton）、东方田鼠（M icrotus fortis Buchner）、普通田鼠（Microtus arvalis）等10余种啮齿目、兔形目和食肉目动物。由于农业区内人类活动干扰较大，躲避天敌的条件较差，因此鸟类一般不会在此繁殖。区内鸟类主要为村栖型等伴人鸟类，如喜鹊（P. pica sericea Gould）、小嘴乌鸦（C.corone orientalis Evers）、麻雀（P. montanus montanus）、家燕（H rustica gutturalis Scopoli）等，也有一些小型水鸟在芦苇荡内栖息和繁殖。</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本项目所在区域不存在重点保护野生动物及特有种。</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15" w:name="_Toc23440"/>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4.</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2环境质量现状调查与评价</w:t>
      </w:r>
      <w:bookmarkEnd w:id="115"/>
    </w:p>
    <w:p>
      <w:pPr>
        <w:pageBreakBefore w:val="0"/>
        <w:widowControl w:val="0"/>
        <w:bidi w:val="0"/>
        <w:adjustRightInd w:val="0"/>
        <w:snapToGrid w:val="0"/>
        <w:spacing w:line="360" w:lineRule="auto"/>
        <w:jc w:val="both"/>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pPr>
      <w:r>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t>4.</w:t>
      </w:r>
      <w:r>
        <w:rPr>
          <w:rFonts w:hint="eastAsia" w:ascii="Times New Roman" w:hAnsi="Times New Roman" w:eastAsia="宋体" w:cs="Times New Roman"/>
          <w:b w:val="0"/>
          <w:bCs w:val="0"/>
          <w:caps w:val="0"/>
          <w:smallCaps w:val="0"/>
          <w:color w:val="auto"/>
          <w:spacing w:val="0"/>
          <w:w w:val="100"/>
          <w:kern w:val="0"/>
          <w:sz w:val="28"/>
          <w:szCs w:val="28"/>
          <w:highlight w:val="none"/>
          <w:lang w:val="en-US" w:eastAsia="zh-CN"/>
        </w:rPr>
        <w:t>2</w:t>
      </w:r>
      <w:r>
        <w:rPr>
          <w:rFonts w:hint="default" w:ascii="Times New Roman" w:hAnsi="Times New Roman" w:eastAsia="宋体" w:cs="Times New Roman"/>
          <w:b w:val="0"/>
          <w:bCs w:val="0"/>
          <w:caps w:val="0"/>
          <w:smallCaps w:val="0"/>
          <w:color w:val="auto"/>
          <w:spacing w:val="0"/>
          <w:w w:val="100"/>
          <w:kern w:val="0"/>
          <w:sz w:val="28"/>
          <w:szCs w:val="28"/>
          <w:highlight w:val="none"/>
          <w:lang w:val="en-US" w:eastAsia="zh-CN"/>
        </w:rPr>
        <w:t>.1</w:t>
      </w:r>
      <w:r>
        <w:rPr>
          <w:rFonts w:hint="eastAsia" w:ascii="Times New Roman" w:hAnsi="Times New Roman" w:eastAsia="宋体" w:cs="Times New Roman"/>
          <w:b w:val="0"/>
          <w:bCs w:val="0"/>
          <w:caps w:val="0"/>
          <w:smallCaps w:val="0"/>
          <w:color w:val="auto"/>
          <w:spacing w:val="0"/>
          <w:w w:val="100"/>
          <w:kern w:val="0"/>
          <w:sz w:val="28"/>
          <w:szCs w:val="28"/>
          <w:highlight w:val="none"/>
          <w:lang w:val="en-US" w:eastAsia="zh-CN"/>
        </w:rPr>
        <w:t>环境空气质量现状调查与评价</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（1）项目所在区域环境空气质量达标情况</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根据大庆市生态环境局202</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年6月5日公布的《202</w:t>
      </w: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年大庆市生态环境状况公报》，202</w:t>
      </w: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年城区环境空气中二氧化硫（SO</w:t>
      </w:r>
      <w:r>
        <w:rPr>
          <w:rFonts w:hint="default" w:ascii="Times New Roman" w:hAnsi="Times New Roman" w:eastAsia="宋体" w:cs="Times New Roman"/>
          <w:color w:val="auto"/>
          <w:kern w:val="0"/>
          <w:sz w:val="28"/>
          <w:szCs w:val="28"/>
          <w:highlight w:val="none"/>
          <w:vertAlign w:val="sub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）年均浓度为9µg/m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，优于国家一级标准限值；二氧化氮（NO</w:t>
      </w:r>
      <w:r>
        <w:rPr>
          <w:rFonts w:hint="default" w:ascii="Times New Roman" w:hAnsi="Times New Roman" w:eastAsia="宋体" w:cs="Times New Roman"/>
          <w:color w:val="auto"/>
          <w:kern w:val="0"/>
          <w:sz w:val="28"/>
          <w:szCs w:val="28"/>
          <w:highlight w:val="none"/>
          <w:vertAlign w:val="sub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）年均浓度为18µg/m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，优于国家一级标准限值；可吸入颗粒物（PM</w:t>
      </w:r>
      <w:r>
        <w:rPr>
          <w:rFonts w:hint="default" w:ascii="Times New Roman" w:hAnsi="Times New Roman" w:eastAsia="宋体" w:cs="Times New Roman"/>
          <w:color w:val="auto"/>
          <w:kern w:val="0"/>
          <w:sz w:val="28"/>
          <w:szCs w:val="28"/>
          <w:highlight w:val="none"/>
          <w:vertAlign w:val="subscript"/>
          <w:lang w:val="en-US" w:eastAsia="zh-CN" w:bidi="ar"/>
        </w:rPr>
        <w:t>10</w:t>
      </w:r>
      <w:r>
        <w:rPr>
          <w:rFonts w:hint="default" w:ascii="Times New Roman" w:hAnsi="Times New Roman" w:eastAsia="宋体" w:cs="Times New Roman"/>
          <w:color w:val="auto"/>
          <w:kern w:val="0"/>
          <w:sz w:val="28"/>
          <w:szCs w:val="28"/>
          <w:highlight w:val="none"/>
          <w:lang w:val="en-US" w:eastAsia="zh-CN" w:bidi="ar"/>
        </w:rPr>
        <w:t>）年均浓度为</w:t>
      </w:r>
      <w:r>
        <w:rPr>
          <w:rFonts w:hint="eastAsia" w:ascii="Times New Roman" w:hAnsi="Times New Roman" w:eastAsia="宋体" w:cs="Times New Roman"/>
          <w:color w:val="auto"/>
          <w:kern w:val="0"/>
          <w:sz w:val="28"/>
          <w:szCs w:val="28"/>
          <w:highlight w:val="none"/>
          <w:lang w:val="en-US" w:eastAsia="zh-CN" w:bidi="ar"/>
        </w:rPr>
        <w:t>41</w:t>
      </w:r>
      <w:r>
        <w:rPr>
          <w:rFonts w:hint="default" w:ascii="Times New Roman" w:hAnsi="Times New Roman" w:eastAsia="宋体" w:cs="Times New Roman"/>
          <w:color w:val="auto"/>
          <w:kern w:val="0"/>
          <w:sz w:val="28"/>
          <w:szCs w:val="28"/>
          <w:highlight w:val="none"/>
          <w:lang w:val="en-US" w:eastAsia="zh-CN" w:bidi="ar"/>
        </w:rPr>
        <w:t>µg/m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，优于国家二级标准限值；细颗粒物（PM</w:t>
      </w:r>
      <w:r>
        <w:rPr>
          <w:rFonts w:hint="default" w:ascii="Times New Roman" w:hAnsi="Times New Roman" w:eastAsia="宋体" w:cs="Times New Roman"/>
          <w:color w:val="auto"/>
          <w:kern w:val="0"/>
          <w:sz w:val="28"/>
          <w:szCs w:val="28"/>
          <w:highlight w:val="none"/>
          <w:vertAlign w:val="subscript"/>
          <w:lang w:val="en-US" w:eastAsia="zh-CN" w:bidi="ar"/>
        </w:rPr>
        <w:t>2.5</w:t>
      </w:r>
      <w:r>
        <w:rPr>
          <w:rFonts w:hint="default" w:ascii="Times New Roman" w:hAnsi="Times New Roman" w:eastAsia="宋体" w:cs="Times New Roman"/>
          <w:color w:val="auto"/>
          <w:kern w:val="0"/>
          <w:sz w:val="28"/>
          <w:szCs w:val="28"/>
          <w:highlight w:val="none"/>
          <w:lang w:val="en-US" w:eastAsia="zh-CN" w:bidi="ar"/>
        </w:rPr>
        <w:t>）年均浓度为</w:t>
      </w:r>
      <w:r>
        <w:rPr>
          <w:rFonts w:hint="eastAsia" w:ascii="Times New Roman" w:hAnsi="Times New Roman" w:eastAsia="宋体" w:cs="Times New Roman"/>
          <w:color w:val="auto"/>
          <w:kern w:val="0"/>
          <w:sz w:val="28"/>
          <w:szCs w:val="28"/>
          <w:highlight w:val="none"/>
          <w:lang w:val="en-US" w:eastAsia="zh-CN" w:bidi="ar"/>
        </w:rPr>
        <w:t>27</w:t>
      </w:r>
      <w:r>
        <w:rPr>
          <w:rFonts w:hint="default" w:ascii="Times New Roman" w:hAnsi="Times New Roman" w:eastAsia="宋体" w:cs="Times New Roman"/>
          <w:color w:val="auto"/>
          <w:kern w:val="0"/>
          <w:sz w:val="28"/>
          <w:szCs w:val="28"/>
          <w:highlight w:val="none"/>
          <w:lang w:val="en-US" w:eastAsia="zh-CN" w:bidi="ar"/>
        </w:rPr>
        <w:t>µg/m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，达到国家二级标准限值；一氧化碳（CO）24小时平均第95百分位数为</w:t>
      </w:r>
      <w:r>
        <w:rPr>
          <w:rFonts w:hint="eastAsia" w:ascii="Times New Roman" w:hAnsi="Times New Roman" w:eastAsia="宋体" w:cs="Times New Roman"/>
          <w:color w:val="auto"/>
          <w:kern w:val="0"/>
          <w:sz w:val="28"/>
          <w:szCs w:val="28"/>
          <w:highlight w:val="none"/>
          <w:lang w:val="en-US" w:eastAsia="zh-CN" w:bidi="ar"/>
        </w:rPr>
        <w:t>0.9</w:t>
      </w:r>
      <w:r>
        <w:rPr>
          <w:rFonts w:hint="default" w:ascii="Times New Roman" w:hAnsi="Times New Roman" w:eastAsia="宋体" w:cs="Times New Roman"/>
          <w:color w:val="auto"/>
          <w:kern w:val="0"/>
          <w:sz w:val="28"/>
          <w:szCs w:val="28"/>
          <w:highlight w:val="none"/>
          <w:lang w:val="en-US" w:eastAsia="zh-CN" w:bidi="ar"/>
        </w:rPr>
        <w:t>mg/m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，优于国家一级标准限值；臭氧最大8小时平均第90百分位数为1</w:t>
      </w:r>
      <w:r>
        <w:rPr>
          <w:rFonts w:hint="eastAsia" w:ascii="Times New Roman" w:hAnsi="Times New Roman" w:eastAsia="宋体" w:cs="Times New Roman"/>
          <w:color w:val="auto"/>
          <w:kern w:val="0"/>
          <w:sz w:val="28"/>
          <w:szCs w:val="28"/>
          <w:highlight w:val="none"/>
          <w:lang w:val="en-US" w:eastAsia="zh-CN" w:bidi="ar"/>
        </w:rPr>
        <w:t>26</w:t>
      </w:r>
      <w:r>
        <w:rPr>
          <w:rFonts w:hint="default" w:ascii="Times New Roman" w:hAnsi="Times New Roman" w:eastAsia="宋体" w:cs="Times New Roman"/>
          <w:color w:val="auto"/>
          <w:kern w:val="0"/>
          <w:sz w:val="28"/>
          <w:szCs w:val="28"/>
          <w:highlight w:val="none"/>
          <w:lang w:val="en-US" w:eastAsia="zh-CN" w:bidi="ar"/>
        </w:rPr>
        <w:t>µg/m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，优于国家二级标准限值。202</w:t>
      </w: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年，大庆市共进行了36</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天有效环境空气质量自动监测，其中：全年环境空气质量优良天数为</w:t>
      </w:r>
      <w:r>
        <w:rPr>
          <w:rFonts w:hint="eastAsia" w:ascii="Times New Roman" w:hAnsi="Times New Roman" w:eastAsia="宋体" w:cs="Times New Roman"/>
          <w:color w:val="auto"/>
          <w:kern w:val="0"/>
          <w:sz w:val="28"/>
          <w:szCs w:val="28"/>
          <w:highlight w:val="none"/>
          <w:lang w:val="en-US" w:eastAsia="zh-CN" w:bidi="ar"/>
        </w:rPr>
        <w:t>341</w:t>
      </w:r>
      <w:r>
        <w:rPr>
          <w:rFonts w:hint="default" w:ascii="Times New Roman" w:hAnsi="Times New Roman" w:eastAsia="宋体" w:cs="Times New Roman"/>
          <w:color w:val="auto"/>
          <w:kern w:val="0"/>
          <w:sz w:val="28"/>
          <w:szCs w:val="28"/>
          <w:highlight w:val="none"/>
          <w:lang w:val="en-US" w:eastAsia="zh-CN" w:bidi="ar"/>
        </w:rPr>
        <w:t>天，环境空气质量优良率为</w:t>
      </w:r>
      <w:r>
        <w:rPr>
          <w:rFonts w:hint="eastAsia" w:ascii="Times New Roman" w:hAnsi="Times New Roman" w:eastAsia="宋体" w:cs="Times New Roman"/>
          <w:color w:val="auto"/>
          <w:kern w:val="0"/>
          <w:sz w:val="28"/>
          <w:szCs w:val="28"/>
          <w:highlight w:val="none"/>
          <w:lang w:val="en-US" w:eastAsia="zh-CN" w:bidi="ar"/>
        </w:rPr>
        <w:t>93.4</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根据《环境空气质量评价技术规范（试行）》（HJ663-2013），大庆市环境空气质量状况良好，属于环境空气质量达标区。具体判定情况详见表4.2-1。</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表4.2-1区域空气质量现状评价表</w:t>
      </w:r>
    </w:p>
    <w:tbl>
      <w:tblPr>
        <w:tblStyle w:val="19"/>
        <w:tblW w:w="928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60"/>
        <w:gridCol w:w="2237"/>
        <w:gridCol w:w="2507"/>
        <w:gridCol w:w="1419"/>
        <w:gridCol w:w="830"/>
        <w:gridCol w:w="8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w:t>
            </w:r>
          </w:p>
        </w:tc>
        <w:tc>
          <w:tcPr>
            <w:tcW w:w="2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年评价指标</w:t>
            </w:r>
          </w:p>
        </w:tc>
        <w:tc>
          <w:tcPr>
            <w:tcW w:w="25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现状浓度（μg/m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标准值（μg/m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p>
        </w:tc>
        <w:tc>
          <w:tcPr>
            <w:tcW w:w="8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占标率%</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2</w:t>
            </w:r>
          </w:p>
        </w:tc>
        <w:tc>
          <w:tcPr>
            <w:tcW w:w="2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年平均质量浓度</w:t>
            </w:r>
          </w:p>
        </w:tc>
        <w:tc>
          <w:tcPr>
            <w:tcW w:w="25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60</w:t>
            </w:r>
          </w:p>
        </w:tc>
        <w:tc>
          <w:tcPr>
            <w:tcW w:w="8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2</w:t>
            </w:r>
          </w:p>
        </w:tc>
        <w:tc>
          <w:tcPr>
            <w:tcW w:w="2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年平均质量浓度</w:t>
            </w:r>
          </w:p>
        </w:tc>
        <w:tc>
          <w:tcPr>
            <w:tcW w:w="25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40</w:t>
            </w:r>
          </w:p>
        </w:tc>
        <w:tc>
          <w:tcPr>
            <w:tcW w:w="8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45.0</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PM</w:t>
            </w:r>
            <w:r>
              <w:rPr>
                <w:rFonts w:hint="default" w:ascii="Times New Roman" w:hAnsi="Times New Roman" w:cs="Times New Roman"/>
                <w:color w:val="auto"/>
                <w:sz w:val="24"/>
                <w:szCs w:val="24"/>
                <w:highlight w:val="none"/>
                <w:vertAlign w:val="subscript"/>
                <w:lang w:val="en-US" w:eastAsia="zh-CN"/>
              </w:rPr>
              <w:t>10</w:t>
            </w:r>
          </w:p>
        </w:tc>
        <w:tc>
          <w:tcPr>
            <w:tcW w:w="2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年平均质量浓度</w:t>
            </w:r>
          </w:p>
        </w:tc>
        <w:tc>
          <w:tcPr>
            <w:tcW w:w="25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70</w:t>
            </w:r>
          </w:p>
        </w:tc>
        <w:tc>
          <w:tcPr>
            <w:tcW w:w="8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58.6</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PM</w:t>
            </w:r>
            <w:r>
              <w:rPr>
                <w:rFonts w:hint="default" w:ascii="Times New Roman" w:hAnsi="Times New Roman" w:cs="Times New Roman"/>
                <w:color w:val="auto"/>
                <w:sz w:val="24"/>
                <w:szCs w:val="24"/>
                <w:highlight w:val="none"/>
                <w:vertAlign w:val="subscript"/>
                <w:lang w:val="en-US" w:eastAsia="zh-CN"/>
              </w:rPr>
              <w:t>2.5</w:t>
            </w:r>
          </w:p>
        </w:tc>
        <w:tc>
          <w:tcPr>
            <w:tcW w:w="2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年平均质量浓度</w:t>
            </w:r>
          </w:p>
        </w:tc>
        <w:tc>
          <w:tcPr>
            <w:tcW w:w="25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35</w:t>
            </w:r>
          </w:p>
        </w:tc>
        <w:tc>
          <w:tcPr>
            <w:tcW w:w="8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77.1</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p>
        </w:tc>
        <w:tc>
          <w:tcPr>
            <w:tcW w:w="2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24小时平均第95百分位数</w:t>
            </w:r>
          </w:p>
        </w:tc>
        <w:tc>
          <w:tcPr>
            <w:tcW w:w="25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w:t>
            </w:r>
            <w:r>
              <w:rPr>
                <w:rFonts w:hint="eastAsia" w:ascii="Times New Roman" w:hAnsi="Times New Roman" w:cs="Times New Roman"/>
                <w:color w:val="auto"/>
                <w:sz w:val="24"/>
                <w:szCs w:val="24"/>
                <w:highlight w:val="none"/>
                <w:vertAlign w:val="baseline"/>
                <w:lang w:val="en-US" w:eastAsia="zh-CN"/>
              </w:rPr>
              <w:t>000</w:t>
            </w:r>
          </w:p>
        </w:tc>
        <w:tc>
          <w:tcPr>
            <w:tcW w:w="8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22.5</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baseline"/>
                <w:lang w:val="en-US" w:eastAsia="zh-CN"/>
              </w:rPr>
              <w:t>日最大8小时平均</w:t>
            </w:r>
          </w:p>
        </w:tc>
        <w:tc>
          <w:tcPr>
            <w:tcW w:w="2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第90百分位数平均质量浓度</w:t>
            </w:r>
          </w:p>
        </w:tc>
        <w:tc>
          <w:tcPr>
            <w:tcW w:w="25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126</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160</w:t>
            </w:r>
          </w:p>
        </w:tc>
        <w:tc>
          <w:tcPr>
            <w:tcW w:w="8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78.8</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达标</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环境空气质量现状补充监测</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1）监测布点</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根据气田开发区域及周边的环境特点及《环境影响评价技术导则 大气环境》</w:t>
      </w:r>
      <w:r>
        <w:rPr>
          <w:rFonts w:hint="default" w:ascii="Times New Roman" w:hAnsi="Times New Roman" w:eastAsia="宋体" w:cs="Times New Roman"/>
          <w:color w:val="auto"/>
          <w:kern w:val="0"/>
          <w:sz w:val="28"/>
          <w:szCs w:val="28"/>
          <w:highlight w:val="none"/>
          <w:lang w:val="en-US" w:eastAsia="zh-CN" w:bidi="ar"/>
        </w:rPr>
        <w:t>(HJ2.2-2018)</w:t>
      </w:r>
      <w:r>
        <w:rPr>
          <w:rFonts w:hint="eastAsia" w:ascii="Times New Roman" w:hAnsi="Times New Roman" w:eastAsia="宋体" w:cs="Times New Roman"/>
          <w:color w:val="auto"/>
          <w:kern w:val="0"/>
          <w:sz w:val="28"/>
          <w:szCs w:val="28"/>
          <w:highlight w:val="none"/>
          <w:lang w:val="en-US" w:eastAsia="zh-CN" w:bidi="ar"/>
        </w:rPr>
        <w:t>要求，本项目选取2个环境空气监测点位，监测点位详见表4.2-2。</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-2</w:t>
      </w:r>
      <w:r>
        <w:rPr>
          <w:rFonts w:hint="eastAsia" w:ascii="Times New Roman" w:hAnsi="Times New Roman" w:eastAsia="宋体" w:cs="Times New Roman"/>
          <w:b/>
          <w:bCs/>
          <w:color w:val="auto"/>
          <w:kern w:val="0"/>
          <w:sz w:val="24"/>
          <w:szCs w:val="24"/>
          <w:highlight w:val="none"/>
          <w:lang w:val="en-US" w:eastAsia="zh-CN" w:bidi="ar"/>
        </w:rPr>
        <w:t>空气环境现状补充监测点位基本信息</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24"/>
        <w:gridCol w:w="2823"/>
        <w:gridCol w:w="1195"/>
        <w:gridCol w:w="1384"/>
        <w:gridCol w:w="16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监测点位</w:t>
            </w:r>
          </w:p>
        </w:tc>
        <w:tc>
          <w:tcPr>
            <w:tcW w:w="28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监测点坐标</w:t>
            </w:r>
          </w:p>
        </w:tc>
        <w:tc>
          <w:tcPr>
            <w:tcW w:w="11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监测因子</w:t>
            </w:r>
          </w:p>
        </w:tc>
        <w:tc>
          <w:tcPr>
            <w:tcW w:w="13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监测时段</w:t>
            </w:r>
          </w:p>
        </w:tc>
        <w:tc>
          <w:tcPr>
            <w:tcW w:w="1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相对厂址方位</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4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范家窝棚</w:t>
            </w:r>
          </w:p>
        </w:tc>
        <w:tc>
          <w:tcPr>
            <w:tcW w:w="28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g125.294101，45.804251</w:t>
            </w:r>
          </w:p>
        </w:tc>
        <w:tc>
          <w:tcPr>
            <w:tcW w:w="119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非甲烷</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总烃</w:t>
            </w:r>
          </w:p>
        </w:tc>
        <w:tc>
          <w:tcPr>
            <w:tcW w:w="138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每日</w:t>
            </w:r>
            <w:r>
              <w:rPr>
                <w:rFonts w:hint="default" w:ascii="Times New Roman" w:hAnsi="Times New Roman" w:cs="Times New Roman"/>
                <w:color w:val="auto"/>
                <w:sz w:val="24"/>
                <w:szCs w:val="24"/>
                <w:highlight w:val="none"/>
                <w:vertAlign w:val="baseline"/>
                <w:lang w:val="en-US" w:eastAsia="zh-CN"/>
              </w:rPr>
              <w:t>02</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08</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14</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20</w:t>
            </w:r>
            <w:r>
              <w:rPr>
                <w:rFonts w:hint="eastAsia" w:ascii="Times New Roman" w:hAnsi="Times New Roman" w:cs="Times New Roman"/>
                <w:color w:val="auto"/>
                <w:sz w:val="24"/>
                <w:szCs w:val="24"/>
                <w:highlight w:val="none"/>
                <w:vertAlign w:val="baseline"/>
                <w:lang w:val="en-US" w:eastAsia="zh-CN"/>
              </w:rPr>
              <w:t>时</w:t>
            </w:r>
          </w:p>
        </w:tc>
        <w:tc>
          <w:tcPr>
            <w:tcW w:w="1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拟建肇深19-</w:t>
            </w:r>
            <w:r>
              <w:rPr>
                <w:rFonts w:hint="eastAsia" w:ascii="Times New Roman" w:hAnsi="Times New Roman" w:cs="Times New Roman"/>
                <w:color w:val="auto"/>
                <w:sz w:val="24"/>
                <w:szCs w:val="24"/>
                <w:highlight w:val="none"/>
                <w:vertAlign w:val="baseline"/>
                <w:lang w:val="en-US" w:eastAsia="zh-CN"/>
              </w:rPr>
              <w:t>斜1</w:t>
            </w:r>
            <w:r>
              <w:rPr>
                <w:rFonts w:hint="default" w:ascii="Times New Roman" w:hAnsi="Times New Roman" w:cs="Times New Roman"/>
                <w:color w:val="auto"/>
                <w:sz w:val="24"/>
                <w:szCs w:val="24"/>
                <w:highlight w:val="none"/>
                <w:vertAlign w:val="baseline"/>
                <w:lang w:val="en-US" w:eastAsia="zh-CN"/>
              </w:rPr>
              <w:t>井</w:t>
            </w:r>
            <w:r>
              <w:rPr>
                <w:rFonts w:hint="eastAsia" w:ascii="Times New Roman" w:hAnsi="Times New Roman" w:cs="Times New Roman"/>
                <w:color w:val="auto"/>
                <w:sz w:val="24"/>
                <w:szCs w:val="24"/>
                <w:highlight w:val="none"/>
                <w:vertAlign w:val="baseline"/>
                <w:lang w:val="en-US" w:eastAsia="zh-CN"/>
              </w:rPr>
              <w:t>东北494</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4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平等村</w:t>
            </w:r>
          </w:p>
        </w:tc>
        <w:tc>
          <w:tcPr>
            <w:tcW w:w="28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g125.295915，45.787113</w:t>
            </w:r>
          </w:p>
        </w:tc>
        <w:tc>
          <w:tcPr>
            <w:tcW w:w="119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38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拟建肇深19-斜1井南1.28Km</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）监测项目</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非甲烷总烃。</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）监测时间和频率</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2022</w:t>
      </w:r>
      <w:r>
        <w:rPr>
          <w:rFonts w:hint="eastAsia" w:ascii="Times New Roman" w:hAnsi="Times New Roman" w:eastAsia="宋体" w:cs="Times New Roman"/>
          <w:color w:val="auto"/>
          <w:kern w:val="0"/>
          <w:sz w:val="28"/>
          <w:szCs w:val="28"/>
          <w:highlight w:val="none"/>
          <w:lang w:val="en-US" w:eastAsia="zh-CN" w:bidi="ar"/>
        </w:rPr>
        <w:t>年5月20日</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5月26日，每天</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次，连续监测7天。</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）监测结果统计分析</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监测统计结果见表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-3</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其他污染物环境质量现状（监测结果）表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51"/>
        <w:gridCol w:w="1051"/>
        <w:gridCol w:w="1051"/>
        <w:gridCol w:w="1061"/>
        <w:gridCol w:w="1136"/>
        <w:gridCol w:w="1057"/>
        <w:gridCol w:w="1057"/>
        <w:gridCol w:w="10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点位</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平均</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时间</w:t>
            </w:r>
          </w:p>
        </w:tc>
        <w:tc>
          <w:tcPr>
            <w:tcW w:w="10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评价</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标准</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mg/m</w:t>
            </w:r>
            <w:r>
              <w:rPr>
                <w:rFonts w:hint="default" w:ascii="Times New Roman" w:hAnsi="Times New Roman" w:cs="Times New Roman"/>
                <w:color w:val="auto"/>
                <w:sz w:val="24"/>
                <w:szCs w:val="24"/>
                <w:highlight w:val="none"/>
                <w:vertAlign w:val="superscript"/>
                <w:lang w:val="en-US" w:eastAsia="zh-CN"/>
              </w:rPr>
              <w:t>3</w:t>
            </w:r>
          </w:p>
        </w:tc>
        <w:tc>
          <w:tcPr>
            <w:tcW w:w="11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监测浓度范围</w:t>
            </w:r>
            <w:r>
              <w:rPr>
                <w:rFonts w:hint="default" w:ascii="Times New Roman" w:hAnsi="Times New Roman" w:cs="Times New Roman"/>
                <w:color w:val="auto"/>
                <w:sz w:val="24"/>
                <w:szCs w:val="24"/>
                <w:highlight w:val="none"/>
                <w:vertAlign w:val="baseline"/>
                <w:lang w:val="en-US" w:eastAsia="zh-CN"/>
              </w:rPr>
              <w:t>mg/m</w:t>
            </w:r>
            <w:r>
              <w:rPr>
                <w:rFonts w:hint="default" w:ascii="Times New Roman" w:hAnsi="Times New Roman" w:cs="Times New Roman"/>
                <w:color w:val="auto"/>
                <w:sz w:val="24"/>
                <w:szCs w:val="24"/>
                <w:highlight w:val="none"/>
                <w:vertAlign w:val="superscript"/>
                <w:lang w:val="en-US" w:eastAsia="zh-CN"/>
              </w:rPr>
              <w:t>3</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最大浓度占标率</w:t>
            </w:r>
            <w:r>
              <w:rPr>
                <w:rFonts w:hint="default" w:ascii="Times New Roman" w:hAnsi="Times New Roman" w:cs="Times New Roman"/>
                <w:color w:val="auto"/>
                <w:sz w:val="24"/>
                <w:szCs w:val="24"/>
                <w:highlight w:val="none"/>
                <w:vertAlign w:val="baseline"/>
                <w:lang w:val="en-US" w:eastAsia="zh-CN"/>
              </w:rPr>
              <w:t>%</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超标</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率</w:t>
            </w:r>
            <w:r>
              <w:rPr>
                <w:rFonts w:hint="default" w:ascii="Times New Roman" w:hAnsi="Times New Roman" w:cs="Times New Roman"/>
                <w:color w:val="auto"/>
                <w:sz w:val="24"/>
                <w:szCs w:val="24"/>
                <w:highlight w:val="none"/>
                <w:vertAlign w:val="baseline"/>
                <w:lang w:val="en-US" w:eastAsia="zh-CN"/>
              </w:rPr>
              <w:t>%</w:t>
            </w:r>
          </w:p>
        </w:tc>
        <w:tc>
          <w:tcPr>
            <w:tcW w:w="10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达标</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范家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窝棚</w:t>
            </w:r>
          </w:p>
        </w:tc>
        <w:tc>
          <w:tcPr>
            <w:tcW w:w="105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非甲烷总烃</w:t>
            </w:r>
          </w:p>
        </w:tc>
        <w:tc>
          <w:tcPr>
            <w:tcW w:w="105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1h</w:t>
            </w:r>
          </w:p>
        </w:tc>
        <w:tc>
          <w:tcPr>
            <w:tcW w:w="10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p>
        </w:tc>
        <w:tc>
          <w:tcPr>
            <w:tcW w:w="11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1.01-1.24</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62.0</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p>
        </w:tc>
        <w:tc>
          <w:tcPr>
            <w:tcW w:w="10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平等村</w:t>
            </w:r>
          </w:p>
        </w:tc>
        <w:tc>
          <w:tcPr>
            <w:tcW w:w="105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05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0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1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1.06-1.25</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62.5</w:t>
            </w:r>
          </w:p>
        </w:tc>
        <w:tc>
          <w:tcPr>
            <w:tcW w:w="10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p>
        </w:tc>
        <w:tc>
          <w:tcPr>
            <w:tcW w:w="10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达标</w:t>
            </w:r>
          </w:p>
        </w:tc>
      </w:tr>
    </w:tbl>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由表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可知，评价区域环境空气监测点位非甲烷总烃满足《大气污染物综合标准详解》中规定的数值小时均值，项目所在区域污染物环境质量现状达标。</w:t>
      </w:r>
    </w:p>
    <w:p>
      <w:pPr>
        <w:keepNext w:val="0"/>
        <w:keepLines w:val="0"/>
        <w:widowControl/>
        <w:suppressLineNumbers w:val="0"/>
        <w:spacing w:line="360" w:lineRule="auto"/>
        <w:jc w:val="both"/>
        <w:rPr>
          <w:rFonts w:hint="eastAsia" w:ascii="Times New Roman" w:hAnsi="Times New Roman" w:eastAsia="宋体" w:cs="Times New Roman"/>
          <w:b w:val="0"/>
          <w:bCs w:val="0"/>
          <w:color w:val="auto"/>
          <w:kern w:val="0"/>
          <w:sz w:val="28"/>
          <w:szCs w:val="28"/>
          <w:highlight w:val="none"/>
          <w:lang w:val="en-US" w:eastAsia="zh-CN" w:bidi="ar"/>
        </w:rPr>
      </w:pPr>
      <w:r>
        <w:rPr>
          <w:rFonts w:hint="default" w:ascii="Times New Roman" w:hAnsi="Times New Roman" w:eastAsia="宋体" w:cs="Times New Roman"/>
          <w:b w:val="0"/>
          <w:bCs w:val="0"/>
          <w:color w:val="auto"/>
          <w:kern w:val="0"/>
          <w:sz w:val="28"/>
          <w:szCs w:val="28"/>
          <w:highlight w:val="none"/>
          <w:lang w:val="en-US" w:eastAsia="zh-CN" w:bidi="ar"/>
        </w:rPr>
        <w:t>4.</w:t>
      </w:r>
      <w:r>
        <w:rPr>
          <w:rFonts w:hint="eastAsia" w:ascii="Times New Roman" w:hAnsi="Times New Roman" w:eastAsia="宋体" w:cs="Times New Roman"/>
          <w:b w:val="0"/>
          <w:bCs w:val="0"/>
          <w:color w:val="auto"/>
          <w:kern w:val="0"/>
          <w:sz w:val="28"/>
          <w:szCs w:val="28"/>
          <w:highlight w:val="none"/>
          <w:lang w:val="en-US" w:eastAsia="zh-CN" w:bidi="ar"/>
        </w:rPr>
        <w:t>2.2地下水环境质量现状调查与评价</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（1）现状监测</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）监测布点</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为了解区域地下水环境现状，按导则要求，项目地下水为三级评价，原则上建设项目场地上游及其下游影响区的地下水水质监测点各不得少于</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个。本次监测在项目场地地下水流向的上游布设了2个水质监测点，下游布设了2个水质监测点，符合导则要求。本项目地下水监测点位详见表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4，,监测结果见表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5。</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4地下水水质监测点位</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178"/>
        <w:gridCol w:w="2102"/>
        <w:gridCol w:w="1711"/>
        <w:gridCol w:w="1164"/>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Borders>
              <w:top w:val="single" w:color="auto" w:sz="12" w:space="0"/>
              <w:left w:val="nil"/>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178"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点位</w:t>
            </w:r>
          </w:p>
        </w:tc>
        <w:tc>
          <w:tcPr>
            <w:tcW w:w="2102"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坐标（°）</w:t>
            </w:r>
          </w:p>
        </w:tc>
        <w:tc>
          <w:tcPr>
            <w:tcW w:w="1711"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相对厂址方位</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距离</w:t>
            </w:r>
          </w:p>
        </w:tc>
        <w:tc>
          <w:tcPr>
            <w:tcW w:w="1164" w:type="dxa"/>
            <w:tcBorders>
              <w:top w:val="single" w:color="auto" w:sz="12"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井深（</w:t>
            </w:r>
            <w:r>
              <w:rPr>
                <w:rFonts w:hint="default"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baseline"/>
                <w:lang w:val="en-US" w:eastAsia="zh-CN"/>
              </w:rPr>
              <w:t>）</w:t>
            </w:r>
          </w:p>
        </w:tc>
        <w:tc>
          <w:tcPr>
            <w:tcW w:w="1527" w:type="dxa"/>
            <w:tcBorders>
              <w:top w:val="single" w:color="auto" w:sz="12" w:space="0"/>
              <w:left w:val="single" w:color="auto" w:sz="6" w:space="0"/>
              <w:bottom w:val="single" w:color="auto" w:sz="6"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D1</w:t>
            </w:r>
          </w:p>
        </w:tc>
        <w:tc>
          <w:tcPr>
            <w:tcW w:w="117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天主堂屯水井</w:t>
            </w:r>
          </w:p>
        </w:tc>
        <w:tc>
          <w:tcPr>
            <w:tcW w:w="21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g125.277210，45.827168</w:t>
            </w:r>
          </w:p>
        </w:tc>
        <w:tc>
          <w:tcPr>
            <w:tcW w:w="171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拟建肇深19-平3井西北2.157km</w:t>
            </w:r>
          </w:p>
        </w:tc>
        <w:tc>
          <w:tcPr>
            <w:tcW w:w="116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38</w:t>
            </w:r>
          </w:p>
        </w:tc>
        <w:tc>
          <w:tcPr>
            <w:tcW w:w="1527" w:type="dxa"/>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潜水，上游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D2</w:t>
            </w:r>
          </w:p>
        </w:tc>
        <w:tc>
          <w:tcPr>
            <w:tcW w:w="117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李珍窝棚水井</w:t>
            </w:r>
          </w:p>
        </w:tc>
        <w:tc>
          <w:tcPr>
            <w:tcW w:w="21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w:t>
            </w:r>
            <w:r>
              <w:rPr>
                <w:rFonts w:hint="default" w:ascii="Times New Roman" w:hAnsi="Times New Roman" w:cs="Times New Roman"/>
                <w:color w:val="auto"/>
                <w:sz w:val="24"/>
                <w:szCs w:val="24"/>
                <w:highlight w:val="none"/>
                <w:vertAlign w:val="baseline"/>
                <w:lang w:val="en-US" w:eastAsia="zh-CN"/>
              </w:rPr>
              <w:t>125.281343</w:t>
            </w:r>
            <w:r>
              <w:rPr>
                <w:rFonts w:hint="eastAsia" w:ascii="Times New Roman" w:hAnsi="Times New Roman" w:cs="Times New Roman"/>
                <w:color w:val="auto"/>
                <w:sz w:val="24"/>
                <w:szCs w:val="24"/>
                <w:highlight w:val="none"/>
                <w:vertAlign w:val="baseline"/>
                <w:lang w:val="en-US" w:eastAsia="zh-CN"/>
              </w:rPr>
              <w:t>，45.811839</w:t>
            </w:r>
          </w:p>
        </w:tc>
        <w:tc>
          <w:tcPr>
            <w:tcW w:w="171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拟建肇深19-平3井西北0.421km</w:t>
            </w:r>
          </w:p>
        </w:tc>
        <w:tc>
          <w:tcPr>
            <w:tcW w:w="116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w:t>
            </w:r>
          </w:p>
        </w:tc>
        <w:tc>
          <w:tcPr>
            <w:tcW w:w="1527" w:type="dxa"/>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承压水，上游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D3</w:t>
            </w:r>
          </w:p>
        </w:tc>
        <w:tc>
          <w:tcPr>
            <w:tcW w:w="117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三门董家水井</w:t>
            </w:r>
          </w:p>
        </w:tc>
        <w:tc>
          <w:tcPr>
            <w:tcW w:w="210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g125.275417，45.80587</w:t>
            </w:r>
            <w:r>
              <w:rPr>
                <w:rFonts w:hint="eastAsia" w:ascii="Times New Roman" w:hAnsi="Times New Roman" w:cs="Times New Roman"/>
                <w:color w:val="auto"/>
                <w:sz w:val="24"/>
                <w:szCs w:val="24"/>
                <w:highlight w:val="none"/>
                <w:vertAlign w:val="baseline"/>
                <w:lang w:val="en-US" w:eastAsia="zh-CN"/>
              </w:rPr>
              <w:t>2</w:t>
            </w:r>
          </w:p>
        </w:tc>
        <w:tc>
          <w:tcPr>
            <w:tcW w:w="171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拟建肇深19-平2井西北0.610km</w:t>
            </w:r>
          </w:p>
        </w:tc>
        <w:tc>
          <w:tcPr>
            <w:tcW w:w="116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w:t>
            </w:r>
          </w:p>
        </w:tc>
        <w:tc>
          <w:tcPr>
            <w:tcW w:w="1527" w:type="dxa"/>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潜水，下游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Borders>
              <w:top w:val="single" w:color="auto" w:sz="6" w:space="0"/>
              <w:left w:val="nil"/>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D4</w:t>
            </w:r>
          </w:p>
        </w:tc>
        <w:tc>
          <w:tcPr>
            <w:tcW w:w="1178"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平等村水井</w:t>
            </w:r>
          </w:p>
        </w:tc>
        <w:tc>
          <w:tcPr>
            <w:tcW w:w="2102"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g125.291883，45.785324</w:t>
            </w:r>
          </w:p>
        </w:tc>
        <w:tc>
          <w:tcPr>
            <w:tcW w:w="1711"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拟建肇深19-斜1井南1.349km</w:t>
            </w:r>
          </w:p>
        </w:tc>
        <w:tc>
          <w:tcPr>
            <w:tcW w:w="1164" w:type="dxa"/>
            <w:tcBorders>
              <w:top w:val="single" w:color="auto" w:sz="6" w:space="0"/>
              <w:left w:val="single" w:color="auto" w:sz="6" w:space="0"/>
              <w:bottom w:val="single" w:color="auto" w:sz="12" w:space="0"/>
              <w:right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w:t>
            </w:r>
          </w:p>
        </w:tc>
        <w:tc>
          <w:tcPr>
            <w:tcW w:w="1527" w:type="dxa"/>
            <w:tcBorders>
              <w:top w:val="single" w:color="auto" w:sz="6" w:space="0"/>
              <w:left w:val="single" w:color="auto" w:sz="6" w:space="0"/>
              <w:bottom w:val="single" w:color="auto" w:sz="12"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潜水，下游</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4.3-</w:t>
      </w:r>
      <w:r>
        <w:rPr>
          <w:rFonts w:hint="eastAsia" w:ascii="Times New Roman" w:hAnsi="Times New Roman" w:eastAsia="宋体" w:cs="Times New Roman"/>
          <w:b/>
          <w:bCs/>
          <w:color w:val="auto"/>
          <w:kern w:val="0"/>
          <w:sz w:val="24"/>
          <w:szCs w:val="24"/>
          <w:highlight w:val="none"/>
          <w:lang w:val="en-US" w:eastAsia="zh-CN" w:bidi="ar"/>
        </w:rPr>
        <w:t>5地下水水位监测点位和监测结果</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4"/>
        <w:gridCol w:w="1445"/>
        <w:gridCol w:w="3168"/>
        <w:gridCol w:w="1596"/>
        <w:gridCol w:w="15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监测点</w:t>
            </w:r>
          </w:p>
        </w:tc>
        <w:tc>
          <w:tcPr>
            <w:tcW w:w="31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坐标（°）</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水位（</w:t>
            </w:r>
            <w:r>
              <w:rPr>
                <w:rFonts w:hint="default"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baseline"/>
                <w:lang w:val="en-US" w:eastAsia="zh-CN"/>
              </w:rPr>
              <w:t>）</w:t>
            </w:r>
          </w:p>
        </w:tc>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天主堂屯水井</w:t>
            </w:r>
          </w:p>
        </w:tc>
        <w:tc>
          <w:tcPr>
            <w:tcW w:w="31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g125.277210，45.827168</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5.2</w:t>
            </w:r>
          </w:p>
        </w:tc>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李家窝棚水井</w:t>
            </w:r>
          </w:p>
        </w:tc>
        <w:tc>
          <w:tcPr>
            <w:tcW w:w="31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w:t>
            </w:r>
            <w:r>
              <w:rPr>
                <w:rFonts w:hint="default" w:ascii="Times New Roman" w:hAnsi="Times New Roman" w:cs="Times New Roman"/>
                <w:color w:val="auto"/>
                <w:sz w:val="24"/>
                <w:szCs w:val="24"/>
                <w:highlight w:val="none"/>
                <w:vertAlign w:val="baseline"/>
                <w:lang w:val="en-US" w:eastAsia="zh-CN"/>
              </w:rPr>
              <w:t>125.281343</w:t>
            </w:r>
            <w:r>
              <w:rPr>
                <w:rFonts w:hint="eastAsia" w:ascii="Times New Roman" w:hAnsi="Times New Roman" w:cs="Times New Roman"/>
                <w:color w:val="auto"/>
                <w:sz w:val="24"/>
                <w:szCs w:val="24"/>
                <w:highlight w:val="none"/>
                <w:vertAlign w:val="baseline"/>
                <w:lang w:val="en-US" w:eastAsia="zh-CN"/>
              </w:rPr>
              <w:t>，45.811839</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3.5</w:t>
            </w:r>
          </w:p>
        </w:tc>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承压水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三门董家水井</w:t>
            </w:r>
          </w:p>
        </w:tc>
        <w:tc>
          <w:tcPr>
            <w:tcW w:w="31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g125.275417，45.80587</w:t>
            </w:r>
            <w:r>
              <w:rPr>
                <w:rFonts w:hint="eastAsia" w:ascii="Times New Roman" w:hAnsi="Times New Roman" w:cs="Times New Roman"/>
                <w:color w:val="auto"/>
                <w:sz w:val="24"/>
                <w:szCs w:val="24"/>
                <w:highlight w:val="none"/>
                <w:vertAlign w:val="baseline"/>
                <w:lang w:val="en-US" w:eastAsia="zh-CN"/>
              </w:rPr>
              <w:t>2</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5.6</w:t>
            </w:r>
          </w:p>
        </w:tc>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平等村水井</w:t>
            </w:r>
          </w:p>
        </w:tc>
        <w:tc>
          <w:tcPr>
            <w:tcW w:w="31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g125.291883，45.785324</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6.1</w:t>
            </w:r>
          </w:p>
        </w:tc>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范家窝棚水井</w:t>
            </w:r>
          </w:p>
        </w:tc>
        <w:tc>
          <w:tcPr>
            <w:tcW w:w="31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g125.295713，45.804672</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4.9</w:t>
            </w:r>
          </w:p>
        </w:tc>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三家子屯水井</w:t>
            </w:r>
          </w:p>
        </w:tc>
        <w:tc>
          <w:tcPr>
            <w:tcW w:w="31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g125.290291，45.780972</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5.1</w:t>
            </w:r>
          </w:p>
        </w:tc>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姜泡屯水井</w:t>
            </w:r>
          </w:p>
        </w:tc>
        <w:tc>
          <w:tcPr>
            <w:tcW w:w="31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g125.313299，45.799890</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p>
        </w:tc>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14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邢君屯水井</w:t>
            </w:r>
          </w:p>
        </w:tc>
        <w:tc>
          <w:tcPr>
            <w:tcW w:w="31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g125.236158，45.803734</w:t>
            </w:r>
          </w:p>
        </w:tc>
        <w:tc>
          <w:tcPr>
            <w:tcW w:w="15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4.6</w:t>
            </w:r>
          </w:p>
        </w:tc>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承压水</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）监测因子</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监测因子：K</w:t>
      </w:r>
      <w:r>
        <w:rPr>
          <w:rFonts w:hint="default" w:ascii="Times New Roman" w:hAnsi="Times New Roman" w:eastAsia="宋体" w:cs="Times New Roman"/>
          <w:color w:val="auto"/>
          <w:kern w:val="0"/>
          <w:sz w:val="28"/>
          <w:szCs w:val="28"/>
          <w:highlight w:val="none"/>
          <w:vertAlign w:val="superscript"/>
          <w:lang w:val="en-US" w:eastAsia="zh-CN" w:bidi="ar"/>
        </w:rPr>
        <w:t>+</w:t>
      </w:r>
      <w:r>
        <w:rPr>
          <w:rFonts w:hint="default" w:ascii="Times New Roman" w:hAnsi="Times New Roman" w:eastAsia="宋体" w:cs="Times New Roman"/>
          <w:color w:val="auto"/>
          <w:kern w:val="0"/>
          <w:sz w:val="28"/>
          <w:szCs w:val="28"/>
          <w:highlight w:val="none"/>
          <w:lang w:val="en-US" w:eastAsia="zh-CN" w:bidi="ar"/>
        </w:rPr>
        <w:t>、Na</w:t>
      </w:r>
      <w:r>
        <w:rPr>
          <w:rFonts w:hint="default" w:ascii="Times New Roman" w:hAnsi="Times New Roman" w:eastAsia="宋体" w:cs="Times New Roman"/>
          <w:color w:val="auto"/>
          <w:kern w:val="0"/>
          <w:sz w:val="28"/>
          <w:szCs w:val="28"/>
          <w:highlight w:val="none"/>
          <w:vertAlign w:val="superscript"/>
          <w:lang w:val="en-US" w:eastAsia="zh-CN" w:bidi="ar"/>
        </w:rPr>
        <w:t>+</w:t>
      </w:r>
      <w:r>
        <w:rPr>
          <w:rFonts w:hint="default" w:ascii="Times New Roman" w:hAnsi="Times New Roman" w:eastAsia="宋体" w:cs="Times New Roman"/>
          <w:color w:val="auto"/>
          <w:kern w:val="0"/>
          <w:sz w:val="28"/>
          <w:szCs w:val="28"/>
          <w:highlight w:val="none"/>
          <w:lang w:val="en-US" w:eastAsia="zh-CN" w:bidi="ar"/>
        </w:rPr>
        <w:t>、Ca</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、Mg</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、CO</w:t>
      </w:r>
      <w:r>
        <w:rPr>
          <w:rFonts w:hint="default" w:ascii="Times New Roman" w:hAnsi="Times New Roman" w:eastAsia="宋体" w:cs="Times New Roman"/>
          <w:color w:val="auto"/>
          <w:kern w:val="0"/>
          <w:sz w:val="28"/>
          <w:szCs w:val="28"/>
          <w:highlight w:val="none"/>
          <w:vertAlign w:val="subscript"/>
          <w:lang w:val="en-US" w:eastAsia="zh-CN" w:bidi="ar"/>
        </w:rPr>
        <w:t>3</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、HCO</w:t>
      </w:r>
      <w:r>
        <w:rPr>
          <w:rFonts w:hint="default" w:ascii="Times New Roman" w:hAnsi="Times New Roman" w:eastAsia="宋体" w:cs="Times New Roman"/>
          <w:color w:val="auto"/>
          <w:kern w:val="0"/>
          <w:sz w:val="28"/>
          <w:szCs w:val="28"/>
          <w:highlight w:val="none"/>
          <w:vertAlign w:val="subscript"/>
          <w:lang w:val="en-US" w:eastAsia="zh-CN" w:bidi="ar"/>
        </w:rPr>
        <w:t>3</w:t>
      </w:r>
      <w:r>
        <w:rPr>
          <w:rFonts w:hint="default" w:ascii="Times New Roman" w:hAnsi="Times New Roman" w:eastAsia="宋体" w:cs="Times New Roman"/>
          <w:color w:val="auto"/>
          <w:kern w:val="0"/>
          <w:sz w:val="28"/>
          <w:szCs w:val="28"/>
          <w:highlight w:val="none"/>
          <w:vertAlign w:val="superscript"/>
          <w:lang w:val="en-US" w:eastAsia="zh-CN" w:bidi="ar"/>
        </w:rPr>
        <w:t>-</w:t>
      </w:r>
      <w:r>
        <w:rPr>
          <w:rFonts w:hint="default" w:ascii="Times New Roman" w:hAnsi="Times New Roman" w:eastAsia="宋体" w:cs="Times New Roman"/>
          <w:color w:val="auto"/>
          <w:kern w:val="0"/>
          <w:sz w:val="28"/>
          <w:szCs w:val="28"/>
          <w:highlight w:val="none"/>
          <w:lang w:val="en-US" w:eastAsia="zh-CN" w:bidi="ar"/>
        </w:rPr>
        <w:t>、Cl</w:t>
      </w:r>
      <w:r>
        <w:rPr>
          <w:rFonts w:hint="default" w:ascii="Times New Roman" w:hAnsi="Times New Roman" w:eastAsia="宋体" w:cs="Times New Roman"/>
          <w:color w:val="auto"/>
          <w:kern w:val="0"/>
          <w:sz w:val="28"/>
          <w:szCs w:val="28"/>
          <w:highlight w:val="none"/>
          <w:vertAlign w:val="superscript"/>
          <w:lang w:val="en-US" w:eastAsia="zh-CN" w:bidi="ar"/>
        </w:rPr>
        <w:t>-</w:t>
      </w:r>
      <w:r>
        <w:rPr>
          <w:rFonts w:hint="default" w:ascii="Times New Roman" w:hAnsi="Times New Roman" w:eastAsia="宋体" w:cs="Times New Roman"/>
          <w:color w:val="auto"/>
          <w:kern w:val="0"/>
          <w:sz w:val="28"/>
          <w:szCs w:val="28"/>
          <w:highlight w:val="none"/>
          <w:lang w:val="en-US" w:eastAsia="zh-CN" w:bidi="ar"/>
        </w:rPr>
        <w:t>、SO</w:t>
      </w:r>
      <w:r>
        <w:rPr>
          <w:rFonts w:hint="default" w:ascii="Times New Roman" w:hAnsi="Times New Roman" w:eastAsia="宋体" w:cs="Times New Roman"/>
          <w:color w:val="auto"/>
          <w:kern w:val="0"/>
          <w:sz w:val="28"/>
          <w:szCs w:val="28"/>
          <w:highlight w:val="none"/>
          <w:vertAlign w:val="subscript"/>
          <w:lang w:val="en-US" w:eastAsia="zh-CN" w:bidi="ar"/>
        </w:rPr>
        <w:t>4</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、pH值、氨氮、硝酸盐、亚硝酸盐、挥发性酚类、氟化物、氰化物、砷、汞、六价铬、总硬度、铅、镉、铁、锰、溶解性总固体、</w:t>
      </w:r>
      <w:r>
        <w:rPr>
          <w:rFonts w:hint="eastAsia" w:ascii="Times New Roman" w:hAnsi="Times New Roman" w:eastAsia="宋体" w:cs="Times New Roman"/>
          <w:color w:val="auto"/>
          <w:kern w:val="0"/>
          <w:sz w:val="28"/>
          <w:szCs w:val="28"/>
          <w:highlight w:val="none"/>
          <w:lang w:val="en-US" w:eastAsia="zh-CN" w:bidi="ar"/>
        </w:rPr>
        <w:t>高锰酸盐指数、硫酸盐、氯化物、</w:t>
      </w:r>
      <w:r>
        <w:rPr>
          <w:rFonts w:hint="default" w:ascii="Times New Roman" w:hAnsi="Times New Roman" w:eastAsia="宋体" w:cs="Times New Roman"/>
          <w:color w:val="auto"/>
          <w:kern w:val="0"/>
          <w:sz w:val="28"/>
          <w:szCs w:val="28"/>
          <w:highlight w:val="none"/>
          <w:lang w:val="en-US" w:eastAsia="zh-CN" w:bidi="ar"/>
        </w:rPr>
        <w:t>总大肠菌群、</w:t>
      </w:r>
      <w:r>
        <w:rPr>
          <w:rFonts w:hint="eastAsia" w:ascii="Times New Roman" w:hAnsi="Times New Roman" w:eastAsia="宋体" w:cs="Times New Roman"/>
          <w:color w:val="auto"/>
          <w:kern w:val="0"/>
          <w:sz w:val="28"/>
          <w:szCs w:val="28"/>
          <w:highlight w:val="none"/>
          <w:lang w:val="en-US" w:eastAsia="zh-CN" w:bidi="ar"/>
        </w:rPr>
        <w:t>菌落总数、</w:t>
      </w:r>
      <w:r>
        <w:rPr>
          <w:rFonts w:hint="default" w:ascii="Times New Roman" w:hAnsi="Times New Roman" w:eastAsia="宋体" w:cs="Times New Roman"/>
          <w:color w:val="auto"/>
          <w:kern w:val="0"/>
          <w:sz w:val="28"/>
          <w:szCs w:val="28"/>
          <w:highlight w:val="none"/>
          <w:lang w:val="en-US" w:eastAsia="zh-CN" w:bidi="ar"/>
        </w:rPr>
        <w:t>石油类</w:t>
      </w:r>
      <w:r>
        <w:rPr>
          <w:rFonts w:hint="eastAsia" w:ascii="Times New Roman" w:hAnsi="Times New Roman" w:eastAsia="宋体" w:cs="Times New Roman"/>
          <w:color w:val="auto"/>
          <w:kern w:val="0"/>
          <w:sz w:val="28"/>
          <w:szCs w:val="28"/>
          <w:highlight w:val="none"/>
          <w:lang w:val="en-US" w:eastAsia="zh-CN" w:bidi="ar"/>
        </w:rPr>
        <w:t>、硫化物。</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）监测时间和频率</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2022</w:t>
      </w:r>
      <w:r>
        <w:rPr>
          <w:rFonts w:hint="eastAsia" w:ascii="Times New Roman" w:hAnsi="Times New Roman" w:eastAsia="宋体" w:cs="Times New Roman"/>
          <w:color w:val="auto"/>
          <w:kern w:val="0"/>
          <w:sz w:val="28"/>
          <w:szCs w:val="28"/>
          <w:highlight w:val="none"/>
          <w:lang w:val="en-US" w:eastAsia="zh-CN" w:bidi="ar"/>
        </w:rPr>
        <w:t>年5月20日进行监测，每天1次。</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）监测结果</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监测结果见表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6。</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6地下水现状监测统计结果</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89"/>
        <w:gridCol w:w="1365"/>
        <w:gridCol w:w="1173"/>
        <w:gridCol w:w="1112"/>
        <w:gridCol w:w="1208"/>
        <w:gridCol w:w="1023"/>
        <w:gridCol w:w="1023"/>
        <w:gridCol w:w="102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监测项目</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单位</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标准值</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D1天主堂屯水井</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D2李珍窝棚水井</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D3三门董家水井</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D4平等村水井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K</w:t>
            </w:r>
            <w:r>
              <w:rPr>
                <w:rFonts w:hint="default" w:ascii="Times New Roman" w:hAnsi="Times New Roman" w:cs="Times New Roman"/>
                <w:color w:val="auto"/>
                <w:sz w:val="24"/>
                <w:szCs w:val="24"/>
                <w:highlight w:val="none"/>
                <w:vertAlign w:val="superscript"/>
                <w:lang w:val="zh-CN" w:eastAsia="zh-CN"/>
              </w:rPr>
              <w:t>+</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2.05</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1.83</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2.31</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Na</w:t>
            </w:r>
            <w:r>
              <w:rPr>
                <w:rFonts w:hint="default" w:ascii="Times New Roman" w:hAnsi="Times New Roman" w:cs="Times New Roman"/>
                <w:color w:val="auto"/>
                <w:sz w:val="24"/>
                <w:szCs w:val="24"/>
                <w:highlight w:val="none"/>
                <w:vertAlign w:val="superscript"/>
                <w:lang w:val="zh-CN" w:eastAsia="zh-CN"/>
              </w:rPr>
              <w:t>+</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101</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74.1</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93.2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Ca</w:t>
            </w:r>
            <w:r>
              <w:rPr>
                <w:rFonts w:hint="default" w:ascii="Times New Roman" w:hAnsi="Times New Roman" w:cs="Times New Roman"/>
                <w:color w:val="auto"/>
                <w:sz w:val="24"/>
                <w:szCs w:val="24"/>
                <w:highlight w:val="none"/>
                <w:vertAlign w:val="superscript"/>
                <w:lang w:val="zh-CN" w:eastAsia="zh-CN"/>
              </w:rPr>
              <w:t>2+</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32.4</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23.7</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32.1</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Mg</w:t>
            </w:r>
            <w:r>
              <w:rPr>
                <w:rFonts w:hint="default" w:ascii="Times New Roman" w:hAnsi="Times New Roman" w:cs="Times New Roman"/>
                <w:color w:val="auto"/>
                <w:sz w:val="24"/>
                <w:szCs w:val="24"/>
                <w:highlight w:val="none"/>
                <w:vertAlign w:val="superscript"/>
                <w:lang w:val="zh-CN" w:eastAsia="zh-CN"/>
              </w:rPr>
              <w:t>2+</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13.9</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33.0</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2-</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HCO</w:t>
            </w:r>
            <w:r>
              <w:rPr>
                <w:rFonts w:hint="default" w:ascii="Times New Roman" w:hAnsi="Times New Roman" w:cs="Times New Roman"/>
                <w:color w:val="auto"/>
                <w:sz w:val="24"/>
                <w:szCs w:val="24"/>
                <w:highlight w:val="none"/>
                <w:vertAlign w:val="subscript"/>
                <w:lang w:val="zh-CN" w:eastAsia="zh-CN"/>
              </w:rPr>
              <w:t>3</w:t>
            </w:r>
            <w:r>
              <w:rPr>
                <w:rFonts w:hint="default" w:ascii="Times New Roman" w:hAnsi="Times New Roman" w:cs="Times New Roman"/>
                <w:color w:val="auto"/>
                <w:sz w:val="24"/>
                <w:szCs w:val="24"/>
                <w:highlight w:val="none"/>
                <w:vertAlign w:val="superscript"/>
                <w:lang w:val="zh-CN" w:eastAsia="zh-CN"/>
              </w:rPr>
              <w:t>-</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274</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273</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382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Cl</w:t>
            </w:r>
            <w:r>
              <w:rPr>
                <w:rFonts w:hint="default" w:ascii="Times New Roman" w:hAnsi="Times New Roman" w:cs="Times New Roman"/>
                <w:color w:val="auto"/>
                <w:sz w:val="24"/>
                <w:szCs w:val="24"/>
                <w:highlight w:val="none"/>
                <w:vertAlign w:val="superscript"/>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zh-CN" w:eastAsia="zh-CN"/>
              </w:rPr>
              <w:t>氯化物</w:t>
            </w:r>
            <w:r>
              <w:rPr>
                <w:rFonts w:hint="eastAsia" w:ascii="Times New Roman" w:hAnsi="Times New Roman" w:cs="Times New Roman"/>
                <w:color w:val="auto"/>
                <w:sz w:val="24"/>
                <w:szCs w:val="24"/>
                <w:highlight w:val="none"/>
                <w:vertAlign w:val="baseline"/>
                <w:lang w:val="en-US" w:eastAsia="zh-CN"/>
              </w:rPr>
              <w:t>）</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46.9</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31.5</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37.3</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zh-CN" w:eastAsia="zh-CN"/>
              </w:rPr>
              <w:t>硫酸盐</w:t>
            </w:r>
            <w:r>
              <w:rPr>
                <w:rFonts w:hint="eastAsia" w:ascii="Times New Roman" w:hAnsi="Times New Roman" w:cs="Times New Roman"/>
                <w:color w:val="auto"/>
                <w:sz w:val="24"/>
                <w:szCs w:val="24"/>
                <w:highlight w:val="none"/>
                <w:vertAlign w:val="baseline"/>
                <w:lang w:val="en-US" w:eastAsia="zh-CN"/>
              </w:rPr>
              <w:t>）</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51.4</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33.9</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38.3</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pH</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无量纲</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6-9</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7.45</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7.51</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7.64</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总硬度</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171</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220</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氨氮</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≤0.50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0.184</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0.324</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0.407</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氰化物</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w:t>
            </w: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w:t>
            </w: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w:t>
            </w: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w:t>
            </w: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挥发酚</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≤0.002</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0.0003L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0.0003L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0.0003L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0.0003L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耗氧量</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1.60</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2.41</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2.24</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氟化物</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0.392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0.271</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0.392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18</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砷</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≤0.01</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汞</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≤0.001</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0.04L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0.04L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0.04L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0.04L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镉</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≤0.005</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21</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铅</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≤0.01</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w:t>
            </w:r>
            <w:r>
              <w:rPr>
                <w:rFonts w:hint="default" w:ascii="Times New Roman" w:hAnsi="Times New Roman" w:cs="Times New Roman"/>
                <w:color w:val="auto"/>
                <w:sz w:val="24"/>
                <w:szCs w:val="24"/>
                <w:highlight w:val="none"/>
                <w:vertAlign w:val="baseline"/>
                <w:lang w:val="en-US" w:eastAsia="zh-CN"/>
              </w:rPr>
              <w:t>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w:t>
            </w:r>
            <w:r>
              <w:rPr>
                <w:rFonts w:hint="default" w:ascii="Times New Roman" w:hAnsi="Times New Roman" w:cs="Times New Roman"/>
                <w:color w:val="auto"/>
                <w:sz w:val="24"/>
                <w:szCs w:val="24"/>
                <w:highlight w:val="none"/>
                <w:vertAlign w:val="baseline"/>
                <w:lang w:val="en-US" w:eastAsia="zh-CN"/>
              </w:rPr>
              <w:t>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w:t>
            </w:r>
            <w:r>
              <w:rPr>
                <w:rFonts w:hint="default" w:ascii="Times New Roman" w:hAnsi="Times New Roman" w:cs="Times New Roman"/>
                <w:color w:val="auto"/>
                <w:sz w:val="24"/>
                <w:szCs w:val="24"/>
                <w:highlight w:val="none"/>
                <w:vertAlign w:val="baseline"/>
                <w:lang w:val="en-US" w:eastAsia="zh-CN"/>
              </w:rPr>
              <w:t>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w:t>
            </w:r>
            <w:r>
              <w:rPr>
                <w:rFonts w:hint="default" w:ascii="Times New Roman" w:hAnsi="Times New Roman" w:cs="Times New Roman"/>
                <w:color w:val="auto"/>
                <w:sz w:val="24"/>
                <w:szCs w:val="24"/>
                <w:highlight w:val="none"/>
                <w:vertAlign w:val="baseline"/>
                <w:lang w:val="en-US" w:eastAsia="zh-CN"/>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六价铬</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0.005</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0.004L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w:t>
            </w:r>
            <w:r>
              <w:rPr>
                <w:rFonts w:hint="eastAsia" w:ascii="Times New Roman" w:hAnsi="Times New Roman" w:cs="Times New Roman"/>
                <w:color w:val="auto"/>
                <w:sz w:val="24"/>
                <w:szCs w:val="24"/>
                <w:highlight w:val="none"/>
                <w:vertAlign w:val="baseline"/>
                <w:lang w:val="en-US" w:eastAsia="zh-CN"/>
              </w:rPr>
              <w:t>4</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0.004L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23</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铁</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0.15</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0.10</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0.03L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24</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锰</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w:t>
            </w:r>
            <w:r>
              <w:rPr>
                <w:rFonts w:hint="eastAsia" w:ascii="Times New Roman" w:hAnsi="Times New Roman" w:cs="Times New Roman"/>
                <w:color w:val="auto"/>
                <w:sz w:val="24"/>
                <w:szCs w:val="24"/>
                <w:highlight w:val="none"/>
                <w:vertAlign w:val="baseline"/>
                <w:lang w:val="en-US" w:eastAsia="zh-CN"/>
              </w:rPr>
              <w:t>6</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0.08</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0.09</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硝酸盐</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0.05L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0.152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0.192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0.214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26</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亚硝酸盐</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0.016L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0.016L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0.016L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0.016L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溶解性总固体</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≤1000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326</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343</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453</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28</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总大肠菌群</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MPN/100mL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&lt;</w:t>
            </w:r>
            <w:r>
              <w:rPr>
                <w:rFonts w:hint="eastAsia" w:ascii="Times New Roman" w:hAnsi="Times New Roman" w:cs="Times New Roman"/>
                <w:color w:val="auto"/>
                <w:sz w:val="24"/>
                <w:szCs w:val="24"/>
                <w:highlight w:val="none"/>
                <w:vertAlign w:val="baseline"/>
                <w:lang w:val="en-US" w:eastAsia="zh-CN"/>
              </w:rPr>
              <w:t>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&lt;</w:t>
            </w:r>
            <w:r>
              <w:rPr>
                <w:rFonts w:hint="eastAsia" w:ascii="Times New Roman" w:hAnsi="Times New Roman" w:cs="Times New Roman"/>
                <w:color w:val="auto"/>
                <w:sz w:val="24"/>
                <w:szCs w:val="24"/>
                <w:highlight w:val="none"/>
                <w:vertAlign w:val="baseline"/>
                <w:lang w:val="en-US" w:eastAsia="zh-CN"/>
              </w:rPr>
              <w:t>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&lt;</w:t>
            </w:r>
            <w:r>
              <w:rPr>
                <w:rFonts w:hint="eastAsia" w:ascii="Times New Roman" w:hAnsi="Times New Roman" w:cs="Times New Roman"/>
                <w:color w:val="auto"/>
                <w:sz w:val="24"/>
                <w:szCs w:val="24"/>
                <w:highlight w:val="none"/>
                <w:vertAlign w:val="baseline"/>
                <w:lang w:val="en-US" w:eastAsia="zh-CN"/>
              </w:rPr>
              <w:t>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&lt;</w:t>
            </w:r>
            <w:r>
              <w:rPr>
                <w:rFonts w:hint="eastAsia" w:ascii="Times New Roman" w:hAnsi="Times New Roman" w:cs="Times New Roman"/>
                <w:color w:val="auto"/>
                <w:sz w:val="24"/>
                <w:szCs w:val="24"/>
                <w:highlight w:val="non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29</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菌落</w:t>
            </w:r>
            <w:r>
              <w:rPr>
                <w:rFonts w:hint="default" w:ascii="Times New Roman" w:hAnsi="Times New Roman" w:cs="Times New Roman"/>
                <w:color w:val="auto"/>
                <w:sz w:val="24"/>
                <w:szCs w:val="24"/>
                <w:highlight w:val="none"/>
                <w:vertAlign w:val="baseline"/>
                <w:lang w:val="en-US" w:eastAsia="zh-CN"/>
              </w:rPr>
              <w:t>总数</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CFU/mL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≤100</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0.01L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0.01L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0.01L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0.01L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31</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硫化物</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≤0.02</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0.005L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0.005L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0.005L</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0.005L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井深</w:t>
            </w:r>
          </w:p>
        </w:tc>
        <w:tc>
          <w:tcPr>
            <w:tcW w:w="1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m</w:t>
            </w:r>
          </w:p>
        </w:tc>
        <w:tc>
          <w:tcPr>
            <w:tcW w:w="11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38</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w:t>
            </w:r>
          </w:p>
        </w:tc>
        <w:tc>
          <w:tcPr>
            <w:tcW w:w="10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（2）地下水环境现状评价</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）评价方法</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以单因子污染指数法对地下水现状进行评价。单项污染指数的数学模式如下：</w:t>
      </w:r>
    </w:p>
    <w:p>
      <w:pPr>
        <w:pStyle w:val="17"/>
        <w:ind w:left="0" w:leftChars="0" w:firstLine="0" w:firstLineChars="0"/>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drawing>
          <wp:inline distT="0" distB="0" distL="114300" distR="114300">
            <wp:extent cx="1352550" cy="1066800"/>
            <wp:effectExtent l="0" t="0" r="0" b="0"/>
            <wp:docPr id="23" name="图片 32" descr="公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descr="公示5"/>
                    <pic:cNvPicPr>
                      <a:picLocks noChangeAspect="1"/>
                    </pic:cNvPicPr>
                  </pic:nvPicPr>
                  <pic:blipFill>
                    <a:blip r:embed="rId20"/>
                    <a:stretch>
                      <a:fillRect/>
                    </a:stretch>
                  </pic:blipFill>
                  <pic:spPr>
                    <a:xfrm>
                      <a:off x="0" y="0"/>
                      <a:ext cx="1352550" cy="1066800"/>
                    </a:xfrm>
                    <a:prstGeom prst="rect">
                      <a:avLst/>
                    </a:prstGeom>
                    <a:noFill/>
                    <a:ln>
                      <a:noFill/>
                    </a:ln>
                  </pic:spPr>
                </pic:pic>
              </a:graphicData>
            </a:graphic>
          </wp:inline>
        </w:drawing>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式中：P</w:t>
      </w:r>
      <w:r>
        <w:rPr>
          <w:rFonts w:hint="eastAsia" w:ascii="Times New Roman" w:hAnsi="Times New Roman" w:eastAsia="宋体" w:cs="Times New Roman"/>
          <w:color w:val="auto"/>
          <w:kern w:val="0"/>
          <w:sz w:val="28"/>
          <w:szCs w:val="28"/>
          <w:highlight w:val="none"/>
          <w:vertAlign w:val="subscript"/>
          <w:lang w:val="en-US" w:eastAsia="zh-CN" w:bidi="ar"/>
        </w:rPr>
        <w:t>i</w:t>
      </w:r>
      <w:r>
        <w:rPr>
          <w:rFonts w:hint="eastAsia" w:ascii="Times New Roman" w:hAnsi="Times New Roman" w:eastAsia="宋体" w:cs="Times New Roman"/>
          <w:color w:val="auto"/>
          <w:kern w:val="0"/>
          <w:sz w:val="28"/>
          <w:szCs w:val="28"/>
          <w:highlight w:val="none"/>
          <w:lang w:val="en-US" w:eastAsia="zh-CN" w:bidi="ar"/>
        </w:rPr>
        <w:t>-第i个水质因子的标准指数，量纲为1；</w:t>
      </w:r>
    </w:p>
    <w:p>
      <w:pPr>
        <w:keepNext w:val="0"/>
        <w:keepLines w:val="0"/>
        <w:widowControl/>
        <w:suppressLineNumbers w:val="0"/>
        <w:spacing w:line="360" w:lineRule="auto"/>
        <w:ind w:firstLine="1400" w:firstLineChars="5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C</w:t>
      </w:r>
      <w:r>
        <w:rPr>
          <w:rFonts w:hint="eastAsia" w:ascii="Times New Roman" w:hAnsi="Times New Roman" w:eastAsia="宋体" w:cs="Times New Roman"/>
          <w:color w:val="auto"/>
          <w:kern w:val="0"/>
          <w:sz w:val="28"/>
          <w:szCs w:val="28"/>
          <w:highlight w:val="none"/>
          <w:vertAlign w:val="subscript"/>
          <w:lang w:val="en-US" w:eastAsia="zh-CN" w:bidi="ar"/>
        </w:rPr>
        <w:t>i</w:t>
      </w:r>
      <w:r>
        <w:rPr>
          <w:rFonts w:hint="eastAsia" w:ascii="Times New Roman" w:hAnsi="Times New Roman" w:eastAsia="宋体" w:cs="Times New Roman"/>
          <w:color w:val="auto"/>
          <w:kern w:val="0"/>
          <w:sz w:val="28"/>
          <w:szCs w:val="28"/>
          <w:highlight w:val="none"/>
          <w:lang w:val="en-US" w:eastAsia="zh-CN" w:bidi="ar"/>
        </w:rPr>
        <w:t>-第i个水质因子的监测浓度值，mg/L；</w:t>
      </w:r>
    </w:p>
    <w:p>
      <w:pPr>
        <w:keepNext w:val="0"/>
        <w:keepLines w:val="0"/>
        <w:widowControl/>
        <w:suppressLineNumbers w:val="0"/>
        <w:spacing w:line="360" w:lineRule="auto"/>
        <w:ind w:firstLine="1400" w:firstLineChars="5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C</w:t>
      </w:r>
      <w:r>
        <w:rPr>
          <w:rFonts w:hint="eastAsia" w:ascii="Times New Roman" w:hAnsi="Times New Roman" w:eastAsia="宋体" w:cs="Times New Roman"/>
          <w:color w:val="auto"/>
          <w:kern w:val="0"/>
          <w:sz w:val="28"/>
          <w:szCs w:val="28"/>
          <w:highlight w:val="none"/>
          <w:vertAlign w:val="subscript"/>
          <w:lang w:val="en-US" w:eastAsia="zh-CN" w:bidi="ar"/>
        </w:rPr>
        <w:t>si</w:t>
      </w:r>
      <w:r>
        <w:rPr>
          <w:rFonts w:hint="eastAsia" w:ascii="Times New Roman" w:hAnsi="Times New Roman" w:eastAsia="宋体" w:cs="Times New Roman"/>
          <w:color w:val="auto"/>
          <w:kern w:val="0"/>
          <w:sz w:val="28"/>
          <w:szCs w:val="28"/>
          <w:highlight w:val="none"/>
          <w:lang w:val="en-US" w:eastAsia="zh-CN" w:bidi="ar"/>
        </w:rPr>
        <w:t>-第i个水质因子的标准浓度值，mg/L。</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pH的标准指数</w:t>
      </w:r>
      <w:r>
        <w:rPr>
          <w:rFonts w:hint="eastAsia" w:ascii="Times New Roman" w:hAnsi="Times New Roman" w:eastAsia="宋体" w:cs="Times New Roman"/>
          <w:color w:val="auto"/>
          <w:kern w:val="0"/>
          <w:sz w:val="28"/>
          <w:szCs w:val="28"/>
          <w:highlight w:val="none"/>
          <w:lang w:val="en-US" w:eastAsia="zh-CN" w:bidi="ar"/>
        </w:rPr>
        <w:t>计算公式</w:t>
      </w:r>
      <w:r>
        <w:rPr>
          <w:rFonts w:hint="default" w:ascii="Times New Roman" w:hAnsi="Times New Roman" w:eastAsia="宋体" w:cs="Times New Roman"/>
          <w:color w:val="auto"/>
          <w:kern w:val="0"/>
          <w:sz w:val="28"/>
          <w:szCs w:val="28"/>
          <w:highlight w:val="none"/>
          <w:lang w:val="en-US" w:eastAsia="zh-CN" w:bidi="ar"/>
        </w:rPr>
        <w:t>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drawing>
          <wp:inline distT="0" distB="0" distL="114300" distR="114300">
            <wp:extent cx="4381500" cy="2076450"/>
            <wp:effectExtent l="0" t="0" r="0" b="0"/>
            <wp:docPr id="24" name="图片 33" descr="公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descr="公示6"/>
                    <pic:cNvPicPr>
                      <a:picLocks noChangeAspect="1"/>
                    </pic:cNvPicPr>
                  </pic:nvPicPr>
                  <pic:blipFill>
                    <a:blip r:embed="rId21"/>
                    <a:stretch>
                      <a:fillRect/>
                    </a:stretch>
                  </pic:blipFill>
                  <pic:spPr>
                    <a:xfrm>
                      <a:off x="0" y="0"/>
                      <a:ext cx="4381500" cy="2076450"/>
                    </a:xfrm>
                    <a:prstGeom prst="rect">
                      <a:avLst/>
                    </a:prstGeom>
                    <a:noFill/>
                    <a:ln>
                      <a:noFill/>
                    </a:ln>
                  </pic:spPr>
                </pic:pic>
              </a:graphicData>
            </a:graphic>
          </wp:inline>
        </w:drawing>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式中：P</w:t>
      </w:r>
      <w:r>
        <w:rPr>
          <w:rFonts w:hint="eastAsia" w:ascii="Times New Roman" w:hAnsi="Times New Roman" w:eastAsia="宋体" w:cs="Times New Roman"/>
          <w:color w:val="auto"/>
          <w:kern w:val="0"/>
          <w:sz w:val="28"/>
          <w:szCs w:val="28"/>
          <w:highlight w:val="none"/>
          <w:vertAlign w:val="subscript"/>
          <w:lang w:val="en-US" w:eastAsia="zh-CN" w:bidi="ar"/>
        </w:rPr>
        <w:t>pH</w:t>
      </w:r>
      <w:r>
        <w:rPr>
          <w:rFonts w:hint="eastAsia" w:ascii="Times New Roman" w:hAnsi="Times New Roman" w:eastAsia="宋体" w:cs="Times New Roman"/>
          <w:color w:val="auto"/>
          <w:kern w:val="0"/>
          <w:sz w:val="28"/>
          <w:szCs w:val="28"/>
          <w:highlight w:val="none"/>
          <w:lang w:val="en-US" w:eastAsia="zh-CN" w:bidi="ar"/>
        </w:rPr>
        <w:t>—pH的标准指数，量纲为1；</w:t>
      </w:r>
    </w:p>
    <w:p>
      <w:pPr>
        <w:keepNext w:val="0"/>
        <w:keepLines w:val="0"/>
        <w:widowControl/>
        <w:suppressLineNumbers w:val="0"/>
        <w:spacing w:line="360" w:lineRule="auto"/>
        <w:ind w:firstLine="1400" w:firstLineChars="5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pH—pH的监测值；</w:t>
      </w:r>
    </w:p>
    <w:p>
      <w:pPr>
        <w:keepNext w:val="0"/>
        <w:keepLines w:val="0"/>
        <w:widowControl/>
        <w:suppressLineNumbers w:val="0"/>
        <w:spacing w:line="360" w:lineRule="auto"/>
        <w:ind w:firstLine="1400" w:firstLineChars="5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pH</w:t>
      </w:r>
      <w:r>
        <w:rPr>
          <w:rFonts w:hint="eastAsia" w:ascii="Times New Roman" w:hAnsi="Times New Roman" w:eastAsia="宋体" w:cs="Times New Roman"/>
          <w:color w:val="auto"/>
          <w:kern w:val="0"/>
          <w:sz w:val="28"/>
          <w:szCs w:val="28"/>
          <w:highlight w:val="none"/>
          <w:vertAlign w:val="subscript"/>
          <w:lang w:val="en-US" w:eastAsia="zh-CN" w:bidi="ar"/>
        </w:rPr>
        <w:t>su</w:t>
      </w:r>
      <w:r>
        <w:rPr>
          <w:rFonts w:hint="eastAsia" w:ascii="Times New Roman" w:hAnsi="Times New Roman" w:eastAsia="宋体" w:cs="Times New Roman"/>
          <w:color w:val="auto"/>
          <w:kern w:val="0"/>
          <w:sz w:val="28"/>
          <w:szCs w:val="28"/>
          <w:highlight w:val="none"/>
          <w:lang w:val="en-US" w:eastAsia="zh-CN" w:bidi="ar"/>
        </w:rPr>
        <w:t>—标准中pH的上限值；</w:t>
      </w:r>
    </w:p>
    <w:p>
      <w:pPr>
        <w:keepNext w:val="0"/>
        <w:keepLines w:val="0"/>
        <w:widowControl/>
        <w:suppressLineNumbers w:val="0"/>
        <w:spacing w:line="360" w:lineRule="auto"/>
        <w:ind w:firstLine="1400" w:firstLineChars="5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pH</w:t>
      </w:r>
      <w:r>
        <w:rPr>
          <w:rFonts w:hint="eastAsia" w:ascii="Times New Roman" w:hAnsi="Times New Roman" w:eastAsia="宋体" w:cs="Times New Roman"/>
          <w:color w:val="auto"/>
          <w:kern w:val="0"/>
          <w:sz w:val="28"/>
          <w:szCs w:val="28"/>
          <w:highlight w:val="none"/>
          <w:vertAlign w:val="subscript"/>
          <w:lang w:val="en-US" w:eastAsia="zh-CN" w:bidi="ar"/>
        </w:rPr>
        <w:t>sd</w:t>
      </w:r>
      <w:r>
        <w:rPr>
          <w:rFonts w:hint="eastAsia" w:ascii="Times New Roman" w:hAnsi="Times New Roman" w:eastAsia="宋体" w:cs="Times New Roman"/>
          <w:color w:val="auto"/>
          <w:kern w:val="0"/>
          <w:sz w:val="28"/>
          <w:szCs w:val="28"/>
          <w:highlight w:val="none"/>
          <w:lang w:val="en-US" w:eastAsia="zh-CN" w:bidi="ar"/>
        </w:rPr>
        <w:t>—标准中pH的下限值。</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）评价标准及评价因子</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石油类采用《地表水质量标准》（</w:t>
      </w:r>
      <w:r>
        <w:rPr>
          <w:rFonts w:hint="default" w:ascii="Times New Roman" w:hAnsi="Times New Roman" w:eastAsia="宋体" w:cs="Times New Roman"/>
          <w:color w:val="auto"/>
          <w:kern w:val="0"/>
          <w:sz w:val="28"/>
          <w:szCs w:val="28"/>
          <w:highlight w:val="none"/>
          <w:lang w:val="en-US" w:eastAsia="zh-CN" w:bidi="ar"/>
        </w:rPr>
        <w:t>GB</w:t>
      </w:r>
      <w:r>
        <w:rPr>
          <w:rFonts w:hint="eastAsia" w:ascii="Times New Roman" w:hAnsi="Times New Roman" w:eastAsia="宋体" w:cs="Times New Roman"/>
          <w:color w:val="auto"/>
          <w:kern w:val="0"/>
          <w:sz w:val="28"/>
          <w:szCs w:val="28"/>
          <w:highlight w:val="none"/>
          <w:lang w:val="en-US" w:eastAsia="zh-CN" w:bidi="ar"/>
        </w:rPr>
        <w:t>3838</w:t>
      </w:r>
      <w:r>
        <w:rPr>
          <w:rFonts w:hint="default" w:ascii="Times New Roman" w:hAnsi="Times New Roman" w:eastAsia="宋体" w:cs="Times New Roman"/>
          <w:color w:val="auto"/>
          <w:kern w:val="0"/>
          <w:sz w:val="28"/>
          <w:szCs w:val="28"/>
          <w:highlight w:val="none"/>
          <w:lang w:val="en-US" w:eastAsia="zh-CN" w:bidi="ar"/>
        </w:rPr>
        <w:t>-20</w:t>
      </w:r>
      <w:r>
        <w:rPr>
          <w:rFonts w:hint="eastAsia" w:ascii="Times New Roman" w:hAnsi="Times New Roman" w:eastAsia="宋体" w:cs="Times New Roman"/>
          <w:color w:val="auto"/>
          <w:kern w:val="0"/>
          <w:sz w:val="28"/>
          <w:szCs w:val="28"/>
          <w:highlight w:val="none"/>
          <w:lang w:val="en-US" w:eastAsia="zh-CN" w:bidi="ar"/>
        </w:rPr>
        <w:t>02）</w:t>
      </w:r>
      <w:r>
        <w:rPr>
          <w:rFonts w:hint="default" w:ascii="Times New Roman" w:hAnsi="Times New Roman" w:eastAsia="宋体" w:cs="Times New Roman"/>
          <w:color w:val="auto"/>
          <w:kern w:val="0"/>
          <w:sz w:val="28"/>
          <w:szCs w:val="28"/>
          <w:highlight w:val="none"/>
          <w:lang w:val="en-US" w:eastAsia="zh-CN" w:bidi="ar"/>
        </w:rPr>
        <w:t>III</w:t>
      </w:r>
      <w:r>
        <w:rPr>
          <w:rFonts w:hint="eastAsia" w:ascii="Times New Roman" w:hAnsi="Times New Roman" w:eastAsia="宋体" w:cs="Times New Roman"/>
          <w:color w:val="auto"/>
          <w:kern w:val="0"/>
          <w:sz w:val="28"/>
          <w:szCs w:val="28"/>
          <w:highlight w:val="none"/>
          <w:lang w:val="en-US" w:eastAsia="zh-CN" w:bidi="ar"/>
        </w:rPr>
        <w:t>类标准，其余监测项目采用《地下水质量标准》（</w:t>
      </w:r>
      <w:r>
        <w:rPr>
          <w:rFonts w:hint="default" w:ascii="Times New Roman" w:hAnsi="Times New Roman" w:eastAsia="宋体" w:cs="Times New Roman"/>
          <w:color w:val="auto"/>
          <w:kern w:val="0"/>
          <w:sz w:val="28"/>
          <w:szCs w:val="28"/>
          <w:highlight w:val="none"/>
          <w:lang w:val="en-US" w:eastAsia="zh-CN" w:bidi="ar"/>
        </w:rPr>
        <w:t>GB/T14848-2017</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III</w:t>
      </w:r>
      <w:r>
        <w:rPr>
          <w:rFonts w:hint="eastAsia" w:ascii="Times New Roman" w:hAnsi="Times New Roman" w:eastAsia="宋体" w:cs="Times New Roman"/>
          <w:color w:val="auto"/>
          <w:kern w:val="0"/>
          <w:sz w:val="28"/>
          <w:szCs w:val="28"/>
          <w:highlight w:val="none"/>
          <w:lang w:val="en-US" w:eastAsia="zh-CN" w:bidi="ar"/>
        </w:rPr>
        <w:t>类标准，对地下水环境现状进行评价。</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）评价结果</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现状评价结果见表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7。</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7地下水现状评价结果</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7"/>
        <w:gridCol w:w="1562"/>
        <w:gridCol w:w="1531"/>
        <w:gridCol w:w="1531"/>
        <w:gridCol w:w="1531"/>
        <w:gridCol w:w="15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监测项目</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D1</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D2</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D3</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Na</w:t>
            </w:r>
            <w:r>
              <w:rPr>
                <w:rFonts w:hint="default" w:ascii="Times New Roman" w:hAnsi="Times New Roman" w:cs="Times New Roman"/>
                <w:color w:val="auto"/>
                <w:sz w:val="24"/>
                <w:szCs w:val="24"/>
                <w:highlight w:val="none"/>
                <w:vertAlign w:val="superscript"/>
                <w:lang w:val="en-US" w:eastAsia="zh-CN"/>
              </w:rPr>
              <w:t>+</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0.51</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0.37</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w:t>
            </w:r>
            <w:r>
              <w:rPr>
                <w:rFonts w:hint="eastAsia" w:ascii="Times New Roman" w:hAnsi="Times New Roman" w:cs="Times New Roman"/>
                <w:color w:val="auto"/>
                <w:sz w:val="24"/>
                <w:szCs w:val="24"/>
                <w:highlight w:val="none"/>
                <w:vertAlign w:val="baseline"/>
                <w:lang w:val="en-US" w:eastAsia="zh-CN"/>
              </w:rPr>
              <w:t>7</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Cl</w:t>
            </w:r>
            <w:r>
              <w:rPr>
                <w:rFonts w:hint="default" w:ascii="Times New Roman" w:hAnsi="Times New Roman" w:cs="Times New Roman"/>
                <w:color w:val="auto"/>
                <w:sz w:val="24"/>
                <w:szCs w:val="24"/>
                <w:highlight w:val="none"/>
                <w:vertAlign w:val="superscript"/>
                <w:lang w:val="en-US" w:eastAsia="zh-CN"/>
              </w:rPr>
              <w:t>-</w:t>
            </w:r>
            <w:r>
              <w:rPr>
                <w:rFonts w:hint="default" w:ascii="Times New Roman" w:hAnsi="Times New Roman" w:cs="Times New Roman"/>
                <w:color w:val="auto"/>
                <w:sz w:val="24"/>
                <w:szCs w:val="24"/>
                <w:highlight w:val="none"/>
                <w:vertAlign w:val="baseline"/>
                <w:lang w:val="en-US" w:eastAsia="zh-CN"/>
              </w:rPr>
              <w:t>（氯化物）</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0.19</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0.1</w:t>
            </w:r>
            <w:r>
              <w:rPr>
                <w:rFonts w:hint="eastAsia" w:ascii="Times New Roman" w:hAnsi="Times New Roman" w:cs="Times New Roman"/>
                <w:color w:val="auto"/>
                <w:sz w:val="24"/>
                <w:szCs w:val="24"/>
                <w:highlight w:val="none"/>
                <w:vertAlign w:val="baseline"/>
                <w:lang w:val="en-US" w:eastAsia="zh-CN"/>
              </w:rPr>
              <w:t>3</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0.1</w:t>
            </w:r>
            <w:r>
              <w:rPr>
                <w:rFonts w:hint="eastAsia" w:ascii="Times New Roman" w:hAnsi="Times New Roman" w:cs="Times New Roman"/>
                <w:color w:val="auto"/>
                <w:sz w:val="24"/>
                <w:szCs w:val="24"/>
                <w:highlight w:val="none"/>
                <w:vertAlign w:val="baseline"/>
                <w:lang w:val="en-US" w:eastAsia="zh-CN"/>
              </w:rPr>
              <w:t>5</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0.1</w:t>
            </w:r>
            <w:r>
              <w:rPr>
                <w:rFonts w:hint="eastAsia" w:ascii="Times New Roman" w:hAnsi="Times New Roman" w:cs="Times New Roman"/>
                <w:color w:val="auto"/>
                <w:sz w:val="24"/>
                <w:szCs w:val="24"/>
                <w:highlight w:val="none"/>
                <w:vertAlign w:val="baseli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（硫酸盐）</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0.21</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0.1</w:t>
            </w:r>
            <w:r>
              <w:rPr>
                <w:rFonts w:hint="eastAsia" w:ascii="Times New Roman" w:hAnsi="Times New Roman" w:cs="Times New Roman"/>
                <w:color w:val="auto"/>
                <w:sz w:val="24"/>
                <w:szCs w:val="24"/>
                <w:highlight w:val="none"/>
                <w:vertAlign w:val="baseline"/>
                <w:lang w:val="en-US" w:eastAsia="zh-CN"/>
              </w:rPr>
              <w:t>4</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0.15</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0.1</w:t>
            </w:r>
            <w:r>
              <w:rPr>
                <w:rFonts w:hint="eastAsia" w:ascii="Times New Roman" w:hAnsi="Times New Roman" w:cs="Times New Roman"/>
                <w:color w:val="auto"/>
                <w:sz w:val="24"/>
                <w:szCs w:val="24"/>
                <w:highlight w:val="none"/>
                <w:vertAlign w:val="baseline"/>
                <w:lang w:val="en-US" w:eastAsia="zh-CN"/>
              </w:rPr>
              <w: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pH</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0.09</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总硬度</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0.38</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0.27</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0.49</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氨氮</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0.37</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0.6</w:t>
            </w:r>
            <w:r>
              <w:rPr>
                <w:rFonts w:hint="eastAsia" w:ascii="Times New Roman" w:hAnsi="Times New Roman" w:cs="Times New Roman"/>
                <w:color w:val="auto"/>
                <w:sz w:val="24"/>
                <w:szCs w:val="24"/>
                <w:highlight w:val="none"/>
                <w:vertAlign w:val="baseline"/>
                <w:lang w:val="en-US" w:eastAsia="zh-CN"/>
              </w:rPr>
              <w:t>5</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0.81</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氰化物</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挥发酚</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耗氧量</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0.53</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0.80</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0.7</w:t>
            </w:r>
            <w:r>
              <w:rPr>
                <w:rFonts w:hint="eastAsia" w:ascii="Times New Roman" w:hAnsi="Times New Roman" w:cs="Times New Roman"/>
                <w:color w:val="auto"/>
                <w:sz w:val="24"/>
                <w:szCs w:val="24"/>
                <w:highlight w:val="none"/>
                <w:vertAlign w:val="baseline"/>
                <w:lang w:val="en-US" w:eastAsia="zh-CN"/>
              </w:rPr>
              <w:t>5</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氟化物</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0.39</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0.27</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0.39</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w:t>
            </w:r>
            <w:r>
              <w:rPr>
                <w:rFonts w:hint="eastAsia" w:ascii="Times New Roman" w:hAnsi="Times New Roman" w:cs="Times New Roman"/>
                <w:color w:val="auto"/>
                <w:sz w:val="24"/>
                <w:szCs w:val="24"/>
                <w:highlight w:val="none"/>
                <w:vertAlign w:val="baseli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砷</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汞</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镉</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铅</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六价铬</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0.08</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铁</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0.5</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0.33</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锰</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0.6</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0.8</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0.9</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18</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硝酸盐</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w:t>
            </w:r>
            <w:r>
              <w:rPr>
                <w:rFonts w:hint="eastAsia" w:ascii="Times New Roman" w:hAnsi="Times New Roman" w:cs="Times New Roman"/>
                <w:color w:val="auto"/>
                <w:sz w:val="24"/>
                <w:szCs w:val="24"/>
                <w:highlight w:val="none"/>
                <w:vertAlign w:val="baseline"/>
                <w:lang w:val="en-US" w:eastAsia="zh-CN"/>
              </w:rPr>
              <w:t>1</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w:t>
            </w:r>
            <w:r>
              <w:rPr>
                <w:rFonts w:hint="eastAsia" w:ascii="Times New Roman" w:hAnsi="Times New Roman" w:cs="Times New Roman"/>
                <w:color w:val="auto"/>
                <w:sz w:val="24"/>
                <w:szCs w:val="24"/>
                <w:highlight w:val="none"/>
                <w:vertAlign w:val="baseline"/>
                <w:lang w:val="en-US" w:eastAsia="zh-CN"/>
              </w:rPr>
              <w:t>1</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亚硝酸盐</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溶解性总固体</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0.33</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0.34</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0.45</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w:t>
            </w:r>
            <w:r>
              <w:rPr>
                <w:rFonts w:hint="eastAsia" w:ascii="Times New Roman" w:hAnsi="Times New Roman" w:cs="Times New Roman"/>
                <w:color w:val="auto"/>
                <w:sz w:val="24"/>
                <w:szCs w:val="24"/>
                <w:highlight w:val="none"/>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21</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总大肠菌群</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菌落总数</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0.19</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0.14</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0.15</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23</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石油类</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24</w:t>
            </w:r>
          </w:p>
        </w:tc>
        <w:tc>
          <w:tcPr>
            <w:tcW w:w="15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硫化物</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c>
          <w:tcPr>
            <w:tcW w:w="15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未检出</w:t>
            </w:r>
          </w:p>
        </w:tc>
      </w:tr>
    </w:tbl>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从评价结果可以看出，评价区承压水和潜水各监测点水质石油类满足《地表水质量标准》（</w:t>
      </w:r>
      <w:r>
        <w:rPr>
          <w:rFonts w:hint="default" w:ascii="Times New Roman" w:hAnsi="Times New Roman" w:eastAsia="宋体" w:cs="Times New Roman"/>
          <w:color w:val="auto"/>
          <w:kern w:val="0"/>
          <w:sz w:val="28"/>
          <w:szCs w:val="28"/>
          <w:highlight w:val="none"/>
          <w:lang w:val="en-US" w:eastAsia="zh-CN" w:bidi="ar"/>
        </w:rPr>
        <w:t>GB</w:t>
      </w:r>
      <w:r>
        <w:rPr>
          <w:rFonts w:hint="eastAsia" w:ascii="Times New Roman" w:hAnsi="Times New Roman" w:eastAsia="宋体" w:cs="Times New Roman"/>
          <w:color w:val="auto"/>
          <w:kern w:val="0"/>
          <w:sz w:val="28"/>
          <w:szCs w:val="28"/>
          <w:highlight w:val="none"/>
          <w:lang w:val="en-US" w:eastAsia="zh-CN" w:bidi="ar"/>
        </w:rPr>
        <w:t>3838</w:t>
      </w:r>
      <w:r>
        <w:rPr>
          <w:rFonts w:hint="default" w:ascii="Times New Roman" w:hAnsi="Times New Roman" w:eastAsia="宋体" w:cs="Times New Roman"/>
          <w:color w:val="auto"/>
          <w:kern w:val="0"/>
          <w:sz w:val="28"/>
          <w:szCs w:val="28"/>
          <w:highlight w:val="none"/>
          <w:lang w:val="en-US" w:eastAsia="zh-CN" w:bidi="ar"/>
        </w:rPr>
        <w:t>-20</w:t>
      </w:r>
      <w:r>
        <w:rPr>
          <w:rFonts w:hint="eastAsia" w:ascii="Times New Roman" w:hAnsi="Times New Roman" w:eastAsia="宋体" w:cs="Times New Roman"/>
          <w:color w:val="auto"/>
          <w:kern w:val="0"/>
          <w:sz w:val="28"/>
          <w:szCs w:val="28"/>
          <w:highlight w:val="none"/>
          <w:lang w:val="en-US" w:eastAsia="zh-CN" w:bidi="ar"/>
        </w:rPr>
        <w:t>02）</w:t>
      </w:r>
      <w:r>
        <w:rPr>
          <w:rFonts w:hint="default" w:ascii="Times New Roman" w:hAnsi="Times New Roman" w:eastAsia="宋体" w:cs="Times New Roman"/>
          <w:color w:val="auto"/>
          <w:kern w:val="0"/>
          <w:sz w:val="28"/>
          <w:szCs w:val="28"/>
          <w:highlight w:val="none"/>
          <w:lang w:val="en-US" w:eastAsia="zh-CN" w:bidi="ar"/>
        </w:rPr>
        <w:t>III</w:t>
      </w:r>
      <w:r>
        <w:rPr>
          <w:rFonts w:hint="eastAsia" w:ascii="Times New Roman" w:hAnsi="Times New Roman" w:eastAsia="宋体" w:cs="Times New Roman"/>
          <w:color w:val="auto"/>
          <w:kern w:val="0"/>
          <w:sz w:val="28"/>
          <w:szCs w:val="28"/>
          <w:highlight w:val="none"/>
          <w:lang w:val="en-US" w:eastAsia="zh-CN" w:bidi="ar"/>
        </w:rPr>
        <w:t>类标准要求，其余监测项目满足《地下水质量标准》（</w:t>
      </w:r>
      <w:r>
        <w:rPr>
          <w:rFonts w:hint="default" w:ascii="Times New Roman" w:hAnsi="Times New Roman" w:eastAsia="宋体" w:cs="Times New Roman"/>
          <w:color w:val="auto"/>
          <w:kern w:val="0"/>
          <w:sz w:val="28"/>
          <w:szCs w:val="28"/>
          <w:highlight w:val="none"/>
          <w:lang w:val="en-US" w:eastAsia="zh-CN" w:bidi="ar"/>
        </w:rPr>
        <w:t>GB/T14848-2017</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III</w:t>
      </w:r>
      <w:r>
        <w:rPr>
          <w:rFonts w:hint="eastAsia" w:ascii="Times New Roman" w:hAnsi="Times New Roman" w:eastAsia="宋体" w:cs="Times New Roman"/>
          <w:color w:val="auto"/>
          <w:kern w:val="0"/>
          <w:sz w:val="28"/>
          <w:szCs w:val="28"/>
          <w:highlight w:val="none"/>
          <w:lang w:val="en-US" w:eastAsia="zh-CN" w:bidi="ar"/>
        </w:rPr>
        <w:t>类标准要求。</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4）地下水化学类型分析</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根据舒卡列夫分类法，地下水中</w:t>
      </w:r>
      <w:r>
        <w:rPr>
          <w:rFonts w:hint="default" w:ascii="Times New Roman" w:hAnsi="Times New Roman" w:eastAsia="宋体" w:cs="Times New Roman"/>
          <w:color w:val="auto"/>
          <w:kern w:val="0"/>
          <w:sz w:val="28"/>
          <w:szCs w:val="28"/>
          <w:highlight w:val="none"/>
          <w:lang w:val="en-US" w:eastAsia="zh-CN" w:bidi="ar"/>
        </w:rPr>
        <w:t>Ca</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Mg</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vertAlign w:val="superscript"/>
          <w:lang w:val="en-US" w:eastAsia="zh-CN" w:bidi="ar"/>
        </w:rPr>
        <w:t>＋</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Na</w:t>
      </w:r>
      <w:r>
        <w:rPr>
          <w:rFonts w:hint="eastAsia" w:ascii="Times New Roman" w:hAnsi="Times New Roman" w:eastAsia="宋体" w:cs="Times New Roman"/>
          <w:color w:val="auto"/>
          <w:kern w:val="0"/>
          <w:sz w:val="28"/>
          <w:szCs w:val="28"/>
          <w:highlight w:val="none"/>
          <w:vertAlign w:val="superscript"/>
          <w:lang w:val="en-US" w:eastAsia="zh-CN" w:bidi="ar"/>
        </w:rPr>
        <w:t>＋</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Na+K</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Cl</w:t>
      </w:r>
      <w:r>
        <w:rPr>
          <w:rFonts w:hint="eastAsia" w:ascii="Times New Roman" w:hAnsi="Times New Roman" w:eastAsia="宋体" w:cs="Times New Roman"/>
          <w:color w:val="auto"/>
          <w:kern w:val="0"/>
          <w:sz w:val="28"/>
          <w:szCs w:val="28"/>
          <w:highlight w:val="none"/>
          <w:vertAlign w:val="superscript"/>
          <w:lang w:val="en-US" w:eastAsia="zh-CN" w:bidi="ar"/>
        </w:rPr>
        <w:t>－</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SO</w:t>
      </w:r>
      <w:r>
        <w:rPr>
          <w:rFonts w:hint="default" w:ascii="Times New Roman" w:hAnsi="Times New Roman" w:eastAsia="宋体" w:cs="Times New Roman"/>
          <w:color w:val="auto"/>
          <w:kern w:val="0"/>
          <w:sz w:val="28"/>
          <w:szCs w:val="28"/>
          <w:highlight w:val="none"/>
          <w:vertAlign w:val="subscript"/>
          <w:lang w:val="en-US" w:eastAsia="zh-CN" w:bidi="ar"/>
        </w:rPr>
        <w:t>4</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vertAlign w:val="superscript"/>
          <w:lang w:val="en-US" w:eastAsia="zh-CN" w:bidi="ar"/>
        </w:rPr>
        <w:t>－</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HCO</w:t>
      </w:r>
      <w:r>
        <w:rPr>
          <w:rFonts w:hint="default" w:ascii="Times New Roman" w:hAnsi="Times New Roman" w:eastAsia="宋体" w:cs="Times New Roman"/>
          <w:color w:val="auto"/>
          <w:kern w:val="0"/>
          <w:sz w:val="28"/>
          <w:szCs w:val="28"/>
          <w:highlight w:val="none"/>
          <w:vertAlign w:val="subscript"/>
          <w:lang w:val="en-US" w:eastAsia="zh-CN" w:bidi="ar"/>
        </w:rPr>
        <w:t>3</w:t>
      </w:r>
      <w:r>
        <w:rPr>
          <w:rFonts w:hint="eastAsia" w:ascii="Times New Roman" w:hAnsi="Times New Roman" w:eastAsia="宋体" w:cs="Times New Roman"/>
          <w:color w:val="auto"/>
          <w:kern w:val="0"/>
          <w:sz w:val="28"/>
          <w:szCs w:val="28"/>
          <w:highlight w:val="none"/>
          <w:vertAlign w:val="superscript"/>
          <w:lang w:val="en-US" w:eastAsia="zh-CN" w:bidi="ar"/>
        </w:rPr>
        <w:t>－</w:t>
      </w:r>
      <w:r>
        <w:rPr>
          <w:rFonts w:hint="eastAsia" w:ascii="Times New Roman" w:hAnsi="Times New Roman" w:eastAsia="宋体" w:cs="Times New Roman"/>
          <w:color w:val="auto"/>
          <w:kern w:val="0"/>
          <w:sz w:val="28"/>
          <w:szCs w:val="28"/>
          <w:highlight w:val="none"/>
          <w:lang w:val="en-US" w:eastAsia="zh-CN" w:bidi="ar"/>
        </w:rPr>
        <w:t>将</w:t>
      </w:r>
      <w:r>
        <w:rPr>
          <w:rFonts w:hint="default" w:ascii="Times New Roman" w:hAnsi="Times New Roman" w:eastAsia="宋体" w:cs="Times New Roman"/>
          <w:color w:val="auto"/>
          <w:kern w:val="0"/>
          <w:sz w:val="28"/>
          <w:szCs w:val="28"/>
          <w:highlight w:val="none"/>
          <w:lang w:val="en-US" w:eastAsia="zh-CN" w:bidi="ar"/>
        </w:rPr>
        <w:t>Meq</w:t>
      </w:r>
      <w:r>
        <w:rPr>
          <w:rFonts w:hint="eastAsia" w:ascii="Times New Roman" w:hAnsi="Times New Roman" w:eastAsia="宋体" w:cs="Times New Roman"/>
          <w:color w:val="auto"/>
          <w:kern w:val="0"/>
          <w:sz w:val="28"/>
          <w:szCs w:val="28"/>
          <w:highlight w:val="none"/>
          <w:lang w:val="en-US" w:eastAsia="zh-CN" w:bidi="ar"/>
        </w:rPr>
        <w:t>（毫克当量）百分数大于</w:t>
      </w:r>
      <w:r>
        <w:rPr>
          <w:rFonts w:hint="default" w:ascii="Times New Roman" w:hAnsi="Times New Roman" w:eastAsia="宋体" w:cs="Times New Roman"/>
          <w:color w:val="auto"/>
          <w:kern w:val="0"/>
          <w:sz w:val="28"/>
          <w:szCs w:val="28"/>
          <w:highlight w:val="none"/>
          <w:lang w:val="en-US" w:eastAsia="zh-CN" w:bidi="ar"/>
        </w:rPr>
        <w:t>25%</w:t>
      </w:r>
      <w:r>
        <w:rPr>
          <w:rFonts w:hint="eastAsia" w:ascii="Times New Roman" w:hAnsi="Times New Roman" w:eastAsia="宋体" w:cs="Times New Roman"/>
          <w:color w:val="auto"/>
          <w:kern w:val="0"/>
          <w:sz w:val="28"/>
          <w:szCs w:val="28"/>
          <w:highlight w:val="none"/>
          <w:lang w:val="en-US" w:eastAsia="zh-CN" w:bidi="ar"/>
        </w:rPr>
        <w:t>的阴、阳离子进行组合，每种类型以阿拉伯数字为代号，共49类。舒卡列夫分类表见表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8。</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8舒卡列夫分类表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7"/>
        <w:gridCol w:w="1048"/>
        <w:gridCol w:w="1048"/>
        <w:gridCol w:w="1048"/>
        <w:gridCol w:w="1048"/>
        <w:gridCol w:w="1048"/>
        <w:gridCol w:w="1048"/>
        <w:gridCol w:w="10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含量＞</w:t>
            </w:r>
            <w:r>
              <w:rPr>
                <w:rFonts w:hint="default" w:ascii="Times New Roman" w:hAnsi="Times New Roman" w:cs="Times New Roman"/>
                <w:color w:val="auto"/>
                <w:sz w:val="24"/>
                <w:szCs w:val="24"/>
                <w:highlight w:val="none"/>
                <w:vertAlign w:val="baseline"/>
                <w:lang w:val="en-US" w:eastAsia="zh-CN"/>
              </w:rPr>
              <w:t>25%Meq</w:t>
            </w:r>
            <w:r>
              <w:rPr>
                <w:rFonts w:hint="eastAsia" w:ascii="Times New Roman" w:hAnsi="Times New Roman" w:cs="Times New Roman"/>
                <w:color w:val="auto"/>
                <w:sz w:val="24"/>
                <w:szCs w:val="24"/>
                <w:highlight w:val="none"/>
                <w:vertAlign w:val="baseline"/>
                <w:lang w:val="en-US" w:eastAsia="zh-CN"/>
              </w:rPr>
              <w:t>的离子</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HCO</w:t>
            </w:r>
            <w:r>
              <w:rPr>
                <w:rFonts w:hint="default" w:ascii="Times New Roman" w:hAnsi="Times New Roman" w:cs="Times New Roman"/>
                <w:color w:val="auto"/>
                <w:sz w:val="24"/>
                <w:szCs w:val="24"/>
                <w:highlight w:val="none"/>
                <w:vertAlign w:val="subscript"/>
                <w:lang w:val="en-US" w:eastAsia="zh-CN"/>
              </w:rPr>
              <w:t>3</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4</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vertAlign w:val="baseline"/>
                <w:lang w:val="en-US" w:eastAsia="zh-CN"/>
              </w:rPr>
              <w:t>+Cl</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baseline"/>
                <w:lang w:val="en-US" w:eastAsia="zh-CN"/>
              </w:rPr>
              <w:t>+Cl</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4</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vertAlign w:val="baseline"/>
                <w:lang w:val="en-US" w:eastAsia="zh-CN"/>
              </w:rPr>
              <w:t>+Cl</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Ca</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29</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36</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Ca+Mg</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23</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37</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24</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31</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38</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Na+Ca</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18</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39</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Na+Ca+Mg</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26</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Na+Mg</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34</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41</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Na</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21</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28</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35</w:t>
            </w:r>
          </w:p>
        </w:tc>
        <w:tc>
          <w:tcPr>
            <w:tcW w:w="10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42</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49</w:t>
            </w:r>
          </w:p>
        </w:tc>
      </w:tr>
    </w:tbl>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按矿化度又分为</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组：</w:t>
      </w:r>
      <w:r>
        <w:rPr>
          <w:rFonts w:hint="default" w:ascii="Times New Roman" w:hAnsi="Times New Roman" w:eastAsia="宋体" w:cs="Times New Roman"/>
          <w:color w:val="auto"/>
          <w:kern w:val="0"/>
          <w:sz w:val="28"/>
          <w:szCs w:val="28"/>
          <w:highlight w:val="none"/>
          <w:lang w:val="en-US" w:eastAsia="zh-CN" w:bidi="ar"/>
        </w:rPr>
        <w:t>A</w:t>
      </w:r>
      <w:r>
        <w:rPr>
          <w:rFonts w:hint="eastAsia" w:ascii="Times New Roman" w:hAnsi="Times New Roman" w:eastAsia="宋体" w:cs="Times New Roman"/>
          <w:color w:val="auto"/>
          <w:kern w:val="0"/>
          <w:sz w:val="28"/>
          <w:szCs w:val="28"/>
          <w:highlight w:val="none"/>
          <w:lang w:val="en-US" w:eastAsia="zh-CN" w:bidi="ar"/>
        </w:rPr>
        <w:t>组矿化度</w:t>
      </w:r>
      <w:r>
        <w:rPr>
          <w:rFonts w:hint="default" w:ascii="Times New Roman" w:hAnsi="Times New Roman" w:eastAsia="宋体" w:cs="Times New Roman"/>
          <w:color w:val="auto"/>
          <w:kern w:val="0"/>
          <w:sz w:val="28"/>
          <w:szCs w:val="28"/>
          <w:highlight w:val="none"/>
          <w:lang w:val="en-US" w:eastAsia="zh-CN" w:bidi="ar"/>
        </w:rPr>
        <w:t>&lt;1.5g/L</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B</w:t>
      </w:r>
      <w:r>
        <w:rPr>
          <w:rFonts w:hint="eastAsia" w:ascii="Times New Roman" w:hAnsi="Times New Roman" w:eastAsia="宋体" w:cs="Times New Roman"/>
          <w:color w:val="auto"/>
          <w:kern w:val="0"/>
          <w:sz w:val="28"/>
          <w:szCs w:val="28"/>
          <w:highlight w:val="none"/>
          <w:lang w:val="en-US" w:eastAsia="zh-CN" w:bidi="ar"/>
        </w:rPr>
        <w:t>组</w:t>
      </w:r>
      <w:r>
        <w:rPr>
          <w:rFonts w:hint="default" w:ascii="Times New Roman" w:hAnsi="Times New Roman" w:eastAsia="宋体" w:cs="Times New Roman"/>
          <w:color w:val="auto"/>
          <w:kern w:val="0"/>
          <w:sz w:val="28"/>
          <w:szCs w:val="28"/>
          <w:highlight w:val="none"/>
          <w:lang w:val="en-US" w:eastAsia="zh-CN" w:bidi="ar"/>
        </w:rPr>
        <w:t>1.5-10g/L</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C</w:t>
      </w:r>
      <w:r>
        <w:rPr>
          <w:rFonts w:hint="eastAsia" w:ascii="Times New Roman" w:hAnsi="Times New Roman" w:eastAsia="宋体" w:cs="Times New Roman"/>
          <w:color w:val="auto"/>
          <w:kern w:val="0"/>
          <w:sz w:val="28"/>
          <w:szCs w:val="28"/>
          <w:highlight w:val="none"/>
          <w:lang w:val="en-US" w:eastAsia="zh-CN" w:bidi="ar"/>
        </w:rPr>
        <w:t>组</w:t>
      </w:r>
      <w:r>
        <w:rPr>
          <w:rFonts w:hint="default" w:ascii="Times New Roman" w:hAnsi="Times New Roman" w:eastAsia="宋体" w:cs="Times New Roman"/>
          <w:color w:val="auto"/>
          <w:kern w:val="0"/>
          <w:sz w:val="28"/>
          <w:szCs w:val="28"/>
          <w:highlight w:val="none"/>
          <w:lang w:val="en-US" w:eastAsia="zh-CN" w:bidi="ar"/>
        </w:rPr>
        <w:t>10-40g/L</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D</w:t>
      </w:r>
      <w:r>
        <w:rPr>
          <w:rFonts w:hint="eastAsia" w:ascii="Times New Roman" w:hAnsi="Times New Roman" w:eastAsia="宋体" w:cs="Times New Roman"/>
          <w:color w:val="auto"/>
          <w:kern w:val="0"/>
          <w:sz w:val="28"/>
          <w:szCs w:val="28"/>
          <w:highlight w:val="none"/>
          <w:lang w:val="en-US" w:eastAsia="zh-CN" w:bidi="ar"/>
        </w:rPr>
        <w:t>组</w:t>
      </w:r>
      <w:r>
        <w:rPr>
          <w:rFonts w:hint="default" w:ascii="Times New Roman" w:hAnsi="Times New Roman" w:eastAsia="宋体" w:cs="Times New Roman"/>
          <w:color w:val="auto"/>
          <w:kern w:val="0"/>
          <w:sz w:val="28"/>
          <w:szCs w:val="28"/>
          <w:highlight w:val="none"/>
          <w:lang w:val="en-US" w:eastAsia="zh-CN" w:bidi="ar"/>
        </w:rPr>
        <w:t>&gt;40g/L</w:t>
      </w:r>
      <w:r>
        <w:rPr>
          <w:rFonts w:hint="eastAsia" w:ascii="Times New Roman" w:hAnsi="Times New Roman" w:eastAsia="宋体" w:cs="Times New Roman"/>
          <w:color w:val="auto"/>
          <w:kern w:val="0"/>
          <w:sz w:val="28"/>
          <w:szCs w:val="28"/>
          <w:highlight w:val="none"/>
          <w:lang w:val="en-US" w:eastAsia="zh-CN" w:bidi="ar"/>
        </w:rPr>
        <w:t>。命名时在数字与字母间加连接号，如</w:t>
      </w:r>
      <w:r>
        <w:rPr>
          <w:rFonts w:hint="default" w:ascii="Times New Roman" w:hAnsi="Times New Roman" w:eastAsia="宋体" w:cs="Times New Roman"/>
          <w:color w:val="auto"/>
          <w:kern w:val="0"/>
          <w:sz w:val="28"/>
          <w:szCs w:val="28"/>
          <w:highlight w:val="none"/>
          <w:lang w:val="en-US" w:eastAsia="zh-CN" w:bidi="ar"/>
        </w:rPr>
        <w:t>1-A</w:t>
      </w:r>
      <w:r>
        <w:rPr>
          <w:rFonts w:hint="eastAsia" w:ascii="Times New Roman" w:hAnsi="Times New Roman" w:eastAsia="宋体" w:cs="Times New Roman"/>
          <w:color w:val="auto"/>
          <w:kern w:val="0"/>
          <w:sz w:val="28"/>
          <w:szCs w:val="28"/>
          <w:highlight w:val="none"/>
          <w:lang w:val="en-US" w:eastAsia="zh-CN" w:bidi="ar"/>
        </w:rPr>
        <w:t>型：指的是</w:t>
      </w:r>
      <w:r>
        <w:rPr>
          <w:rFonts w:hint="default" w:ascii="Times New Roman" w:hAnsi="Times New Roman" w:eastAsia="宋体" w:cs="Times New Roman"/>
          <w:color w:val="auto"/>
          <w:kern w:val="0"/>
          <w:sz w:val="28"/>
          <w:szCs w:val="28"/>
          <w:highlight w:val="none"/>
          <w:lang w:val="en-US" w:eastAsia="zh-CN" w:bidi="ar"/>
        </w:rPr>
        <w:t>M&lt;1.5g/L</w:t>
      </w:r>
      <w:r>
        <w:rPr>
          <w:rFonts w:hint="eastAsia" w:ascii="Times New Roman" w:hAnsi="Times New Roman" w:eastAsia="宋体" w:cs="Times New Roman"/>
          <w:color w:val="auto"/>
          <w:kern w:val="0"/>
          <w:sz w:val="28"/>
          <w:szCs w:val="28"/>
          <w:highlight w:val="none"/>
          <w:lang w:val="en-US" w:eastAsia="zh-CN" w:bidi="ar"/>
        </w:rPr>
        <w:t>，阴离子只有</w:t>
      </w:r>
      <w:r>
        <w:rPr>
          <w:rFonts w:hint="default" w:ascii="Times New Roman" w:hAnsi="Times New Roman" w:eastAsia="宋体" w:cs="Times New Roman"/>
          <w:color w:val="auto"/>
          <w:kern w:val="0"/>
          <w:sz w:val="28"/>
          <w:szCs w:val="28"/>
          <w:highlight w:val="none"/>
          <w:lang w:val="en-US" w:eastAsia="zh-CN" w:bidi="ar"/>
        </w:rPr>
        <w:t>HCO</w:t>
      </w:r>
      <w:r>
        <w:rPr>
          <w:rFonts w:hint="default" w:ascii="Times New Roman" w:hAnsi="Times New Roman" w:eastAsia="宋体" w:cs="Times New Roman"/>
          <w:color w:val="auto"/>
          <w:kern w:val="0"/>
          <w:sz w:val="28"/>
          <w:szCs w:val="28"/>
          <w:highlight w:val="none"/>
          <w:vertAlign w:val="sub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&gt;25</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Meq</w:t>
      </w:r>
      <w:r>
        <w:rPr>
          <w:rFonts w:hint="eastAsia" w:ascii="Times New Roman" w:hAnsi="Times New Roman" w:eastAsia="宋体" w:cs="Times New Roman"/>
          <w:color w:val="auto"/>
          <w:kern w:val="0"/>
          <w:sz w:val="28"/>
          <w:szCs w:val="28"/>
          <w:highlight w:val="none"/>
          <w:lang w:val="en-US" w:eastAsia="zh-CN" w:bidi="ar"/>
        </w:rPr>
        <w:t>，阳离子有</w:t>
      </w:r>
      <w:r>
        <w:rPr>
          <w:rFonts w:hint="default" w:ascii="Times New Roman" w:hAnsi="Times New Roman" w:eastAsia="宋体" w:cs="Times New Roman"/>
          <w:color w:val="auto"/>
          <w:kern w:val="0"/>
          <w:sz w:val="28"/>
          <w:szCs w:val="28"/>
          <w:highlight w:val="none"/>
          <w:lang w:val="en-US" w:eastAsia="zh-CN" w:bidi="ar"/>
        </w:rPr>
        <w:t>Ca</w:t>
      </w:r>
      <w:r>
        <w:rPr>
          <w:rFonts w:hint="eastAsia" w:ascii="Times New Roman" w:hAnsi="Times New Roman" w:eastAsia="宋体" w:cs="Times New Roman"/>
          <w:color w:val="auto"/>
          <w:kern w:val="0"/>
          <w:sz w:val="28"/>
          <w:szCs w:val="28"/>
          <w:highlight w:val="none"/>
          <w:lang w:val="en-US" w:eastAsia="zh-CN" w:bidi="ar"/>
        </w:rPr>
        <w:t>大于</w:t>
      </w:r>
      <w:r>
        <w:rPr>
          <w:rFonts w:hint="default" w:ascii="Times New Roman" w:hAnsi="Times New Roman" w:eastAsia="宋体" w:cs="Times New Roman"/>
          <w:color w:val="auto"/>
          <w:kern w:val="0"/>
          <w:sz w:val="28"/>
          <w:szCs w:val="28"/>
          <w:highlight w:val="none"/>
          <w:lang w:val="en-US" w:eastAsia="zh-CN" w:bidi="ar"/>
        </w:rPr>
        <w:t>25%Meq</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1-A</w:t>
      </w:r>
      <w:r>
        <w:rPr>
          <w:rFonts w:hint="eastAsia" w:ascii="Times New Roman" w:hAnsi="Times New Roman" w:eastAsia="宋体" w:cs="Times New Roman"/>
          <w:color w:val="auto"/>
          <w:kern w:val="0"/>
          <w:sz w:val="28"/>
          <w:szCs w:val="28"/>
          <w:highlight w:val="none"/>
          <w:lang w:val="en-US" w:eastAsia="zh-CN" w:bidi="ar"/>
        </w:rPr>
        <w:t>型，表示矿化度小于</w:t>
      </w:r>
      <w:r>
        <w:rPr>
          <w:rFonts w:hint="default" w:ascii="Times New Roman" w:hAnsi="Times New Roman" w:eastAsia="宋体" w:cs="Times New Roman"/>
          <w:color w:val="auto"/>
          <w:kern w:val="0"/>
          <w:sz w:val="28"/>
          <w:szCs w:val="28"/>
          <w:highlight w:val="none"/>
          <w:lang w:val="en-US" w:eastAsia="zh-CN" w:bidi="ar"/>
        </w:rPr>
        <w:t>&lt;1.5g/L</w:t>
      </w:r>
      <w:r>
        <w:rPr>
          <w:rFonts w:hint="eastAsia" w:ascii="Times New Roman" w:hAnsi="Times New Roman" w:eastAsia="宋体" w:cs="Times New Roman"/>
          <w:color w:val="auto"/>
          <w:kern w:val="0"/>
          <w:sz w:val="28"/>
          <w:szCs w:val="28"/>
          <w:highlight w:val="none"/>
          <w:lang w:val="en-US" w:eastAsia="zh-CN" w:bidi="ar"/>
        </w:rPr>
        <w:t>的</w:t>
      </w:r>
      <w:r>
        <w:rPr>
          <w:rFonts w:hint="default" w:ascii="Times New Roman" w:hAnsi="Times New Roman" w:eastAsia="宋体" w:cs="Times New Roman"/>
          <w:color w:val="auto"/>
          <w:kern w:val="0"/>
          <w:sz w:val="28"/>
          <w:szCs w:val="28"/>
          <w:highlight w:val="none"/>
          <w:lang w:val="en-US" w:eastAsia="zh-CN" w:bidi="ar"/>
        </w:rPr>
        <w:t>Cl-Na</w:t>
      </w:r>
      <w:r>
        <w:rPr>
          <w:rFonts w:hint="eastAsia" w:ascii="Times New Roman" w:hAnsi="Times New Roman" w:eastAsia="宋体" w:cs="Times New Roman"/>
          <w:color w:val="auto"/>
          <w:kern w:val="0"/>
          <w:sz w:val="28"/>
          <w:szCs w:val="28"/>
          <w:highlight w:val="none"/>
          <w:lang w:val="en-US" w:eastAsia="zh-CN" w:bidi="ar"/>
        </w:rPr>
        <w:t>型水，该型水可能是于海水及海相沉积有关的地下水，或是大陆盐化潜水。评价范围内地下水中八大离子的检测结果统计计算见表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9。</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9八大离子的检测结果统计表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6"/>
        <w:gridCol w:w="1216"/>
        <w:gridCol w:w="1216"/>
        <w:gridCol w:w="1217"/>
        <w:gridCol w:w="1217"/>
        <w:gridCol w:w="1217"/>
        <w:gridCol w:w="12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监测井</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点位</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离子名称</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毫克当量（mg/L）</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毫克当量百分比（%）</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离子毫克当量合计（mg/L）</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相对</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误差%</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矿化度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天主堂屯（潜水）</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K</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0.053</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0.760</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6.914</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0.08</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Na</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4.391</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63.514</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Ca</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1.620</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23.431</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0.850</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12.294</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-4.492</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65.074</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-6.903</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0.000</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0.000</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Cl</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-1.340</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19.413</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-1.071</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15.513</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李家窝棚（承压水）</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K</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0.047</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0.836</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5.612</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4.02</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Na</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3.222</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57.408</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Ca</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1.185</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21.115</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1.158</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20.640</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-4.475</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73.589</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-6.082</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0.000</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Cl</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-0.900</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14.799</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-0.706</w:t>
            </w:r>
          </w:p>
        </w:tc>
        <w:tc>
          <w:tcPr>
            <w:tcW w:w="12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11.613</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三门董家（潜水）</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K</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0.059</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0.700</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8.466</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2.05</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Na</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4.052</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47.862</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Ca</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1.605</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18.957</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2.750</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32.481</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-6.262</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77.066</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-8.126</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0.000</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0.000</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Cl</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-1.066</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13.115</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0.798</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9.819</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平等村（潜水）</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K</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0.076</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0.798</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9.481</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0.91</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Na</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4.278</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45.127</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Ca</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2.260</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23.838</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2.867</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30.237</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-7.393</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76.579</w:t>
            </w:r>
          </w:p>
        </w:tc>
        <w:tc>
          <w:tcPr>
            <w:tcW w:w="121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-9.655</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0.000</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0.000</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Cl</w:t>
            </w:r>
            <w:r>
              <w:rPr>
                <w:rFonts w:hint="default" w:ascii="Times New Roman" w:hAnsi="Times New Roman" w:cs="Times New Roman"/>
                <w:color w:val="auto"/>
                <w:sz w:val="24"/>
                <w:szCs w:val="24"/>
                <w:highlight w:val="none"/>
                <w:vertAlign w:val="superscript"/>
                <w:lang w:val="en-US" w:eastAsia="zh-CN"/>
              </w:rPr>
              <w:t>-</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-1.280</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13.258</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vertAlign w:val="superscript"/>
                <w:lang w:val="en-US" w:eastAsia="zh-CN"/>
              </w:rPr>
              <w:t>2-</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-0.981</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10.163</w:t>
            </w: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1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bl>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本项目各监测点位地下水阴阳离子相对误差均小于5%，说明监测数据可靠；矿化度0.45~0.72g/L，均小于1.5g/L，说明区域内地下水为淡水；其中天主堂屯（潜水）和李家窝棚（承压水）为7-A型，即HCO</w:t>
      </w:r>
      <w:r>
        <w:rPr>
          <w:rFonts w:hint="eastAsia" w:ascii="Times New Roman" w:hAnsi="Times New Roman" w:eastAsia="宋体" w:cs="Times New Roman"/>
          <w:color w:val="auto"/>
          <w:kern w:val="0"/>
          <w:sz w:val="28"/>
          <w:szCs w:val="28"/>
          <w:highlight w:val="none"/>
          <w:vertAlign w:val="sub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-Na型淡水；三门董家（潜水）和平等村（潜水）为6-A型，即HCO</w:t>
      </w:r>
      <w:r>
        <w:rPr>
          <w:rFonts w:hint="eastAsia" w:ascii="Times New Roman" w:hAnsi="Times New Roman" w:eastAsia="宋体" w:cs="Times New Roman"/>
          <w:color w:val="auto"/>
          <w:kern w:val="0"/>
          <w:sz w:val="28"/>
          <w:szCs w:val="28"/>
          <w:highlight w:val="none"/>
          <w:vertAlign w:val="sub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-Na+Mg型淡水。</w:t>
      </w:r>
    </w:p>
    <w:p>
      <w:pPr>
        <w:keepNext w:val="0"/>
        <w:keepLines w:val="0"/>
        <w:widowControl/>
        <w:suppressLineNumbers w:val="0"/>
        <w:spacing w:line="360" w:lineRule="auto"/>
        <w:jc w:val="both"/>
        <w:rPr>
          <w:rFonts w:hint="eastAsia" w:ascii="Times New Roman" w:hAnsi="Times New Roman" w:eastAsia="宋体" w:cs="Times New Roman"/>
          <w:b w:val="0"/>
          <w:bCs w:val="0"/>
          <w:color w:val="auto"/>
          <w:kern w:val="0"/>
          <w:sz w:val="28"/>
          <w:szCs w:val="28"/>
          <w:highlight w:val="none"/>
          <w:lang w:val="en-US" w:eastAsia="zh-CN" w:bidi="ar"/>
        </w:rPr>
      </w:pPr>
      <w:r>
        <w:rPr>
          <w:rFonts w:hint="default" w:ascii="Times New Roman" w:hAnsi="Times New Roman" w:eastAsia="宋体" w:cs="Times New Roman"/>
          <w:b w:val="0"/>
          <w:bCs w:val="0"/>
          <w:color w:val="auto"/>
          <w:kern w:val="0"/>
          <w:sz w:val="28"/>
          <w:szCs w:val="28"/>
          <w:highlight w:val="none"/>
          <w:lang w:val="en-US" w:eastAsia="zh-CN" w:bidi="ar"/>
        </w:rPr>
        <w:t>4.</w:t>
      </w:r>
      <w:r>
        <w:rPr>
          <w:rFonts w:hint="eastAsia" w:ascii="Times New Roman" w:hAnsi="Times New Roman" w:eastAsia="宋体" w:cs="Times New Roman"/>
          <w:b w:val="0"/>
          <w:bCs w:val="0"/>
          <w:color w:val="auto"/>
          <w:kern w:val="0"/>
          <w:sz w:val="28"/>
          <w:szCs w:val="28"/>
          <w:highlight w:val="none"/>
          <w:lang w:val="en-US" w:eastAsia="zh-CN" w:bidi="ar"/>
        </w:rPr>
        <w:t>2</w:t>
      </w:r>
      <w:r>
        <w:rPr>
          <w:rFonts w:hint="default" w:ascii="Times New Roman" w:hAnsi="Times New Roman" w:eastAsia="宋体" w:cs="Times New Roman"/>
          <w:b w:val="0"/>
          <w:bCs w:val="0"/>
          <w:color w:val="auto"/>
          <w:kern w:val="0"/>
          <w:sz w:val="28"/>
          <w:szCs w:val="28"/>
          <w:highlight w:val="none"/>
          <w:lang w:val="en-US" w:eastAsia="zh-CN" w:bidi="ar"/>
        </w:rPr>
        <w:t>.</w:t>
      </w:r>
      <w:r>
        <w:rPr>
          <w:rFonts w:hint="eastAsia" w:ascii="Times New Roman" w:hAnsi="Times New Roman" w:eastAsia="宋体" w:cs="Times New Roman"/>
          <w:b w:val="0"/>
          <w:bCs w:val="0"/>
          <w:color w:val="auto"/>
          <w:kern w:val="0"/>
          <w:sz w:val="28"/>
          <w:szCs w:val="28"/>
          <w:highlight w:val="none"/>
          <w:lang w:val="en-US" w:eastAsia="zh-CN" w:bidi="ar"/>
        </w:rPr>
        <w:t>3声环境质量现状调查与评价</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（1）现状监测</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）监测布点</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对拟建井场区域周围声环境敏感目标进行监测，具体监测点布设见表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2-10。</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szCs w:val="24"/>
          <w:highlight w:val="none"/>
          <w:lang w:val="en-US" w:eastAsia="zh-CN" w:bidi="ar"/>
        </w:rPr>
        <w:t>0声环境监测点位置</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6"/>
        <w:gridCol w:w="1801"/>
        <w:gridCol w:w="2436"/>
        <w:gridCol w:w="2087"/>
        <w:gridCol w:w="14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8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监测点</w:t>
            </w:r>
          </w:p>
        </w:tc>
        <w:tc>
          <w:tcPr>
            <w:tcW w:w="24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坐标</w:t>
            </w:r>
          </w:p>
        </w:tc>
        <w:tc>
          <w:tcPr>
            <w:tcW w:w="20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相对最近井场方位</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距离</w:t>
            </w:r>
          </w:p>
        </w:tc>
        <w:tc>
          <w:tcPr>
            <w:tcW w:w="14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Z1</w:t>
            </w:r>
          </w:p>
        </w:tc>
        <w:tc>
          <w:tcPr>
            <w:tcW w:w="18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李家窝棚</w:t>
            </w:r>
          </w:p>
        </w:tc>
        <w:tc>
          <w:tcPr>
            <w:tcW w:w="24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g125.281627，45.810615</w:t>
            </w:r>
          </w:p>
        </w:tc>
        <w:tc>
          <w:tcPr>
            <w:tcW w:w="20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拟建肇深19-平3井北侧276m</w:t>
            </w:r>
          </w:p>
        </w:tc>
        <w:tc>
          <w:tcPr>
            <w:tcW w:w="14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敏感点</w:t>
            </w:r>
            <w:r>
              <w:rPr>
                <w:rFonts w:hint="default" w:ascii="Times New Roman" w:hAnsi="Times New Roman" w:cs="Times New Roman"/>
                <w:color w:val="auto"/>
                <w:sz w:val="24"/>
                <w:szCs w:val="24"/>
                <w:highlight w:val="none"/>
                <w:vertAlign w:val="baseline"/>
                <w:lang w:val="en-US" w:eastAsia="zh-CN"/>
              </w:rPr>
              <w:t>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Z2</w:t>
            </w:r>
          </w:p>
        </w:tc>
        <w:tc>
          <w:tcPr>
            <w:tcW w:w="18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三门董家</w:t>
            </w:r>
          </w:p>
        </w:tc>
        <w:tc>
          <w:tcPr>
            <w:tcW w:w="24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g125.275748，45.804684</w:t>
            </w:r>
          </w:p>
        </w:tc>
        <w:tc>
          <w:tcPr>
            <w:tcW w:w="20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拟建肇深19-平2井西侧611m</w:t>
            </w:r>
          </w:p>
        </w:tc>
        <w:tc>
          <w:tcPr>
            <w:tcW w:w="1436" w:type="dxa"/>
            <w:vMerge w:val="continue"/>
            <w:tcBorders>
              <w:tl2br w:val="nil"/>
              <w:tr2bl w:val="nil"/>
            </w:tcBorders>
            <w:noWrap w:val="0"/>
            <w:vAlign w:val="top"/>
          </w:tcPr>
          <w:p>
            <w:pPr>
              <w:pStyle w:val="22"/>
              <w:rPr>
                <w:rFonts w:hint="eastAsia"/>
                <w:color w:val="auto"/>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Z3</w:t>
            </w:r>
          </w:p>
        </w:tc>
        <w:tc>
          <w:tcPr>
            <w:tcW w:w="18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范家窝棚</w:t>
            </w:r>
          </w:p>
        </w:tc>
        <w:tc>
          <w:tcPr>
            <w:tcW w:w="24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w:t>
            </w:r>
            <w:r>
              <w:rPr>
                <w:rFonts w:hint="default" w:ascii="Times New Roman" w:hAnsi="Times New Roman" w:cs="Times New Roman"/>
                <w:color w:val="auto"/>
                <w:sz w:val="24"/>
                <w:szCs w:val="24"/>
                <w:highlight w:val="none"/>
                <w:vertAlign w:val="baseline"/>
                <w:lang w:val="en-US" w:eastAsia="zh-CN"/>
              </w:rPr>
              <w:t>125.29410</w:t>
            </w:r>
            <w:r>
              <w:rPr>
                <w:rFonts w:hint="eastAsia" w:ascii="Times New Roman" w:hAnsi="Times New Roman" w:cs="Times New Roman"/>
                <w:color w:val="auto"/>
                <w:sz w:val="24"/>
                <w:szCs w:val="24"/>
                <w:highlight w:val="none"/>
                <w:vertAlign w:val="baseline"/>
                <w:lang w:val="en-US" w:eastAsia="zh-CN"/>
              </w:rPr>
              <w:t>1，45.804251</w:t>
            </w:r>
          </w:p>
        </w:tc>
        <w:tc>
          <w:tcPr>
            <w:tcW w:w="20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拟建肇深19-斜1井东北侧494m</w:t>
            </w:r>
          </w:p>
        </w:tc>
        <w:tc>
          <w:tcPr>
            <w:tcW w:w="1436" w:type="dxa"/>
            <w:vMerge w:val="continue"/>
            <w:tcBorders>
              <w:tl2br w:val="nil"/>
              <w:tr2bl w:val="nil"/>
            </w:tcBorders>
            <w:noWrap w:val="0"/>
            <w:vAlign w:val="top"/>
          </w:tcPr>
          <w:p>
            <w:pPr>
              <w:pStyle w:val="22"/>
              <w:rPr>
                <w:rFonts w:hint="eastAsia"/>
                <w:color w:val="auto"/>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Z4</w:t>
            </w:r>
          </w:p>
        </w:tc>
        <w:tc>
          <w:tcPr>
            <w:tcW w:w="18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w:t>
            </w:r>
          </w:p>
        </w:tc>
        <w:tc>
          <w:tcPr>
            <w:tcW w:w="24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g125.282881，45.808212</w:t>
            </w:r>
          </w:p>
        </w:tc>
        <w:tc>
          <w:tcPr>
            <w:tcW w:w="20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color w:val="auto"/>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拟建井场噪声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Z5</w:t>
            </w:r>
          </w:p>
        </w:tc>
        <w:tc>
          <w:tcPr>
            <w:tcW w:w="18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拟建肇深19-平2井</w:t>
            </w:r>
          </w:p>
        </w:tc>
        <w:tc>
          <w:tcPr>
            <w:tcW w:w="24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g125.283716，45.805633</w:t>
            </w:r>
          </w:p>
        </w:tc>
        <w:tc>
          <w:tcPr>
            <w:tcW w:w="20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36" w:type="dxa"/>
            <w:vMerge w:val="continue"/>
            <w:tcBorders>
              <w:tl2br w:val="nil"/>
              <w:tr2bl w:val="nil"/>
            </w:tcBorders>
            <w:noWrap w:val="0"/>
            <w:vAlign w:val="top"/>
          </w:tcPr>
          <w:p>
            <w:pPr>
              <w:pStyle w:val="22"/>
              <w:rPr>
                <w:rFonts w:hint="eastAsia"/>
                <w:color w:val="auto"/>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Z6</w:t>
            </w:r>
          </w:p>
        </w:tc>
        <w:tc>
          <w:tcPr>
            <w:tcW w:w="18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w:t>
            </w:r>
          </w:p>
        </w:tc>
        <w:tc>
          <w:tcPr>
            <w:tcW w:w="24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g125.294960，45.798586</w:t>
            </w:r>
          </w:p>
        </w:tc>
        <w:tc>
          <w:tcPr>
            <w:tcW w:w="20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36" w:type="dxa"/>
            <w:vMerge w:val="continue"/>
            <w:tcBorders>
              <w:tl2br w:val="nil"/>
              <w:tr2bl w:val="nil"/>
            </w:tcBorders>
            <w:noWrap w:val="0"/>
            <w:vAlign w:val="top"/>
          </w:tcPr>
          <w:p>
            <w:pPr>
              <w:pStyle w:val="22"/>
              <w:rPr>
                <w:rFonts w:hint="eastAsia"/>
                <w:color w:val="auto"/>
                <w:highlight w:val="none"/>
                <w:vertAlign w:val="baseline"/>
                <w:lang w:val="en-US" w:eastAsia="zh-CN"/>
              </w:rPr>
            </w:pP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）监测因子</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连续等效</w:t>
      </w:r>
      <w:r>
        <w:rPr>
          <w:rFonts w:hint="default" w:ascii="Times New Roman" w:hAnsi="Times New Roman" w:eastAsia="宋体" w:cs="Times New Roman"/>
          <w:color w:val="auto"/>
          <w:kern w:val="0"/>
          <w:sz w:val="28"/>
          <w:szCs w:val="28"/>
          <w:highlight w:val="none"/>
          <w:lang w:val="en-US" w:eastAsia="zh-CN" w:bidi="ar"/>
        </w:rPr>
        <w:t>A</w:t>
      </w:r>
      <w:r>
        <w:rPr>
          <w:rFonts w:hint="eastAsia" w:ascii="Times New Roman" w:hAnsi="Times New Roman" w:eastAsia="宋体" w:cs="Times New Roman"/>
          <w:color w:val="auto"/>
          <w:kern w:val="0"/>
          <w:sz w:val="28"/>
          <w:szCs w:val="28"/>
          <w:highlight w:val="none"/>
          <w:lang w:val="en-US" w:eastAsia="zh-CN" w:bidi="ar"/>
        </w:rPr>
        <w:t>声级。</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）监测时间</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2022</w:t>
      </w:r>
      <w:r>
        <w:rPr>
          <w:rFonts w:hint="eastAsia" w:ascii="Times New Roman" w:hAnsi="Times New Roman" w:eastAsia="宋体" w:cs="Times New Roman"/>
          <w:color w:val="auto"/>
          <w:kern w:val="0"/>
          <w:sz w:val="28"/>
          <w:szCs w:val="28"/>
          <w:highlight w:val="none"/>
          <w:lang w:val="en-US" w:eastAsia="zh-CN" w:bidi="ar"/>
        </w:rPr>
        <w:t>年5月20日</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5月21日进行监测，监测时间为两天，分昼间、夜间两个时段进行。</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）监测结果</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监测结果见表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1。</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szCs w:val="24"/>
          <w:highlight w:val="none"/>
          <w:lang w:val="en-US" w:eastAsia="zh-CN" w:bidi="ar"/>
        </w:rPr>
        <w:t>1噪声现状监测统计表  单位：</w:t>
      </w:r>
      <w:r>
        <w:rPr>
          <w:rFonts w:hint="default" w:ascii="Times New Roman" w:hAnsi="Times New Roman" w:eastAsia="宋体" w:cs="Times New Roman"/>
          <w:b/>
          <w:bCs/>
          <w:color w:val="auto"/>
          <w:kern w:val="0"/>
          <w:sz w:val="24"/>
          <w:szCs w:val="24"/>
          <w:highlight w:val="none"/>
          <w:lang w:val="en-US" w:eastAsia="zh-CN" w:bidi="ar"/>
        </w:rPr>
        <w:t>[dB(A)]</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24"/>
        <w:gridCol w:w="1365"/>
        <w:gridCol w:w="1520"/>
        <w:gridCol w:w="1703"/>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监测点位</w:t>
            </w:r>
          </w:p>
        </w:tc>
        <w:tc>
          <w:tcPr>
            <w:tcW w:w="2885"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昼间</w:t>
            </w:r>
          </w:p>
        </w:tc>
        <w:tc>
          <w:tcPr>
            <w:tcW w:w="340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6292"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2022.5.20</w:t>
            </w:r>
          </w:p>
        </w:tc>
        <w:tc>
          <w:tcPr>
            <w:tcW w:w="15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2022.5.21</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2022.5.20</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2022.5.21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李家窝棚</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52.6</w:t>
            </w:r>
          </w:p>
        </w:tc>
        <w:tc>
          <w:tcPr>
            <w:tcW w:w="15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53.0</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41.4</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三门董家</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51.7</w:t>
            </w:r>
          </w:p>
        </w:tc>
        <w:tc>
          <w:tcPr>
            <w:tcW w:w="15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52.5</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40.9</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范家窝棚</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53.1</w:t>
            </w:r>
          </w:p>
        </w:tc>
        <w:tc>
          <w:tcPr>
            <w:tcW w:w="15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52.8</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43.3</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49.4</w:t>
            </w:r>
          </w:p>
        </w:tc>
        <w:tc>
          <w:tcPr>
            <w:tcW w:w="15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49.9</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40.7</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49.8</w:t>
            </w:r>
          </w:p>
        </w:tc>
        <w:tc>
          <w:tcPr>
            <w:tcW w:w="15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49.7</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39.7</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拟建肇深19-平2井</w:t>
            </w:r>
          </w:p>
        </w:tc>
        <w:tc>
          <w:tcPr>
            <w:tcW w:w="13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50.0</w:t>
            </w:r>
          </w:p>
        </w:tc>
        <w:tc>
          <w:tcPr>
            <w:tcW w:w="15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50.1</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41.2</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40.5</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（2）现状评价</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监测结果显示，评价区域附近声环境保护目标声环境能够满足《声环境质量标准》（</w:t>
      </w:r>
      <w:r>
        <w:rPr>
          <w:rFonts w:hint="default" w:ascii="Times New Roman" w:hAnsi="Times New Roman" w:eastAsia="宋体" w:cs="Times New Roman"/>
          <w:color w:val="auto"/>
          <w:kern w:val="0"/>
          <w:sz w:val="28"/>
          <w:szCs w:val="28"/>
          <w:highlight w:val="none"/>
          <w:lang w:val="en-US" w:eastAsia="zh-CN" w:bidi="ar"/>
        </w:rPr>
        <w:t>GB3096-2008</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类标准，现状良好，项目所在区域声环境满足《声环境质量标准》（</w:t>
      </w:r>
      <w:r>
        <w:rPr>
          <w:rFonts w:hint="default" w:ascii="Times New Roman" w:hAnsi="Times New Roman" w:eastAsia="宋体" w:cs="Times New Roman"/>
          <w:color w:val="auto"/>
          <w:kern w:val="0"/>
          <w:sz w:val="28"/>
          <w:szCs w:val="28"/>
          <w:highlight w:val="none"/>
          <w:lang w:val="en-US" w:eastAsia="zh-CN" w:bidi="ar"/>
        </w:rPr>
        <w:t>GB3096-2008</w:t>
      </w:r>
      <w:r>
        <w:rPr>
          <w:rFonts w:hint="eastAsia" w:ascii="Times New Roman" w:hAnsi="Times New Roman" w:eastAsia="宋体" w:cs="Times New Roman"/>
          <w:color w:val="auto"/>
          <w:kern w:val="0"/>
          <w:sz w:val="28"/>
          <w:szCs w:val="28"/>
          <w:highlight w:val="none"/>
          <w:lang w:val="en-US" w:eastAsia="zh-CN" w:bidi="ar"/>
        </w:rPr>
        <w:t>）2类标准。</w:t>
      </w:r>
    </w:p>
    <w:p>
      <w:pPr>
        <w:keepNext w:val="0"/>
        <w:keepLines w:val="0"/>
        <w:widowControl/>
        <w:suppressLineNumbers w:val="0"/>
        <w:spacing w:line="360" w:lineRule="auto"/>
        <w:jc w:val="both"/>
        <w:rPr>
          <w:rFonts w:hint="eastAsia" w:ascii="Times New Roman" w:hAnsi="Times New Roman" w:eastAsia="宋体" w:cs="Times New Roman"/>
          <w:b w:val="0"/>
          <w:bCs w:val="0"/>
          <w:color w:val="auto"/>
          <w:kern w:val="0"/>
          <w:sz w:val="28"/>
          <w:szCs w:val="28"/>
          <w:highlight w:val="none"/>
          <w:lang w:val="en-US" w:eastAsia="zh-CN" w:bidi="ar"/>
        </w:rPr>
      </w:pPr>
      <w:r>
        <w:rPr>
          <w:rFonts w:hint="default" w:ascii="Times New Roman" w:hAnsi="Times New Roman" w:eastAsia="宋体" w:cs="Times New Roman"/>
          <w:b w:val="0"/>
          <w:bCs w:val="0"/>
          <w:color w:val="auto"/>
          <w:kern w:val="0"/>
          <w:sz w:val="28"/>
          <w:szCs w:val="28"/>
          <w:highlight w:val="none"/>
          <w:lang w:val="en-US" w:eastAsia="zh-CN" w:bidi="ar"/>
        </w:rPr>
        <w:t>4.</w:t>
      </w:r>
      <w:r>
        <w:rPr>
          <w:rFonts w:hint="eastAsia" w:ascii="Times New Roman" w:hAnsi="Times New Roman" w:eastAsia="宋体" w:cs="Times New Roman"/>
          <w:b w:val="0"/>
          <w:bCs w:val="0"/>
          <w:color w:val="auto"/>
          <w:kern w:val="0"/>
          <w:sz w:val="28"/>
          <w:szCs w:val="28"/>
          <w:highlight w:val="none"/>
          <w:lang w:val="en-US" w:eastAsia="zh-CN" w:bidi="ar"/>
        </w:rPr>
        <w:t>2</w:t>
      </w:r>
      <w:r>
        <w:rPr>
          <w:rFonts w:hint="default" w:ascii="Times New Roman" w:hAnsi="Times New Roman" w:eastAsia="宋体" w:cs="Times New Roman"/>
          <w:b w:val="0"/>
          <w:bCs w:val="0"/>
          <w:color w:val="auto"/>
          <w:kern w:val="0"/>
          <w:sz w:val="28"/>
          <w:szCs w:val="28"/>
          <w:highlight w:val="none"/>
          <w:lang w:val="en-US" w:eastAsia="zh-CN" w:bidi="ar"/>
        </w:rPr>
        <w:t>.</w:t>
      </w:r>
      <w:r>
        <w:rPr>
          <w:rFonts w:hint="eastAsia" w:ascii="Times New Roman" w:hAnsi="Times New Roman" w:eastAsia="宋体" w:cs="Times New Roman"/>
          <w:b w:val="0"/>
          <w:bCs w:val="0"/>
          <w:color w:val="auto"/>
          <w:kern w:val="0"/>
          <w:sz w:val="28"/>
          <w:szCs w:val="28"/>
          <w:highlight w:val="none"/>
          <w:lang w:val="en-US" w:eastAsia="zh-CN" w:bidi="ar"/>
        </w:rPr>
        <w:t>4土壤质量现状监测与评价</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（1）土壤理化特性调查</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在充分收集资料的基础上，根据土壤环境影响类型、建设项目特征与评价需要，有针对性地选择土壤理化特性调查内容，主要包括土体构型、土壤结构、土壤质地、阳离子交换量、氧化还原电位、饱和导水率、土壤容重、孔隙度等，具体土壤理化特性调查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12。</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表4.2-12土壤理化性质调查表</w:t>
      </w:r>
    </w:p>
    <w:tbl>
      <w:tblPr>
        <w:tblStyle w:val="19"/>
        <w:tblW w:w="4998"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4"/>
        <w:gridCol w:w="2258"/>
        <w:gridCol w:w="1431"/>
        <w:gridCol w:w="1243"/>
        <w:gridCol w:w="1201"/>
        <w:gridCol w:w="19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2" w:hRule="atLeast"/>
        </w:trPr>
        <w:tc>
          <w:tcPr>
            <w:tcW w:w="159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点号</w:t>
            </w:r>
          </w:p>
        </w:tc>
        <w:tc>
          <w:tcPr>
            <w:tcW w:w="157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S1</w:t>
            </w:r>
          </w:p>
        </w:tc>
        <w:tc>
          <w:tcPr>
            <w:tcW w:w="7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时间</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2022.05.20-05.30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59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坐标</w:t>
            </w:r>
          </w:p>
        </w:tc>
        <w:tc>
          <w:tcPr>
            <w:tcW w:w="3400"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g125.282881，45.808212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59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层次</w:t>
            </w:r>
          </w:p>
        </w:tc>
        <w:tc>
          <w:tcPr>
            <w:tcW w:w="8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0-0.5m</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(0.5-1.5m)</w:t>
            </w:r>
          </w:p>
        </w:tc>
        <w:tc>
          <w:tcPr>
            <w:tcW w:w="7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1.5-3m</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现场记录</w:t>
            </w: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颜色</w:t>
            </w:r>
          </w:p>
        </w:tc>
        <w:tc>
          <w:tcPr>
            <w:tcW w:w="8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褐色</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褐色</w:t>
            </w:r>
          </w:p>
        </w:tc>
        <w:tc>
          <w:tcPr>
            <w:tcW w:w="7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褐色</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结构</w:t>
            </w:r>
          </w:p>
        </w:tc>
        <w:tc>
          <w:tcPr>
            <w:tcW w:w="8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粘土</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粘土</w:t>
            </w:r>
          </w:p>
        </w:tc>
        <w:tc>
          <w:tcPr>
            <w:tcW w:w="7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粘土</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质地</w:t>
            </w:r>
          </w:p>
        </w:tc>
        <w:tc>
          <w:tcPr>
            <w:tcW w:w="8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团粒状</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粒状</w:t>
            </w:r>
          </w:p>
        </w:tc>
        <w:tc>
          <w:tcPr>
            <w:tcW w:w="7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粒状</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沙粒含量</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w:t>
            </w:r>
            <w:r>
              <w:rPr>
                <w:rFonts w:hint="eastAsia" w:ascii="Times New Roman" w:hAnsi="Times New Roman" w:cs="Times New Roman"/>
                <w:color w:val="auto"/>
                <w:sz w:val="24"/>
                <w:szCs w:val="24"/>
                <w:highlight w:val="none"/>
                <w:vertAlign w:val="baseline"/>
                <w:lang w:val="en-US" w:eastAsia="zh-CN"/>
              </w:rPr>
              <w:t>0</w:t>
            </w:r>
          </w:p>
        </w:tc>
        <w:tc>
          <w:tcPr>
            <w:tcW w:w="12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18.9</w:t>
            </w:r>
          </w:p>
        </w:tc>
        <w:tc>
          <w:tcPr>
            <w:tcW w:w="12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17.4</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其他异物</w:t>
            </w:r>
          </w:p>
        </w:tc>
        <w:tc>
          <w:tcPr>
            <w:tcW w:w="8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植物根系</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w:t>
            </w:r>
          </w:p>
        </w:tc>
        <w:tc>
          <w:tcPr>
            <w:tcW w:w="7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实验室测定</w:t>
            </w: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pH</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w:t>
            </w:r>
          </w:p>
        </w:tc>
        <w:tc>
          <w:tcPr>
            <w:tcW w:w="12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7.8</w:t>
            </w:r>
          </w:p>
        </w:tc>
        <w:tc>
          <w:tcPr>
            <w:tcW w:w="12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7.6</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阳离子交换量(cmol+/kg)</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14.6</w:t>
            </w:r>
          </w:p>
        </w:tc>
        <w:tc>
          <w:tcPr>
            <w:tcW w:w="12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14.8</w:t>
            </w:r>
          </w:p>
        </w:tc>
        <w:tc>
          <w:tcPr>
            <w:tcW w:w="12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13.2</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氧化还原电位（mv）</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178</w:t>
            </w:r>
          </w:p>
        </w:tc>
        <w:tc>
          <w:tcPr>
            <w:tcW w:w="12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164</w:t>
            </w:r>
          </w:p>
        </w:tc>
        <w:tc>
          <w:tcPr>
            <w:tcW w:w="12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138</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饱和导水率(cm/s)</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1.095</w:t>
            </w:r>
          </w:p>
        </w:tc>
        <w:tc>
          <w:tcPr>
            <w:tcW w:w="12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0.962</w:t>
            </w:r>
          </w:p>
        </w:tc>
        <w:tc>
          <w:tcPr>
            <w:tcW w:w="12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0.793</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土壤容重(kg/cm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w:t>
            </w:r>
            <w:r>
              <w:rPr>
                <w:rFonts w:hint="eastAsia" w:ascii="Times New Roman" w:hAnsi="Times New Roman" w:cs="Times New Roman"/>
                <w:color w:val="auto"/>
                <w:sz w:val="24"/>
                <w:szCs w:val="24"/>
                <w:highlight w:val="none"/>
                <w:vertAlign w:val="baseline"/>
                <w:lang w:val="en-US" w:eastAsia="zh-CN"/>
              </w:rPr>
              <w:t>0</w:t>
            </w:r>
          </w:p>
        </w:tc>
        <w:tc>
          <w:tcPr>
            <w:tcW w:w="12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1.45</w:t>
            </w:r>
          </w:p>
        </w:tc>
        <w:tc>
          <w:tcPr>
            <w:tcW w:w="12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1.46</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7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3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孔隙度</w:t>
            </w:r>
          </w:p>
        </w:tc>
        <w:tc>
          <w:tcPr>
            <w:tcW w:w="14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45</w:t>
            </w:r>
            <w:r>
              <w:rPr>
                <w:rFonts w:hint="eastAsia" w:ascii="Times New Roman" w:hAnsi="Times New Roman" w:cs="Times New Roman"/>
                <w:color w:val="auto"/>
                <w:sz w:val="24"/>
                <w:szCs w:val="24"/>
                <w:highlight w:val="none"/>
                <w:vertAlign w:val="baseline"/>
                <w:lang w:val="en-US" w:eastAsia="zh-CN"/>
              </w:rPr>
              <w:t>.1</w:t>
            </w:r>
          </w:p>
        </w:tc>
        <w:tc>
          <w:tcPr>
            <w:tcW w:w="12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45.3</w:t>
            </w:r>
          </w:p>
        </w:tc>
        <w:tc>
          <w:tcPr>
            <w:tcW w:w="12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44.9</w:t>
            </w:r>
          </w:p>
        </w:tc>
        <w:tc>
          <w:tcPr>
            <w:tcW w:w="11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（2）现状监测</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1）监测布点</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根据《环境影响评价技术导则 土壤》（HJ964-2018）导则规定及本项目占地土壤类型、土地利用类型，本项目布设6个土壤监测点，其中占地范围内柱状样3个，表层样1个，占地外表层样2个。监测布点见表4.2-13。</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表4.2-1</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土壤监测点位表</w:t>
      </w:r>
    </w:p>
    <w:tbl>
      <w:tblPr>
        <w:tblStyle w:val="19"/>
        <w:tblW w:w="928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7"/>
        <w:gridCol w:w="1331"/>
        <w:gridCol w:w="1575"/>
        <w:gridCol w:w="3137"/>
        <w:gridCol w:w="26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编号</w:t>
            </w:r>
          </w:p>
        </w:tc>
        <w:tc>
          <w:tcPr>
            <w:tcW w:w="13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监测点</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名称</w:t>
            </w:r>
          </w:p>
        </w:tc>
        <w:tc>
          <w:tcPr>
            <w:tcW w:w="15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坐标</w:t>
            </w:r>
          </w:p>
        </w:tc>
        <w:tc>
          <w:tcPr>
            <w:tcW w:w="3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执行标准</w:t>
            </w:r>
          </w:p>
        </w:tc>
        <w:tc>
          <w:tcPr>
            <w:tcW w:w="2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t>
            </w:r>
            <w:r>
              <w:rPr>
                <w:rFonts w:hint="default" w:ascii="Times New Roman" w:hAnsi="Times New Roman" w:cs="Times New Roman"/>
                <w:color w:val="auto"/>
                <w:sz w:val="24"/>
                <w:szCs w:val="24"/>
                <w:highlight w:val="none"/>
                <w:vertAlign w:val="baseline"/>
                <w:lang w:val="en-US" w:eastAsia="zh-CN"/>
              </w:rPr>
              <w:t>1</w:t>
            </w:r>
          </w:p>
        </w:tc>
        <w:tc>
          <w:tcPr>
            <w:tcW w:w="13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w:t>
            </w:r>
          </w:p>
        </w:tc>
        <w:tc>
          <w:tcPr>
            <w:tcW w:w="15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g125.282881，45.808212</w:t>
            </w:r>
          </w:p>
        </w:tc>
        <w:tc>
          <w:tcPr>
            <w:tcW w:w="31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《土壤环境质量 建设用地土壤污染风险管控标准（试行）》（GB36600-2018）第</w:t>
            </w:r>
            <w:r>
              <w:rPr>
                <w:rFonts w:hint="eastAsia" w:ascii="Times New Roman" w:hAnsi="Times New Roman" w:cs="Times New Roman"/>
                <w:color w:val="auto"/>
                <w:sz w:val="24"/>
                <w:szCs w:val="24"/>
                <w:highlight w:val="none"/>
                <w:vertAlign w:val="baseline"/>
                <w:lang w:val="en-US" w:eastAsia="zh-CN"/>
              </w:rPr>
              <w:t>二</w:t>
            </w:r>
            <w:r>
              <w:rPr>
                <w:rFonts w:hint="default" w:ascii="Times New Roman" w:hAnsi="Times New Roman" w:cs="Times New Roman"/>
                <w:color w:val="auto"/>
                <w:sz w:val="24"/>
                <w:szCs w:val="24"/>
                <w:highlight w:val="none"/>
                <w:vertAlign w:val="baseline"/>
                <w:lang w:val="en-US" w:eastAsia="zh-CN"/>
              </w:rPr>
              <w:t>类土壤污染风险筛选值</w:t>
            </w:r>
          </w:p>
        </w:tc>
        <w:tc>
          <w:tcPr>
            <w:tcW w:w="2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t>
            </w:r>
            <w:r>
              <w:rPr>
                <w:rFonts w:hint="default" w:ascii="Times New Roman" w:hAnsi="Times New Roman" w:cs="Times New Roman"/>
                <w:color w:val="auto"/>
                <w:sz w:val="24"/>
                <w:szCs w:val="24"/>
                <w:highlight w:val="none"/>
                <w:vertAlign w:val="baseline"/>
                <w:lang w:val="en-US" w:eastAsia="zh-CN"/>
              </w:rPr>
              <w:t>2</w:t>
            </w:r>
          </w:p>
        </w:tc>
        <w:tc>
          <w:tcPr>
            <w:tcW w:w="13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拟建肇深19-平2井</w:t>
            </w:r>
          </w:p>
        </w:tc>
        <w:tc>
          <w:tcPr>
            <w:tcW w:w="15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g125.283716，45.805633</w:t>
            </w:r>
          </w:p>
        </w:tc>
        <w:tc>
          <w:tcPr>
            <w:tcW w:w="31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t>
            </w:r>
            <w:r>
              <w:rPr>
                <w:rFonts w:hint="default" w:ascii="Times New Roman" w:hAnsi="Times New Roman" w:cs="Times New Roman"/>
                <w:color w:val="auto"/>
                <w:sz w:val="24"/>
                <w:szCs w:val="24"/>
                <w:highlight w:val="none"/>
                <w:vertAlign w:val="baseline"/>
                <w:lang w:val="en-US" w:eastAsia="zh-CN"/>
              </w:rPr>
              <w:t>3</w:t>
            </w:r>
          </w:p>
        </w:tc>
        <w:tc>
          <w:tcPr>
            <w:tcW w:w="133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w:t>
            </w:r>
          </w:p>
        </w:tc>
        <w:tc>
          <w:tcPr>
            <w:tcW w:w="157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g125.294960，45.798586</w:t>
            </w:r>
          </w:p>
        </w:tc>
        <w:tc>
          <w:tcPr>
            <w:tcW w:w="31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t>
            </w:r>
            <w:r>
              <w:rPr>
                <w:rFonts w:hint="default" w:ascii="Times New Roman" w:hAnsi="Times New Roman" w:cs="Times New Roman"/>
                <w:color w:val="auto"/>
                <w:sz w:val="24"/>
                <w:szCs w:val="24"/>
                <w:highlight w:val="none"/>
                <w:vertAlign w:val="baseline"/>
                <w:lang w:val="en-US" w:eastAsia="zh-CN"/>
              </w:rPr>
              <w:t>4</w:t>
            </w:r>
          </w:p>
        </w:tc>
        <w:tc>
          <w:tcPr>
            <w:tcW w:w="13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5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c>
          <w:tcPr>
            <w:tcW w:w="31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t>
            </w:r>
            <w:r>
              <w:rPr>
                <w:rFonts w:hint="default" w:ascii="Times New Roman" w:hAnsi="Times New Roman" w:cs="Times New Roman"/>
                <w:color w:val="auto"/>
                <w:sz w:val="24"/>
                <w:szCs w:val="24"/>
                <w:highlight w:val="none"/>
                <w:vertAlign w:val="baseline"/>
                <w:lang w:val="en-US" w:eastAsia="zh-CN"/>
              </w:rPr>
              <w:t>5</w:t>
            </w:r>
          </w:p>
        </w:tc>
        <w:tc>
          <w:tcPr>
            <w:tcW w:w="13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拟建肇深19-平3井东侧耕地</w:t>
            </w:r>
          </w:p>
        </w:tc>
        <w:tc>
          <w:tcPr>
            <w:tcW w:w="15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w:t>
            </w:r>
            <w:r>
              <w:rPr>
                <w:rFonts w:hint="default" w:ascii="Times New Roman" w:hAnsi="Times New Roman" w:cs="Times New Roman"/>
                <w:color w:val="auto"/>
                <w:sz w:val="24"/>
                <w:szCs w:val="24"/>
                <w:highlight w:val="none"/>
                <w:vertAlign w:val="baseline"/>
                <w:lang w:val="en-US" w:eastAsia="zh-CN"/>
              </w:rPr>
              <w:t>125.284261</w:t>
            </w:r>
            <w:r>
              <w:rPr>
                <w:rFonts w:hint="eastAsia" w:ascii="Times New Roman" w:hAnsi="Times New Roman" w:cs="Times New Roman"/>
                <w:color w:val="auto"/>
                <w:sz w:val="24"/>
                <w:szCs w:val="24"/>
                <w:highlight w:val="none"/>
                <w:vertAlign w:val="baseline"/>
                <w:lang w:val="en-US" w:eastAsia="zh-CN"/>
              </w:rPr>
              <w:t>，45.808468</w:t>
            </w:r>
          </w:p>
        </w:tc>
        <w:tc>
          <w:tcPr>
            <w:tcW w:w="3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《土壤环境质量 农用地土壤污染风险管控标准》（GB15618—2018）农用地土壤污染风险筛选值</w:t>
            </w:r>
          </w:p>
        </w:tc>
        <w:tc>
          <w:tcPr>
            <w:tcW w:w="2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S</w:t>
            </w:r>
            <w:r>
              <w:rPr>
                <w:rFonts w:hint="default" w:ascii="Times New Roman" w:hAnsi="Times New Roman" w:cs="Times New Roman"/>
                <w:color w:val="auto"/>
                <w:sz w:val="24"/>
                <w:szCs w:val="24"/>
                <w:highlight w:val="none"/>
                <w:vertAlign w:val="baseline"/>
                <w:lang w:val="en-US" w:eastAsia="zh-CN"/>
              </w:rPr>
              <w:t>6</w:t>
            </w:r>
          </w:p>
        </w:tc>
        <w:tc>
          <w:tcPr>
            <w:tcW w:w="13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李家窝棚</w:t>
            </w:r>
          </w:p>
        </w:tc>
        <w:tc>
          <w:tcPr>
            <w:tcW w:w="15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w:t>
            </w:r>
            <w:r>
              <w:rPr>
                <w:rFonts w:hint="default" w:ascii="Times New Roman" w:hAnsi="Times New Roman" w:cs="Times New Roman"/>
                <w:color w:val="auto"/>
                <w:sz w:val="24"/>
                <w:szCs w:val="24"/>
                <w:highlight w:val="none"/>
                <w:vertAlign w:val="baseline"/>
                <w:lang w:val="en-US" w:eastAsia="zh-CN"/>
              </w:rPr>
              <w:t>125.28194</w:t>
            </w:r>
            <w:r>
              <w:rPr>
                <w:rFonts w:hint="eastAsia" w:ascii="Times New Roman" w:hAnsi="Times New Roman" w:cs="Times New Roman"/>
                <w:color w:val="auto"/>
                <w:sz w:val="24"/>
                <w:szCs w:val="24"/>
                <w:highlight w:val="none"/>
                <w:vertAlign w:val="baseline"/>
                <w:lang w:val="en-US" w:eastAsia="zh-CN"/>
              </w:rPr>
              <w:t>6，45.810891</w:t>
            </w:r>
          </w:p>
        </w:tc>
        <w:tc>
          <w:tcPr>
            <w:tcW w:w="31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《土壤环境质量 建设用地土壤污染风险管控标准（试行）》（GB36600-2018）第</w:t>
            </w:r>
            <w:r>
              <w:rPr>
                <w:rFonts w:hint="eastAsia"/>
                <w:color w:val="auto"/>
                <w:highlight w:val="none"/>
                <w:lang w:val="en-US" w:eastAsia="zh-CN"/>
              </w:rPr>
              <w:t>一</w:t>
            </w:r>
            <w:r>
              <w:rPr>
                <w:rFonts w:hint="default" w:ascii="Times New Roman" w:hAnsi="Times New Roman" w:cs="Times New Roman"/>
                <w:color w:val="auto"/>
                <w:sz w:val="24"/>
                <w:szCs w:val="24"/>
                <w:highlight w:val="none"/>
                <w:vertAlign w:val="baseline"/>
                <w:lang w:val="en-US" w:eastAsia="zh-CN"/>
              </w:rPr>
              <w:t>类土壤污染风险筛选值</w:t>
            </w:r>
          </w:p>
        </w:tc>
        <w:tc>
          <w:tcPr>
            <w:tcW w:w="2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采取表层样，在0~0.2m取样</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监测因子</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S1、S4：pH、石油烃（C</w:t>
      </w:r>
      <w:r>
        <w:rPr>
          <w:rFonts w:hint="eastAsia" w:ascii="Times New Roman" w:hAnsi="Times New Roman" w:eastAsia="宋体" w:cs="Times New Roman"/>
          <w:color w:val="auto"/>
          <w:kern w:val="0"/>
          <w:sz w:val="28"/>
          <w:szCs w:val="28"/>
          <w:highlight w:val="none"/>
          <w:vertAlign w:val="subscript"/>
          <w:lang w:val="en-US" w:eastAsia="zh-CN" w:bidi="ar"/>
        </w:rPr>
        <w:t>10</w:t>
      </w:r>
      <w:r>
        <w:rPr>
          <w:rFonts w:hint="eastAsia" w:ascii="Times New Roman" w:hAnsi="Times New Roman" w:eastAsia="宋体" w:cs="Times New Roman"/>
          <w:color w:val="auto"/>
          <w:kern w:val="0"/>
          <w:sz w:val="28"/>
          <w:szCs w:val="28"/>
          <w:highlight w:val="none"/>
          <w:lang w:val="en-US" w:eastAsia="zh-CN" w:bidi="ar"/>
        </w:rPr>
        <w:t>-C</w:t>
      </w:r>
      <w:r>
        <w:rPr>
          <w:rFonts w:hint="eastAsia" w:ascii="Times New Roman" w:hAnsi="Times New Roman" w:eastAsia="宋体" w:cs="Times New Roman"/>
          <w:color w:val="auto"/>
          <w:kern w:val="0"/>
          <w:sz w:val="28"/>
          <w:szCs w:val="28"/>
          <w:highlight w:val="none"/>
          <w:vertAlign w:val="subscript"/>
          <w:lang w:val="en-US" w:eastAsia="zh-CN" w:bidi="ar"/>
        </w:rPr>
        <w:t>40</w:t>
      </w:r>
      <w:r>
        <w:rPr>
          <w:rFonts w:hint="eastAsia" w:ascii="Times New Roman" w:hAnsi="Times New Roman" w:eastAsia="宋体" w:cs="Times New Roman"/>
          <w:color w:val="auto"/>
          <w:kern w:val="0"/>
          <w:sz w:val="28"/>
          <w:szCs w:val="28"/>
          <w:highlight w:val="none"/>
          <w:lang w:val="en-US" w:eastAsia="zh-CN" w:bidi="ar"/>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4-二氯苯、1，2-二氯苯、乙苯、苯乙烯、甲苯、间+对二甲苯、邻二甲苯、硝基苯、苯胺、2-氯酚、苯并〔a〕蒽、苯并〔a〕芘、苯并〔b〕荧蒽、苯并〔k〕荧蒽、䓛、二苯并〔a，h〕蒽、茚并〔1，2，3-cd〕芘、萘；</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S2、S3、S6：pH、石油烃（C</w:t>
      </w:r>
      <w:r>
        <w:rPr>
          <w:rFonts w:hint="eastAsia" w:ascii="Times New Roman" w:hAnsi="Times New Roman" w:eastAsia="宋体" w:cs="Times New Roman"/>
          <w:color w:val="auto"/>
          <w:kern w:val="0"/>
          <w:sz w:val="28"/>
          <w:szCs w:val="28"/>
          <w:highlight w:val="none"/>
          <w:vertAlign w:val="subscript"/>
          <w:lang w:val="en-US" w:eastAsia="zh-CN" w:bidi="ar"/>
        </w:rPr>
        <w:t>10</w:t>
      </w:r>
      <w:r>
        <w:rPr>
          <w:rFonts w:hint="eastAsia" w:ascii="Times New Roman" w:hAnsi="Times New Roman" w:eastAsia="宋体" w:cs="Times New Roman"/>
          <w:color w:val="auto"/>
          <w:kern w:val="0"/>
          <w:sz w:val="28"/>
          <w:szCs w:val="28"/>
          <w:highlight w:val="none"/>
          <w:lang w:val="en-US" w:eastAsia="zh-CN" w:bidi="ar"/>
        </w:rPr>
        <w:t>-C</w:t>
      </w:r>
      <w:r>
        <w:rPr>
          <w:rFonts w:hint="eastAsia" w:ascii="Times New Roman" w:hAnsi="Times New Roman" w:eastAsia="宋体" w:cs="Times New Roman"/>
          <w:color w:val="auto"/>
          <w:kern w:val="0"/>
          <w:sz w:val="28"/>
          <w:szCs w:val="28"/>
          <w:highlight w:val="none"/>
          <w:vertAlign w:val="subscript"/>
          <w:lang w:val="en-US" w:eastAsia="zh-CN" w:bidi="ar"/>
        </w:rPr>
        <w:t>40</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S5：</w:t>
      </w:r>
      <w:r>
        <w:rPr>
          <w:rFonts w:hint="default" w:ascii="Times New Roman" w:hAnsi="Times New Roman" w:eastAsia="宋体" w:cs="Times New Roman"/>
          <w:color w:val="auto"/>
          <w:kern w:val="0"/>
          <w:sz w:val="28"/>
          <w:szCs w:val="28"/>
          <w:highlight w:val="none"/>
          <w:lang w:val="en-US" w:eastAsia="zh-CN" w:bidi="ar"/>
        </w:rPr>
        <w:t>pH、石油烃</w:t>
      </w:r>
      <w:r>
        <w:rPr>
          <w:rFonts w:hint="eastAsia" w:ascii="Times New Roman" w:hAnsi="Times New Roman" w:eastAsia="宋体" w:cs="Times New Roman"/>
          <w:color w:val="auto"/>
          <w:kern w:val="0"/>
          <w:sz w:val="28"/>
          <w:szCs w:val="28"/>
          <w:highlight w:val="none"/>
          <w:lang w:val="en-US" w:eastAsia="zh-CN" w:bidi="ar"/>
        </w:rPr>
        <w:t>（C</w:t>
      </w:r>
      <w:r>
        <w:rPr>
          <w:rFonts w:hint="eastAsia" w:ascii="Times New Roman" w:hAnsi="Times New Roman" w:eastAsia="宋体" w:cs="Times New Roman"/>
          <w:color w:val="auto"/>
          <w:kern w:val="0"/>
          <w:sz w:val="28"/>
          <w:szCs w:val="28"/>
          <w:highlight w:val="none"/>
          <w:vertAlign w:val="subscript"/>
          <w:lang w:val="en-US" w:eastAsia="zh-CN" w:bidi="ar"/>
        </w:rPr>
        <w:t>10</w:t>
      </w:r>
      <w:r>
        <w:rPr>
          <w:rFonts w:hint="eastAsia" w:ascii="Times New Roman" w:hAnsi="Times New Roman" w:eastAsia="宋体" w:cs="Times New Roman"/>
          <w:color w:val="auto"/>
          <w:kern w:val="0"/>
          <w:sz w:val="28"/>
          <w:szCs w:val="28"/>
          <w:highlight w:val="none"/>
          <w:lang w:val="en-US" w:eastAsia="zh-CN" w:bidi="ar"/>
        </w:rPr>
        <w:t>-C</w:t>
      </w:r>
      <w:r>
        <w:rPr>
          <w:rFonts w:hint="eastAsia" w:ascii="Times New Roman" w:hAnsi="Times New Roman" w:eastAsia="宋体" w:cs="Times New Roman"/>
          <w:color w:val="auto"/>
          <w:kern w:val="0"/>
          <w:sz w:val="28"/>
          <w:szCs w:val="28"/>
          <w:highlight w:val="none"/>
          <w:vertAlign w:val="subscript"/>
          <w:lang w:val="en-US" w:eastAsia="zh-CN" w:bidi="ar"/>
        </w:rPr>
        <w:t>40</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、镉、铬、锌、铜、铅、汞、镍、砷。</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3）监测时间及频率</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2022年</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20</w:t>
      </w:r>
      <w:r>
        <w:rPr>
          <w:rFonts w:hint="default" w:ascii="Times New Roman" w:hAnsi="Times New Roman" w:eastAsia="宋体" w:cs="Times New Roman"/>
          <w:color w:val="auto"/>
          <w:kern w:val="0"/>
          <w:sz w:val="28"/>
          <w:szCs w:val="28"/>
          <w:highlight w:val="none"/>
          <w:lang w:val="en-US" w:eastAsia="zh-CN" w:bidi="ar"/>
        </w:rPr>
        <w:t>日一次性采样。</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4）监测结果</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监测结果见表4.2-</w:t>
      </w:r>
      <w:r>
        <w:rPr>
          <w:rFonts w:hint="eastAsia" w:ascii="Times New Roman" w:hAnsi="Times New Roman" w:eastAsia="宋体" w:cs="Times New Roman"/>
          <w:color w:val="auto"/>
          <w:kern w:val="0"/>
          <w:sz w:val="28"/>
          <w:szCs w:val="28"/>
          <w:highlight w:val="none"/>
          <w:lang w:val="en-US" w:eastAsia="zh-CN" w:bidi="ar"/>
        </w:rPr>
        <w:t>14</w:t>
      </w:r>
      <w:r>
        <w:rPr>
          <w:rFonts w:hint="default" w:ascii="Times New Roman" w:hAnsi="Times New Roman" w:eastAsia="宋体" w:cs="Times New Roman"/>
          <w:color w:val="auto"/>
          <w:kern w:val="0"/>
          <w:sz w:val="28"/>
          <w:szCs w:val="28"/>
          <w:highlight w:val="none"/>
          <w:lang w:val="en-US" w:eastAsia="zh-CN" w:bidi="ar"/>
        </w:rPr>
        <w:t>，监测报告见附件。</w:t>
      </w:r>
    </w:p>
    <w:p>
      <w:pP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br w:type="page"/>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表4.2-14建设用地土壤现状监测结果</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2"/>
        <w:gridCol w:w="1328"/>
        <w:gridCol w:w="991"/>
        <w:gridCol w:w="1048"/>
        <w:gridCol w:w="1103"/>
        <w:gridCol w:w="1247"/>
        <w:gridCol w:w="1104"/>
        <w:gridCol w:w="11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序号</w:t>
            </w:r>
          </w:p>
        </w:tc>
        <w:tc>
          <w:tcPr>
            <w:tcW w:w="1969" w:type="dxa"/>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污染物项目</w:t>
            </w:r>
          </w:p>
        </w:tc>
        <w:tc>
          <w:tcPr>
            <w:tcW w:w="1669" w:type="dxa"/>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标准值</w:t>
            </w:r>
          </w:p>
        </w:tc>
        <w:tc>
          <w:tcPr>
            <w:tcW w:w="1894" w:type="dxa"/>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单位</w:t>
            </w:r>
          </w:p>
        </w:tc>
        <w:tc>
          <w:tcPr>
            <w:tcW w:w="7816" w:type="dxa"/>
            <w:gridSpan w:val="4"/>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trPr>
        <w:tc>
          <w:tcPr>
            <w:tcW w:w="826"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969"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669"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894"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5645" w:type="dxa"/>
            <w:gridSpan w:val="3"/>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S4肇深19-斜1井</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S4肇深19-斜1井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969"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669"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894"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0-0.5m</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0.5-1.5m</w:t>
            </w:r>
          </w:p>
        </w:tc>
        <w:tc>
          <w:tcPr>
            <w:tcW w:w="1883"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1.5-3m</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969"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669"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894"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7816" w:type="dxa"/>
            <w:gridSpan w:val="4"/>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2022.5.20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镉</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65</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0.22</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0.34</w:t>
            </w:r>
          </w:p>
        </w:tc>
        <w:tc>
          <w:tcPr>
            <w:tcW w:w="1883"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0.20</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2.68</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3.33</w:t>
            </w:r>
          </w:p>
        </w:tc>
        <w:tc>
          <w:tcPr>
            <w:tcW w:w="1883"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4.24</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汞</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38</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092</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087</w:t>
            </w:r>
          </w:p>
        </w:tc>
        <w:tc>
          <w:tcPr>
            <w:tcW w:w="1883"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071</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铅</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800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36.1</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28.2</w:t>
            </w:r>
          </w:p>
        </w:tc>
        <w:tc>
          <w:tcPr>
            <w:tcW w:w="1883"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36.5</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六价铬</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5.7</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lang w:val="en-US" w:eastAsia="zh-CN"/>
              </w:rPr>
              <w:t>L</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lang w:val="en-US" w:eastAsia="zh-CN"/>
              </w:rPr>
              <w:t>L</w:t>
            </w:r>
          </w:p>
        </w:tc>
        <w:tc>
          <w:tcPr>
            <w:tcW w:w="1883"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lang w:val="en-US" w:eastAsia="zh-CN"/>
              </w:rPr>
              <w:t>L</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铜</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18000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42</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w:t>
            </w:r>
          </w:p>
        </w:tc>
        <w:tc>
          <w:tcPr>
            <w:tcW w:w="1883"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37</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镍</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900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43</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39</w:t>
            </w:r>
          </w:p>
        </w:tc>
        <w:tc>
          <w:tcPr>
            <w:tcW w:w="1883"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46</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四氯化碳</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2.8</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氯仿</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0.9</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氯甲烷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37</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11</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1,1-二氯乙烷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1,2-二氯乙烷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13</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1,1-二氯乙烯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66</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14</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顺-1,2-二氯乙烯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596</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反-1,2-二氯乙烯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54</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16</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二氯甲烷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616</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17</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1,2-二氯丙烷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18</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1,1,1,2-四氯乙烷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19</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1,1,2,2-四氯乙烷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6.8</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四氯乙烯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53</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21</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1,1,1-三氯乙烷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840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22</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1,1,2-三氯乙烷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2.8</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23</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三氯乙烯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2.8</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24</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1,2,3-三氯丙烷</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0.5</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25</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氯乙烯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0.43</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26</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27</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氯苯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270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28</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1,2-二氯苯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560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29</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1,4-二氯苯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30</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乙苯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28</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31</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苯乙烯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1290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32</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甲苯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1200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间+对二甲苯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570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34</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邻二甲苯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640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35</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硝基苯</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76</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36</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苯胺</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260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37</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2-氯酚</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2256</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38</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苯并[a]蒽</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39</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苯并[a]芘</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40</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苯并[b]荧蒽</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41</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苯并[k]荧蒽</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151</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42</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䓛</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1293</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43</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二苯并[a，h]蒽</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44</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茚苯并[1,2,3-</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d]芘</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萘</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46</w:t>
            </w:r>
          </w:p>
        </w:tc>
        <w:tc>
          <w:tcPr>
            <w:tcW w:w="19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石油烃</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4500</w:t>
            </w:r>
          </w:p>
        </w:tc>
        <w:tc>
          <w:tcPr>
            <w:tcW w:w="1894"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c>
          <w:tcPr>
            <w:tcW w:w="1881"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c>
          <w:tcPr>
            <w:tcW w:w="1883"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6"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47</w:t>
            </w:r>
          </w:p>
        </w:tc>
        <w:tc>
          <w:tcPr>
            <w:tcW w:w="196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pH</w:t>
            </w:r>
          </w:p>
        </w:tc>
        <w:tc>
          <w:tcPr>
            <w:tcW w:w="166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894"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无量纲</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7.1</w:t>
            </w:r>
          </w:p>
        </w:tc>
        <w:tc>
          <w:tcPr>
            <w:tcW w:w="188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7.4</w:t>
            </w:r>
          </w:p>
        </w:tc>
        <w:tc>
          <w:tcPr>
            <w:tcW w:w="1883"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7.8</w:t>
            </w:r>
          </w:p>
        </w:tc>
        <w:tc>
          <w:tcPr>
            <w:tcW w:w="2171"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8.0</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注：“ND”代表低于最低检出限</w:t>
      </w:r>
    </w:p>
    <w:p>
      <w:pP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br w:type="page"/>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续表4.2-14建设用地土壤现状监测结果</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85"/>
        <w:gridCol w:w="1968"/>
        <w:gridCol w:w="2127"/>
        <w:gridCol w:w="21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98" w:type="pct"/>
            <w:gridSpan w:val="2"/>
            <w:vMerge w:val="restar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监测点位</w:t>
            </w:r>
          </w:p>
        </w:tc>
        <w:tc>
          <w:tcPr>
            <w:tcW w:w="2501" w:type="pct"/>
            <w:gridSpan w:val="2"/>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98" w:type="pct"/>
            <w:gridSpan w:val="2"/>
            <w:vMerge w:val="continue"/>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p>
        </w:tc>
        <w:tc>
          <w:tcPr>
            <w:tcW w:w="1249"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pH</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石油烃（C</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40</w:t>
            </w: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9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单位</w:t>
            </w:r>
          </w:p>
        </w:tc>
        <w:tc>
          <w:tcPr>
            <w:tcW w:w="1249"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无量纲</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9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标准值</w:t>
            </w:r>
          </w:p>
        </w:tc>
        <w:tc>
          <w:tcPr>
            <w:tcW w:w="1249"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4"/>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2022.5.20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2" w:type="pct"/>
            <w:vMerge w:val="restar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拟建肇深19-平2井S2</w:t>
            </w:r>
          </w:p>
        </w:tc>
        <w:tc>
          <w:tcPr>
            <w:tcW w:w="1155"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0-0.5m</w:t>
            </w:r>
          </w:p>
        </w:tc>
        <w:tc>
          <w:tcPr>
            <w:tcW w:w="1249"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7.7</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42"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p>
        </w:tc>
        <w:tc>
          <w:tcPr>
            <w:tcW w:w="1155"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0.5-1.5m</w:t>
            </w:r>
          </w:p>
        </w:tc>
        <w:tc>
          <w:tcPr>
            <w:tcW w:w="1249"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7.5</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2"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p>
        </w:tc>
        <w:tc>
          <w:tcPr>
            <w:tcW w:w="1155"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1.5-3m</w:t>
            </w:r>
          </w:p>
        </w:tc>
        <w:tc>
          <w:tcPr>
            <w:tcW w:w="1249"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8.1</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2" w:type="pct"/>
            <w:vMerge w:val="restar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拟建肇深19-斜1井S3</w:t>
            </w:r>
          </w:p>
        </w:tc>
        <w:tc>
          <w:tcPr>
            <w:tcW w:w="1155"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0-0.5m</w:t>
            </w:r>
          </w:p>
        </w:tc>
        <w:tc>
          <w:tcPr>
            <w:tcW w:w="1249"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7.2</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2"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p>
        </w:tc>
        <w:tc>
          <w:tcPr>
            <w:tcW w:w="1155"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0.5-1.5m</w:t>
            </w:r>
          </w:p>
        </w:tc>
        <w:tc>
          <w:tcPr>
            <w:tcW w:w="1249"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7.6</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2"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p>
        </w:tc>
        <w:tc>
          <w:tcPr>
            <w:tcW w:w="1155"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1.5-3m</w:t>
            </w:r>
          </w:p>
        </w:tc>
        <w:tc>
          <w:tcPr>
            <w:tcW w:w="1249"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.0</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4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李家窝棚</w:t>
            </w:r>
            <w:r>
              <w:rPr>
                <w:rFonts w:hint="eastAsia" w:ascii="Times New Roman" w:hAnsi="Times New Roman" w:eastAsia="宋体" w:cs="Times New Roman"/>
                <w:color w:val="auto"/>
                <w:sz w:val="24"/>
                <w:szCs w:val="24"/>
                <w:highlight w:val="none"/>
                <w:lang w:val="en-US" w:eastAsia="zh-CN"/>
              </w:rPr>
              <w:t>S6</w:t>
            </w:r>
          </w:p>
        </w:tc>
        <w:tc>
          <w:tcPr>
            <w:tcW w:w="1155"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m</w:t>
            </w:r>
          </w:p>
        </w:tc>
        <w:tc>
          <w:tcPr>
            <w:tcW w:w="1249"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8.7</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表4.2-15农用地土壤现状监测结果</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监测项目</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监测点位</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监测数据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3"/>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肇深19-平3井东侧耕地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3"/>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2022.5.20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镉</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0.22</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砷</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4.71</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汞</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0.073</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铅</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36.5</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石油烃</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6L</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铜</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44</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镍</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铬</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锌</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mg/</w:t>
            </w:r>
            <w:r>
              <w:rPr>
                <w:rFonts w:hint="eastAsia" w:ascii="Times New Roman" w:hAnsi="Times New Roman" w:eastAsia="宋体" w:cs="Times New Roman"/>
                <w:color w:val="auto"/>
                <w:sz w:val="24"/>
                <w:szCs w:val="24"/>
                <w:highlight w:val="none"/>
                <w:lang w:val="en-US" w:eastAsia="zh-CN"/>
              </w:rPr>
              <w:t>k</w:t>
            </w:r>
            <w:r>
              <w:rPr>
                <w:rFonts w:hint="default" w:ascii="Times New Roman" w:hAnsi="Times New Roman" w:eastAsia="宋体" w:cs="Times New Roman"/>
                <w:color w:val="auto"/>
                <w:sz w:val="24"/>
                <w:szCs w:val="24"/>
                <w:highlight w:val="none"/>
                <w:lang w:val="en-US" w:eastAsia="zh-CN"/>
              </w:rPr>
              <w:t>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pH</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8.2</w:t>
            </w:r>
          </w:p>
        </w:tc>
        <w:tc>
          <w:tcPr>
            <w:tcW w:w="283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无量纲</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（3）现状评价</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）评价方法</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采用指数法进行土壤环境质量现状评价，即通过指数的大小来反映土壤环境受污染的程度，指数小于1即为达标。公式为：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K</w:t>
      </w:r>
      <w:r>
        <w:rPr>
          <w:rFonts w:hint="default" w:ascii="Times New Roman" w:hAnsi="Times New Roman" w:eastAsia="宋体" w:cs="Times New Roman"/>
          <w:color w:val="auto"/>
          <w:kern w:val="0"/>
          <w:sz w:val="28"/>
          <w:szCs w:val="28"/>
          <w:highlight w:val="none"/>
          <w:vertAlign w:val="subscript"/>
          <w:lang w:val="en-US" w:eastAsia="zh-CN" w:bidi="ar"/>
        </w:rPr>
        <w:t>i</w:t>
      </w:r>
      <w:r>
        <w:rPr>
          <w:rFonts w:hint="default" w:ascii="Times New Roman" w:hAnsi="Times New Roman" w:eastAsia="宋体" w:cs="Times New Roman"/>
          <w:color w:val="auto"/>
          <w:kern w:val="0"/>
          <w:sz w:val="28"/>
          <w:szCs w:val="28"/>
          <w:highlight w:val="none"/>
          <w:lang w:val="en-US" w:eastAsia="zh-CN" w:bidi="ar"/>
        </w:rPr>
        <w:t>=X</w:t>
      </w:r>
      <w:r>
        <w:rPr>
          <w:rFonts w:hint="default" w:ascii="Times New Roman" w:hAnsi="Times New Roman" w:eastAsia="宋体" w:cs="Times New Roman"/>
          <w:color w:val="auto"/>
          <w:kern w:val="0"/>
          <w:sz w:val="28"/>
          <w:szCs w:val="28"/>
          <w:highlight w:val="none"/>
          <w:vertAlign w:val="subscript"/>
          <w:lang w:val="en-US" w:eastAsia="zh-CN" w:bidi="ar"/>
        </w:rPr>
        <w:t>i</w:t>
      </w:r>
      <w:r>
        <w:rPr>
          <w:rFonts w:hint="default" w:ascii="Times New Roman" w:hAnsi="Times New Roman" w:eastAsia="宋体" w:cs="Times New Roman"/>
          <w:color w:val="auto"/>
          <w:kern w:val="0"/>
          <w:sz w:val="28"/>
          <w:szCs w:val="28"/>
          <w:highlight w:val="none"/>
          <w:lang w:val="en-US" w:eastAsia="zh-CN" w:bidi="ar"/>
        </w:rPr>
        <w:t>/X</w:t>
      </w:r>
      <w:r>
        <w:rPr>
          <w:rFonts w:hint="default" w:ascii="Times New Roman" w:hAnsi="Times New Roman" w:eastAsia="宋体" w:cs="Times New Roman"/>
          <w:color w:val="auto"/>
          <w:kern w:val="0"/>
          <w:sz w:val="28"/>
          <w:szCs w:val="28"/>
          <w:highlight w:val="none"/>
          <w:vertAlign w:val="subscript"/>
          <w:lang w:val="en-US" w:eastAsia="zh-CN" w:bidi="ar"/>
        </w:rPr>
        <w:t>oi</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式中：</w:t>
      </w:r>
      <w:r>
        <w:rPr>
          <w:rFonts w:hint="default" w:ascii="Times New Roman" w:hAnsi="Times New Roman" w:eastAsia="宋体" w:cs="Times New Roman"/>
          <w:color w:val="auto"/>
          <w:kern w:val="0"/>
          <w:sz w:val="28"/>
          <w:szCs w:val="28"/>
          <w:highlight w:val="none"/>
          <w:lang w:val="en-US" w:eastAsia="zh-CN" w:bidi="ar"/>
        </w:rPr>
        <w:t>K</w:t>
      </w:r>
      <w:r>
        <w:rPr>
          <w:rFonts w:hint="default" w:ascii="Times New Roman" w:hAnsi="Times New Roman" w:eastAsia="宋体" w:cs="Times New Roman"/>
          <w:color w:val="auto"/>
          <w:kern w:val="0"/>
          <w:sz w:val="28"/>
          <w:szCs w:val="28"/>
          <w:highlight w:val="none"/>
          <w:vertAlign w:val="subscript"/>
          <w:lang w:val="en-US" w:eastAsia="zh-CN" w:bidi="ar"/>
        </w:rPr>
        <w:t>i</w:t>
      </w:r>
      <w:r>
        <w:rPr>
          <w:rFonts w:hint="eastAsia" w:ascii="Times New Roman" w:hAnsi="Times New Roman" w:eastAsia="宋体" w:cs="Times New Roman"/>
          <w:color w:val="auto"/>
          <w:kern w:val="0"/>
          <w:sz w:val="28"/>
          <w:szCs w:val="28"/>
          <w:highlight w:val="none"/>
          <w:lang w:val="en-US" w:eastAsia="zh-CN" w:bidi="ar"/>
        </w:rPr>
        <w:t>：第</w:t>
      </w:r>
      <w:r>
        <w:rPr>
          <w:rFonts w:hint="default" w:ascii="Times New Roman" w:hAnsi="Times New Roman" w:eastAsia="宋体" w:cs="Times New Roman"/>
          <w:color w:val="auto"/>
          <w:kern w:val="0"/>
          <w:sz w:val="28"/>
          <w:szCs w:val="28"/>
          <w:highlight w:val="none"/>
          <w:lang w:val="en-US" w:eastAsia="zh-CN" w:bidi="ar"/>
        </w:rPr>
        <w:t>i</w:t>
      </w:r>
      <w:r>
        <w:rPr>
          <w:rFonts w:hint="eastAsia" w:ascii="Times New Roman" w:hAnsi="Times New Roman" w:eastAsia="宋体" w:cs="Times New Roman"/>
          <w:color w:val="auto"/>
          <w:kern w:val="0"/>
          <w:sz w:val="28"/>
          <w:szCs w:val="28"/>
          <w:highlight w:val="none"/>
          <w:lang w:val="en-US" w:eastAsia="zh-CN" w:bidi="ar"/>
        </w:rPr>
        <w:t>项分指数；</w:t>
      </w:r>
    </w:p>
    <w:p>
      <w:pPr>
        <w:keepNext w:val="0"/>
        <w:keepLines w:val="0"/>
        <w:widowControl/>
        <w:suppressLineNumbers w:val="0"/>
        <w:spacing w:line="360" w:lineRule="auto"/>
        <w:ind w:firstLine="1400" w:firstLineChars="5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X</w:t>
      </w:r>
      <w:r>
        <w:rPr>
          <w:rFonts w:hint="default" w:ascii="Times New Roman" w:hAnsi="Times New Roman" w:eastAsia="宋体" w:cs="Times New Roman"/>
          <w:color w:val="auto"/>
          <w:kern w:val="0"/>
          <w:sz w:val="28"/>
          <w:szCs w:val="28"/>
          <w:highlight w:val="none"/>
          <w:vertAlign w:val="subscript"/>
          <w:lang w:val="en-US" w:eastAsia="zh-CN" w:bidi="ar"/>
        </w:rPr>
        <w:t>i</w:t>
      </w:r>
      <w:r>
        <w:rPr>
          <w:rFonts w:hint="eastAsia" w:ascii="Times New Roman" w:hAnsi="Times New Roman" w:eastAsia="宋体" w:cs="Times New Roman"/>
          <w:color w:val="auto"/>
          <w:kern w:val="0"/>
          <w:sz w:val="28"/>
          <w:szCs w:val="28"/>
          <w:highlight w:val="none"/>
          <w:lang w:val="en-US" w:eastAsia="zh-CN" w:bidi="ar"/>
        </w:rPr>
        <w:t>：土壤中</w:t>
      </w:r>
      <w:r>
        <w:rPr>
          <w:rFonts w:hint="default" w:ascii="Times New Roman" w:hAnsi="Times New Roman" w:eastAsia="宋体" w:cs="Times New Roman"/>
          <w:color w:val="auto"/>
          <w:kern w:val="0"/>
          <w:sz w:val="28"/>
          <w:szCs w:val="28"/>
          <w:highlight w:val="none"/>
          <w:lang w:val="en-US" w:eastAsia="zh-CN" w:bidi="ar"/>
        </w:rPr>
        <w:t>i</w:t>
      </w:r>
      <w:r>
        <w:rPr>
          <w:rFonts w:hint="eastAsia" w:ascii="Times New Roman" w:hAnsi="Times New Roman" w:eastAsia="宋体" w:cs="Times New Roman"/>
          <w:color w:val="auto"/>
          <w:kern w:val="0"/>
          <w:sz w:val="28"/>
          <w:szCs w:val="28"/>
          <w:highlight w:val="none"/>
          <w:lang w:val="en-US" w:eastAsia="zh-CN" w:bidi="ar"/>
        </w:rPr>
        <w:t>污染物的实测含量</w:t>
      </w:r>
      <w:r>
        <w:rPr>
          <w:rFonts w:hint="default" w:ascii="Times New Roman" w:hAnsi="Times New Roman" w:eastAsia="宋体" w:cs="Times New Roman"/>
          <w:color w:val="auto"/>
          <w:kern w:val="0"/>
          <w:sz w:val="28"/>
          <w:szCs w:val="28"/>
          <w:highlight w:val="none"/>
          <w:lang w:val="en-US" w:eastAsia="zh-CN" w:bidi="ar"/>
        </w:rPr>
        <w:t>mg/kg</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1400" w:firstLineChars="5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X</w:t>
      </w:r>
      <w:r>
        <w:rPr>
          <w:rFonts w:hint="default" w:ascii="Times New Roman" w:hAnsi="Times New Roman" w:eastAsia="宋体" w:cs="Times New Roman"/>
          <w:color w:val="auto"/>
          <w:kern w:val="0"/>
          <w:sz w:val="28"/>
          <w:szCs w:val="28"/>
          <w:highlight w:val="none"/>
          <w:vertAlign w:val="subscript"/>
          <w:lang w:val="en-US" w:eastAsia="zh-CN" w:bidi="ar"/>
        </w:rPr>
        <w:t>oi</w:t>
      </w:r>
      <w:r>
        <w:rPr>
          <w:rFonts w:hint="eastAsia" w:ascii="Times New Roman" w:hAnsi="Times New Roman" w:eastAsia="宋体" w:cs="Times New Roman"/>
          <w:color w:val="auto"/>
          <w:kern w:val="0"/>
          <w:sz w:val="28"/>
          <w:szCs w:val="28"/>
          <w:highlight w:val="none"/>
          <w:lang w:val="en-US" w:eastAsia="zh-CN" w:bidi="ar"/>
        </w:rPr>
        <w:t>：土壤中</w:t>
      </w:r>
      <w:r>
        <w:rPr>
          <w:rFonts w:hint="default" w:ascii="Times New Roman" w:hAnsi="Times New Roman" w:eastAsia="宋体" w:cs="Times New Roman"/>
          <w:color w:val="auto"/>
          <w:kern w:val="0"/>
          <w:sz w:val="28"/>
          <w:szCs w:val="28"/>
          <w:highlight w:val="none"/>
          <w:lang w:val="en-US" w:eastAsia="zh-CN" w:bidi="ar"/>
        </w:rPr>
        <w:t>i</w:t>
      </w:r>
      <w:r>
        <w:rPr>
          <w:rFonts w:hint="eastAsia" w:ascii="Times New Roman" w:hAnsi="Times New Roman" w:eastAsia="宋体" w:cs="Times New Roman"/>
          <w:color w:val="auto"/>
          <w:kern w:val="0"/>
          <w:sz w:val="28"/>
          <w:szCs w:val="28"/>
          <w:highlight w:val="none"/>
          <w:lang w:val="en-US" w:eastAsia="zh-CN" w:bidi="ar"/>
        </w:rPr>
        <w:t>污染物的标准值</w:t>
      </w:r>
      <w:r>
        <w:rPr>
          <w:rFonts w:hint="default" w:ascii="Times New Roman" w:hAnsi="Times New Roman" w:eastAsia="宋体" w:cs="Times New Roman"/>
          <w:color w:val="auto"/>
          <w:kern w:val="0"/>
          <w:sz w:val="28"/>
          <w:szCs w:val="28"/>
          <w:highlight w:val="none"/>
          <w:lang w:val="en-US" w:eastAsia="zh-CN" w:bidi="ar"/>
        </w:rPr>
        <w:t>mg/kg</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bookmarkStart w:id="116" w:name="_Toc11062"/>
      <w:r>
        <w:rPr>
          <w:rFonts w:hint="default" w:ascii="Times New Roman" w:hAnsi="Times New Roman" w:eastAsia="宋体" w:cs="Times New Roman"/>
          <w:color w:val="auto"/>
          <w:kern w:val="0"/>
          <w:sz w:val="28"/>
          <w:szCs w:val="28"/>
          <w:highlight w:val="none"/>
          <w:lang w:val="en-US" w:eastAsia="zh-CN" w:bidi="ar"/>
        </w:rPr>
        <w:t>2）评价标准</w:t>
      </w:r>
      <w:bookmarkEnd w:id="116"/>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拟建井场</w:t>
      </w:r>
      <w:r>
        <w:rPr>
          <w:rFonts w:hint="default" w:ascii="Times New Roman" w:hAnsi="Times New Roman" w:eastAsia="宋体" w:cs="Times New Roman"/>
          <w:color w:val="auto"/>
          <w:kern w:val="0"/>
          <w:sz w:val="28"/>
          <w:szCs w:val="28"/>
          <w:highlight w:val="none"/>
          <w:lang w:val="en-US" w:eastAsia="zh-CN" w:bidi="ar"/>
        </w:rPr>
        <w:t>占地</w:t>
      </w:r>
      <w:r>
        <w:rPr>
          <w:rFonts w:hint="eastAsia" w:ascii="Times New Roman" w:hAnsi="Times New Roman" w:eastAsia="宋体" w:cs="Times New Roman"/>
          <w:color w:val="auto"/>
          <w:kern w:val="0"/>
          <w:sz w:val="28"/>
          <w:szCs w:val="28"/>
          <w:highlight w:val="none"/>
          <w:lang w:val="en-US" w:eastAsia="zh-CN" w:bidi="ar"/>
        </w:rPr>
        <w:t>内</w:t>
      </w:r>
      <w:r>
        <w:rPr>
          <w:rFonts w:hint="default" w:ascii="Times New Roman" w:hAnsi="Times New Roman" w:eastAsia="宋体" w:cs="Times New Roman"/>
          <w:color w:val="auto"/>
          <w:kern w:val="0"/>
          <w:sz w:val="28"/>
          <w:szCs w:val="28"/>
          <w:highlight w:val="none"/>
          <w:lang w:val="en-US" w:eastAsia="zh-CN" w:bidi="ar"/>
        </w:rPr>
        <w:t>土壤</w:t>
      </w:r>
      <w:r>
        <w:rPr>
          <w:rFonts w:hint="eastAsia" w:ascii="Times New Roman" w:hAnsi="Times New Roman" w:eastAsia="宋体" w:cs="Times New Roman"/>
          <w:color w:val="auto"/>
          <w:kern w:val="0"/>
          <w:sz w:val="28"/>
          <w:szCs w:val="28"/>
          <w:highlight w:val="none"/>
          <w:lang w:val="en-US" w:eastAsia="zh-CN" w:bidi="ar"/>
        </w:rPr>
        <w:t>及村屯土壤</w:t>
      </w:r>
      <w:r>
        <w:rPr>
          <w:rFonts w:hint="default" w:ascii="Times New Roman" w:hAnsi="Times New Roman" w:eastAsia="宋体" w:cs="Times New Roman"/>
          <w:color w:val="auto"/>
          <w:kern w:val="0"/>
          <w:sz w:val="28"/>
          <w:szCs w:val="28"/>
          <w:highlight w:val="none"/>
          <w:lang w:val="en-US" w:eastAsia="zh-CN" w:bidi="ar"/>
        </w:rPr>
        <w:t>质量采用《土壤环境质量建设用地土壤污染风险管控标准（试行）（GB36600-2018）中第</w:t>
      </w:r>
      <w:r>
        <w:rPr>
          <w:rFonts w:hint="eastAsia" w:ascii="Times New Roman" w:hAnsi="Times New Roman" w:eastAsia="宋体" w:cs="Times New Roman"/>
          <w:color w:val="auto"/>
          <w:kern w:val="0"/>
          <w:sz w:val="28"/>
          <w:szCs w:val="28"/>
          <w:highlight w:val="none"/>
          <w:lang w:val="en-US" w:eastAsia="zh-CN" w:bidi="ar"/>
        </w:rPr>
        <w:t>二</w:t>
      </w:r>
      <w:r>
        <w:rPr>
          <w:rFonts w:hint="default" w:ascii="Times New Roman" w:hAnsi="Times New Roman" w:eastAsia="宋体" w:cs="Times New Roman"/>
          <w:color w:val="auto"/>
          <w:kern w:val="0"/>
          <w:sz w:val="28"/>
          <w:szCs w:val="28"/>
          <w:highlight w:val="none"/>
          <w:lang w:val="en-US" w:eastAsia="zh-CN" w:bidi="ar"/>
        </w:rPr>
        <w:t>类土壤污染风险筛选值对各个参数进行评价。</w:t>
      </w:r>
      <w:r>
        <w:rPr>
          <w:rFonts w:hint="eastAsia" w:ascii="Times New Roman" w:hAnsi="Times New Roman" w:eastAsia="宋体" w:cs="Times New Roman"/>
          <w:color w:val="auto"/>
          <w:kern w:val="0"/>
          <w:sz w:val="28"/>
          <w:szCs w:val="28"/>
          <w:highlight w:val="none"/>
          <w:lang w:val="en-US" w:eastAsia="zh-CN" w:bidi="ar"/>
        </w:rPr>
        <w:t>拟建井场</w:t>
      </w:r>
      <w:r>
        <w:rPr>
          <w:rFonts w:hint="default" w:ascii="Times New Roman" w:hAnsi="Times New Roman" w:eastAsia="宋体" w:cs="Times New Roman"/>
          <w:color w:val="auto"/>
          <w:kern w:val="0"/>
          <w:sz w:val="28"/>
          <w:szCs w:val="28"/>
          <w:highlight w:val="none"/>
          <w:lang w:val="en-US" w:eastAsia="zh-CN" w:bidi="ar"/>
        </w:rPr>
        <w:t>占地范围外</w:t>
      </w:r>
      <w:r>
        <w:rPr>
          <w:rFonts w:hint="eastAsia" w:ascii="Times New Roman" w:hAnsi="Times New Roman" w:eastAsia="宋体" w:cs="Times New Roman"/>
          <w:color w:val="auto"/>
          <w:kern w:val="0"/>
          <w:sz w:val="28"/>
          <w:szCs w:val="28"/>
          <w:highlight w:val="none"/>
          <w:lang w:val="en-US" w:eastAsia="zh-CN" w:bidi="ar"/>
        </w:rPr>
        <w:t>耕地土壤质量</w:t>
      </w:r>
      <w:r>
        <w:rPr>
          <w:rFonts w:hint="default" w:ascii="Times New Roman" w:hAnsi="Times New Roman" w:eastAsia="宋体" w:cs="Times New Roman"/>
          <w:color w:val="auto"/>
          <w:kern w:val="0"/>
          <w:sz w:val="28"/>
          <w:szCs w:val="28"/>
          <w:highlight w:val="none"/>
          <w:lang w:val="en-US" w:eastAsia="zh-CN" w:bidi="ar"/>
        </w:rPr>
        <w:t>采用《土壤环境质量农用地土壤污染风险管控标准（试行）（GB15618-2018）</w:t>
      </w:r>
      <w:r>
        <w:rPr>
          <w:rFonts w:hint="default" w:ascii="Times New Roman" w:hAnsi="Times New Roman" w:eastAsia="宋体" w:cs="Times New Roman"/>
          <w:color w:val="auto"/>
          <w:kern w:val="0"/>
          <w:sz w:val="28"/>
          <w:szCs w:val="28"/>
          <w:highlight w:val="none"/>
          <w:lang w:val="zh-CN" w:eastAsia="zh-CN" w:bidi="ar"/>
        </w:rPr>
        <w:t>农用地土壤污染风险筛选值</w:t>
      </w:r>
      <w:r>
        <w:rPr>
          <w:rFonts w:hint="eastAsia" w:ascii="Times New Roman" w:hAnsi="Times New Roman" w:eastAsia="宋体" w:cs="Times New Roman"/>
          <w:color w:val="auto"/>
          <w:kern w:val="0"/>
          <w:sz w:val="28"/>
          <w:szCs w:val="28"/>
          <w:highlight w:val="none"/>
          <w:lang w:val="zh-CN" w:eastAsia="zh-CN" w:bidi="ar"/>
        </w:rPr>
        <w:t>。</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3）评价结果</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区域内土壤现状环境评价结果见表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16和表</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17。</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16建设用地土壤环境质量现状指数（</w:t>
      </w:r>
      <w:r>
        <w:rPr>
          <w:rFonts w:hint="default" w:ascii="Times New Roman" w:hAnsi="Times New Roman" w:eastAsia="宋体" w:cs="Times New Roman"/>
          <w:b/>
          <w:bCs/>
          <w:color w:val="auto"/>
          <w:kern w:val="0"/>
          <w:sz w:val="24"/>
          <w:szCs w:val="24"/>
          <w:highlight w:val="none"/>
          <w:lang w:val="en-US" w:eastAsia="zh-CN" w:bidi="ar"/>
        </w:rPr>
        <w:t>Ki</w:t>
      </w:r>
      <w:r>
        <w:rPr>
          <w:rFonts w:hint="eastAsia" w:ascii="Times New Roman" w:hAnsi="Times New Roman" w:eastAsia="宋体" w:cs="Times New Roman"/>
          <w:b/>
          <w:bCs/>
          <w:color w:val="auto"/>
          <w:kern w:val="0"/>
          <w:sz w:val="24"/>
          <w:szCs w:val="24"/>
          <w:highlight w:val="none"/>
          <w:lang w:val="en-US" w:eastAsia="zh-CN" w:bidi="ar"/>
        </w:rPr>
        <w:t>）评价结果</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8"/>
        <w:gridCol w:w="2137"/>
        <w:gridCol w:w="1357"/>
        <w:gridCol w:w="1357"/>
        <w:gridCol w:w="1357"/>
        <w:gridCol w:w="13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序号</w:t>
            </w:r>
          </w:p>
        </w:tc>
        <w:tc>
          <w:tcPr>
            <w:tcW w:w="2137" w:type="dxa"/>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污染物项目</w:t>
            </w:r>
          </w:p>
        </w:tc>
        <w:tc>
          <w:tcPr>
            <w:tcW w:w="5431" w:type="dxa"/>
            <w:gridSpan w:val="4"/>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监测点位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2137" w:type="dxa"/>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4071" w:type="dxa"/>
            <w:gridSpan w:val="3"/>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S1</w:t>
            </w:r>
          </w:p>
        </w:tc>
        <w:tc>
          <w:tcPr>
            <w:tcW w:w="1360"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S4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2137" w:type="dxa"/>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135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0-0.5m</w:t>
            </w:r>
          </w:p>
        </w:tc>
        <w:tc>
          <w:tcPr>
            <w:tcW w:w="135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0.5-1.5m</w:t>
            </w:r>
          </w:p>
        </w:tc>
        <w:tc>
          <w:tcPr>
            <w:tcW w:w="135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1.5-3m</w:t>
            </w:r>
          </w:p>
        </w:tc>
        <w:tc>
          <w:tcPr>
            <w:tcW w:w="1360"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镉</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0.003</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0.005</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0.003</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砷</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0.045</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0.056</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0.071</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trPr>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汞</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0.002</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0.002</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0.002</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铅</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0.045</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0.035</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0.046</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六价铬</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铜</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0.002</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0.003</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0.002</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镍</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0.048</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0.043</w:t>
            </w:r>
          </w:p>
        </w:tc>
        <w:tc>
          <w:tcPr>
            <w:tcW w:w="1357"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0.051</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四氯化碳</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氯仿</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氯甲烷</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11</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1,1-二氯乙烷</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12</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1,2-二氯乙烷</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13</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1,1-二氯乙烯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14</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顺-1,2-二氯乙烯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反-1,2-二氯乙烯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16</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二氯甲烷</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17</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1,2-二氯丙烷</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18</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1,1,1,2-四氯乙烷</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19</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1,1,2,2-四氯乙烷</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四氯乙烯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21</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1,1,1-三氯乙烷</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22</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1,1,2-三氯乙烷</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23</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三氯乙烯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24</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1,2,3-三氯丙烷</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25</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氯乙烯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26</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27</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氯苯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28</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1,2-二氯苯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29</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1,4-二氯苯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30</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乙苯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31</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苯乙烯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32</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甲苯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33</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间+对二甲苯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34</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邻二甲苯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35</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硝基苯</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36</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苯胺</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37</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2-氯酚</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38</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苯并[a]蒽</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39</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苯并[a]芘</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40</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苯并[b]荧蒽</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41</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苯并[k]荧蒽</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42</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䓛</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43</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二苯并[a，h]蒽</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44</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茚苯并[1,2,3-</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d]芘</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萘</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8"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46</w:t>
            </w:r>
          </w:p>
        </w:tc>
        <w:tc>
          <w:tcPr>
            <w:tcW w:w="2137"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石油烃（C</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40</w:t>
            </w:r>
            <w:r>
              <w:rPr>
                <w:rFonts w:hint="default"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57"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360"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续表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16建设用地土壤环境质量现状指数（Ki）评价结果</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gridSpan w:val="2"/>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监测点位</w:t>
            </w:r>
          </w:p>
        </w:tc>
        <w:tc>
          <w:tcPr>
            <w:tcW w:w="2129" w:type="dxa"/>
            <w:tcBorders>
              <w:tl2br w:val="nil"/>
              <w:tr2bl w:val="nil"/>
            </w:tcBorders>
            <w:noWrap w:val="0"/>
            <w:vAlign w:val="top"/>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石油烃</w:t>
            </w: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40</w:t>
            </w:r>
            <w:r>
              <w:rPr>
                <w:rFonts w:hint="default" w:ascii="Times New Roman" w:hAnsi="Times New Roman" w:eastAsia="宋体" w:cs="Times New Roman"/>
                <w:color w:val="auto"/>
                <w:sz w:val="24"/>
                <w:szCs w:val="24"/>
                <w:highlight w:val="none"/>
                <w:lang w:val="en-US" w:eastAsia="zh-CN"/>
              </w:rPr>
              <w:t>）</w:t>
            </w:r>
          </w:p>
        </w:tc>
        <w:tc>
          <w:tcPr>
            <w:tcW w:w="212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pH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拟建肇深19-平2井S2</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0-0.5m</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0.5-1.5m</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1.5-3m</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拟建肇深19-斜1井S3</w:t>
            </w:r>
          </w:p>
        </w:tc>
        <w:tc>
          <w:tcPr>
            <w:tcW w:w="212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0-0.5m</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212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0.5-1.5m</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vMerge w:val="continue"/>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p>
        </w:tc>
        <w:tc>
          <w:tcPr>
            <w:tcW w:w="212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1.5-3m</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李家窝棚</w:t>
            </w:r>
            <w:r>
              <w:rPr>
                <w:rFonts w:hint="eastAsia" w:ascii="Times New Roman" w:hAnsi="Times New Roman" w:eastAsia="宋体" w:cs="Times New Roman"/>
                <w:color w:val="auto"/>
                <w:sz w:val="24"/>
                <w:szCs w:val="24"/>
                <w:highlight w:val="none"/>
                <w:lang w:val="en-US" w:eastAsia="zh-CN"/>
              </w:rPr>
              <w:t>S6</w:t>
            </w:r>
          </w:p>
        </w:tc>
        <w:tc>
          <w:tcPr>
            <w:tcW w:w="212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m</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2129" w:type="dxa"/>
            <w:tcBorders>
              <w:tl2br w:val="nil"/>
              <w:tr2bl w:val="nil"/>
            </w:tcBorders>
            <w:noWrap w:val="0"/>
            <w:vAlign w:val="center"/>
          </w:tcPr>
          <w:p>
            <w:pPr>
              <w:spacing w:line="360" w:lineRule="exact"/>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17农用地土壤环境质量现状指数（</w:t>
      </w:r>
      <w:r>
        <w:rPr>
          <w:rFonts w:hint="default" w:ascii="Times New Roman" w:hAnsi="Times New Roman" w:eastAsia="宋体" w:cs="Times New Roman"/>
          <w:b/>
          <w:bCs/>
          <w:color w:val="auto"/>
          <w:kern w:val="0"/>
          <w:sz w:val="24"/>
          <w:szCs w:val="24"/>
          <w:highlight w:val="none"/>
          <w:lang w:val="en-US" w:eastAsia="zh-CN" w:bidi="ar"/>
        </w:rPr>
        <w:t>Ki</w:t>
      </w:r>
      <w:r>
        <w:rPr>
          <w:rFonts w:hint="eastAsia" w:ascii="Times New Roman" w:hAnsi="Times New Roman" w:eastAsia="宋体" w:cs="Times New Roman"/>
          <w:b/>
          <w:bCs/>
          <w:color w:val="auto"/>
          <w:kern w:val="0"/>
          <w:sz w:val="24"/>
          <w:szCs w:val="24"/>
          <w:highlight w:val="none"/>
          <w:lang w:val="en-US" w:eastAsia="zh-CN" w:bidi="ar"/>
        </w:rPr>
        <w:t>）评价结果</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vMerge w:val="restar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序号</w:t>
            </w:r>
          </w:p>
        </w:tc>
        <w:tc>
          <w:tcPr>
            <w:tcW w:w="2839" w:type="dxa"/>
            <w:vMerge w:val="restart"/>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污染物项目</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监测点位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vMerge w:val="continue"/>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p>
        </w:tc>
        <w:tc>
          <w:tcPr>
            <w:tcW w:w="2839" w:type="dxa"/>
            <w:vMerge w:val="continue"/>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S5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p>
        </w:tc>
        <w:tc>
          <w:tcPr>
            <w:tcW w:w="283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镉</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p>
        </w:tc>
        <w:tc>
          <w:tcPr>
            <w:tcW w:w="283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砷</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p>
        </w:tc>
        <w:tc>
          <w:tcPr>
            <w:tcW w:w="283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汞</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p>
        </w:tc>
        <w:tc>
          <w:tcPr>
            <w:tcW w:w="283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铅</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p>
        </w:tc>
        <w:tc>
          <w:tcPr>
            <w:tcW w:w="283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石油烃</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w:t>
            </w:r>
          </w:p>
        </w:tc>
        <w:tc>
          <w:tcPr>
            <w:tcW w:w="283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铜</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w:t>
            </w:r>
          </w:p>
        </w:tc>
        <w:tc>
          <w:tcPr>
            <w:tcW w:w="283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镍</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w:t>
            </w:r>
          </w:p>
        </w:tc>
        <w:tc>
          <w:tcPr>
            <w:tcW w:w="283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铬</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w:t>
            </w:r>
          </w:p>
        </w:tc>
        <w:tc>
          <w:tcPr>
            <w:tcW w:w="2839" w:type="dxa"/>
            <w:tcBorders>
              <w:tl2br w:val="nil"/>
              <w:tr2bl w:val="nil"/>
            </w:tcBorders>
            <w:noWrap w:val="0"/>
            <w:vAlign w:val="center"/>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锌</w:t>
            </w:r>
          </w:p>
        </w:tc>
        <w:tc>
          <w:tcPr>
            <w:tcW w:w="2839" w:type="dxa"/>
            <w:tcBorders>
              <w:tl2br w:val="nil"/>
              <w:tr2bl w:val="nil"/>
            </w:tcBorders>
            <w:noWrap w:val="0"/>
            <w:vAlign w:val="top"/>
          </w:tcPr>
          <w:p>
            <w:pPr>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0.11</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（4）评价结论</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根据监测结果可知，评价区域内</w:t>
      </w:r>
      <w:r>
        <w:rPr>
          <w:rFonts w:hint="eastAsia" w:ascii="Times New Roman" w:hAnsi="Times New Roman" w:eastAsia="宋体" w:cs="Times New Roman"/>
          <w:color w:val="auto"/>
          <w:kern w:val="0"/>
          <w:sz w:val="28"/>
          <w:szCs w:val="28"/>
          <w:highlight w:val="none"/>
          <w:lang w:val="en-US" w:eastAsia="zh-CN" w:bidi="ar"/>
        </w:rPr>
        <w:t>耕地</w:t>
      </w:r>
      <w:r>
        <w:rPr>
          <w:rFonts w:hint="default" w:ascii="Times New Roman" w:hAnsi="Times New Roman" w:eastAsia="宋体" w:cs="Times New Roman"/>
          <w:color w:val="auto"/>
          <w:kern w:val="0"/>
          <w:sz w:val="28"/>
          <w:szCs w:val="28"/>
          <w:highlight w:val="none"/>
          <w:lang w:val="en-US" w:eastAsia="zh-CN" w:bidi="ar"/>
        </w:rPr>
        <w:t>农用地所监测到的各项污染物含量均不超过国家</w:t>
      </w:r>
      <w:r>
        <w:rPr>
          <w:rFonts w:hint="default" w:ascii="Times New Roman" w:hAnsi="Times New Roman" w:eastAsia="宋体" w:cs="Times New Roman"/>
          <w:color w:val="auto"/>
          <w:kern w:val="0"/>
          <w:sz w:val="28"/>
          <w:szCs w:val="28"/>
          <w:highlight w:val="none"/>
          <w:lang w:val="zh-CN" w:eastAsia="zh-CN" w:bidi="ar"/>
        </w:rPr>
        <w:t>《土壤环境质量 农用地土壤污染风险管控标准》（GB15618-2018）标准要求</w:t>
      </w:r>
      <w:r>
        <w:rPr>
          <w:rFonts w:hint="eastAsia" w:ascii="Times New Roman" w:hAnsi="Times New Roman" w:eastAsia="宋体" w:cs="Times New Roman"/>
          <w:color w:val="auto"/>
          <w:kern w:val="0"/>
          <w:sz w:val="28"/>
          <w:szCs w:val="28"/>
          <w:highlight w:val="none"/>
          <w:lang w:val="en-US" w:eastAsia="zh-CN" w:bidi="ar"/>
        </w:rPr>
        <w:t>；拟建井场占地土壤及周围村屯土壤</w:t>
      </w:r>
      <w:r>
        <w:rPr>
          <w:rFonts w:hint="default" w:ascii="Times New Roman" w:hAnsi="Times New Roman" w:eastAsia="宋体" w:cs="Times New Roman"/>
          <w:color w:val="auto"/>
          <w:kern w:val="0"/>
          <w:sz w:val="28"/>
          <w:szCs w:val="28"/>
          <w:highlight w:val="none"/>
          <w:lang w:val="en-US" w:eastAsia="zh-CN" w:bidi="ar"/>
        </w:rPr>
        <w:t>各项污染物含量均不超过</w:t>
      </w:r>
      <w:r>
        <w:rPr>
          <w:rFonts w:hint="default" w:ascii="Times New Roman" w:hAnsi="Times New Roman" w:eastAsia="宋体" w:cs="Times New Roman"/>
          <w:color w:val="auto"/>
          <w:kern w:val="0"/>
          <w:sz w:val="28"/>
          <w:szCs w:val="28"/>
          <w:highlight w:val="none"/>
          <w:lang w:val="zh-CN" w:eastAsia="zh-CN" w:bidi="ar"/>
        </w:rPr>
        <w:t>《土壤环境质量 建设用地土壤污染风险管控标准（试行）》（GB</w:t>
      </w:r>
      <w:r>
        <w:rPr>
          <w:rFonts w:hint="default" w:ascii="Times New Roman" w:hAnsi="Times New Roman" w:eastAsia="宋体" w:cs="Times New Roman"/>
          <w:color w:val="auto"/>
          <w:kern w:val="0"/>
          <w:sz w:val="28"/>
          <w:szCs w:val="28"/>
          <w:highlight w:val="none"/>
          <w:lang w:val="en-US" w:eastAsia="zh-CN" w:bidi="ar"/>
        </w:rPr>
        <w:t>36600</w:t>
      </w:r>
      <w:r>
        <w:rPr>
          <w:rFonts w:hint="default" w:ascii="Times New Roman" w:hAnsi="Times New Roman" w:eastAsia="宋体" w:cs="Times New Roman"/>
          <w:color w:val="auto"/>
          <w:kern w:val="0"/>
          <w:sz w:val="28"/>
          <w:szCs w:val="28"/>
          <w:highlight w:val="none"/>
          <w:lang w:val="zh-CN" w:eastAsia="zh-CN" w:bidi="ar"/>
        </w:rPr>
        <w:t>-2018）中筛选值，</w:t>
      </w:r>
      <w:r>
        <w:rPr>
          <w:rFonts w:hint="default" w:ascii="Times New Roman" w:hAnsi="Times New Roman" w:eastAsia="宋体" w:cs="Times New Roman"/>
          <w:color w:val="auto"/>
          <w:kern w:val="0"/>
          <w:sz w:val="28"/>
          <w:szCs w:val="28"/>
          <w:highlight w:val="none"/>
          <w:lang w:val="en-US" w:eastAsia="zh-CN" w:bidi="ar"/>
        </w:rPr>
        <w:t>评价指数均＜1，其特征污染物石油烃（C</w:t>
      </w:r>
      <w:r>
        <w:rPr>
          <w:rFonts w:hint="default" w:ascii="Times New Roman" w:hAnsi="Times New Roman" w:eastAsia="宋体" w:cs="Times New Roman"/>
          <w:color w:val="auto"/>
          <w:kern w:val="0"/>
          <w:sz w:val="28"/>
          <w:szCs w:val="28"/>
          <w:highlight w:val="none"/>
          <w:vertAlign w:val="subscript"/>
          <w:lang w:val="en-US" w:eastAsia="zh-CN" w:bidi="ar"/>
        </w:rPr>
        <w:t>10</w:t>
      </w:r>
      <w:r>
        <w:rPr>
          <w:rFonts w:hint="default" w:ascii="Times New Roman" w:hAnsi="Times New Roman" w:eastAsia="宋体" w:cs="Times New Roman"/>
          <w:color w:val="auto"/>
          <w:kern w:val="0"/>
          <w:sz w:val="28"/>
          <w:szCs w:val="28"/>
          <w:highlight w:val="none"/>
          <w:lang w:val="en-US" w:eastAsia="zh-CN" w:bidi="ar"/>
        </w:rPr>
        <w:t>-C</w:t>
      </w:r>
      <w:r>
        <w:rPr>
          <w:rFonts w:hint="default" w:ascii="Times New Roman" w:hAnsi="Times New Roman" w:eastAsia="宋体" w:cs="Times New Roman"/>
          <w:color w:val="auto"/>
          <w:kern w:val="0"/>
          <w:sz w:val="28"/>
          <w:szCs w:val="28"/>
          <w:highlight w:val="none"/>
          <w:vertAlign w:val="subscript"/>
          <w:lang w:val="en-US" w:eastAsia="zh-CN" w:bidi="ar"/>
        </w:rPr>
        <w:t>40</w:t>
      </w:r>
      <w:r>
        <w:rPr>
          <w:rFonts w:hint="default" w:ascii="Times New Roman" w:hAnsi="Times New Roman" w:eastAsia="宋体" w:cs="Times New Roman"/>
          <w:color w:val="auto"/>
          <w:kern w:val="0"/>
          <w:sz w:val="28"/>
          <w:szCs w:val="28"/>
          <w:highlight w:val="none"/>
          <w:lang w:val="en-US" w:eastAsia="zh-CN" w:bidi="ar"/>
        </w:rPr>
        <w:t>）占地范围内及占地范围外</w:t>
      </w:r>
      <w:r>
        <w:rPr>
          <w:rFonts w:hint="eastAsia" w:ascii="Times New Roman" w:hAnsi="Times New Roman" w:eastAsia="宋体" w:cs="Times New Roman"/>
          <w:color w:val="auto"/>
          <w:kern w:val="0"/>
          <w:sz w:val="28"/>
          <w:szCs w:val="28"/>
          <w:highlight w:val="none"/>
          <w:lang w:val="en-US" w:eastAsia="zh-CN" w:bidi="ar"/>
        </w:rPr>
        <w:t>均为检出，土壤环境质量状况良好。</w:t>
      </w:r>
    </w:p>
    <w:p>
      <w:pPr>
        <w:keepNext w:val="0"/>
        <w:keepLines w:val="0"/>
        <w:widowControl/>
        <w:suppressLineNumbers w:val="0"/>
        <w:spacing w:line="360" w:lineRule="auto"/>
        <w:jc w:val="both"/>
        <w:rPr>
          <w:rFonts w:hint="default" w:ascii="Times New Roman" w:hAnsi="Times New Roman" w:eastAsia="宋体" w:cs="Times New Roman"/>
          <w:b w:val="0"/>
          <w:bCs w:val="0"/>
          <w:color w:val="auto"/>
          <w:kern w:val="0"/>
          <w:sz w:val="28"/>
          <w:szCs w:val="28"/>
          <w:highlight w:val="none"/>
          <w:lang w:val="en-US" w:eastAsia="zh-CN" w:bidi="ar"/>
        </w:rPr>
      </w:pPr>
      <w:bookmarkStart w:id="117" w:name="_Toc2316"/>
      <w:bookmarkStart w:id="118" w:name="_Toc23829"/>
      <w:bookmarkStart w:id="119" w:name="_Toc15398"/>
      <w:bookmarkStart w:id="120" w:name="_Toc18261"/>
      <w:bookmarkStart w:id="121" w:name="_Toc49174837"/>
      <w:bookmarkStart w:id="122" w:name="_Toc49175012"/>
      <w:bookmarkStart w:id="123" w:name="_Toc13101"/>
      <w:bookmarkStart w:id="124" w:name="_Toc19729"/>
      <w:bookmarkStart w:id="125" w:name="_Toc25425"/>
      <w:bookmarkStart w:id="126" w:name="_Toc706"/>
      <w:bookmarkStart w:id="127" w:name="_Toc7965"/>
      <w:r>
        <w:rPr>
          <w:rFonts w:hint="default" w:ascii="Times New Roman" w:hAnsi="Times New Roman" w:eastAsia="宋体" w:cs="Times New Roman"/>
          <w:b w:val="0"/>
          <w:bCs w:val="0"/>
          <w:color w:val="auto"/>
          <w:kern w:val="0"/>
          <w:sz w:val="28"/>
          <w:szCs w:val="28"/>
          <w:highlight w:val="none"/>
          <w:lang w:val="en-US" w:eastAsia="zh-CN" w:bidi="ar"/>
        </w:rPr>
        <w:t>4.2.</w:t>
      </w:r>
      <w:r>
        <w:rPr>
          <w:rFonts w:hint="eastAsia" w:ascii="Times New Roman" w:hAnsi="Times New Roman" w:eastAsia="宋体" w:cs="Times New Roman"/>
          <w:b w:val="0"/>
          <w:bCs w:val="0"/>
          <w:color w:val="auto"/>
          <w:kern w:val="0"/>
          <w:sz w:val="28"/>
          <w:szCs w:val="28"/>
          <w:highlight w:val="none"/>
          <w:lang w:val="en-US" w:eastAsia="zh-CN" w:bidi="ar"/>
        </w:rPr>
        <w:t>5</w:t>
      </w:r>
      <w:r>
        <w:rPr>
          <w:rFonts w:hint="default" w:ascii="Times New Roman" w:hAnsi="Times New Roman" w:eastAsia="宋体" w:cs="Times New Roman"/>
          <w:b w:val="0"/>
          <w:bCs w:val="0"/>
          <w:color w:val="auto"/>
          <w:kern w:val="0"/>
          <w:sz w:val="28"/>
          <w:szCs w:val="28"/>
          <w:highlight w:val="none"/>
          <w:lang w:val="en-US" w:eastAsia="zh-CN" w:bidi="ar"/>
        </w:rPr>
        <w:t>生态环境现状调查与评价</w:t>
      </w:r>
      <w:bookmarkEnd w:id="117"/>
      <w:bookmarkEnd w:id="118"/>
      <w:bookmarkEnd w:id="119"/>
      <w:bookmarkEnd w:id="120"/>
      <w:bookmarkEnd w:id="121"/>
      <w:bookmarkEnd w:id="122"/>
      <w:bookmarkEnd w:id="123"/>
      <w:bookmarkEnd w:id="124"/>
      <w:bookmarkEnd w:id="125"/>
      <w:bookmarkEnd w:id="126"/>
      <w:bookmarkEnd w:id="127"/>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（1）生态环境信息获取</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本项目生态评价等级为三级，采取现场调查与资料收集的方式对项目所在区域进行生态现状调查。调查范围为新建井场外扩1km范围。</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（2）区域生态功能区划</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根据《全国生态功能区划》（2015修编版），本项目位于Ⅱ-01-04松嫩平原东部农产品提供功能区。该</w:t>
      </w:r>
      <w:r>
        <w:rPr>
          <w:rFonts w:hint="eastAsia" w:ascii="Times New Roman" w:hAnsi="Times New Roman" w:eastAsia="宋体" w:cs="Times New Roman"/>
          <w:color w:val="auto"/>
          <w:kern w:val="0"/>
          <w:sz w:val="28"/>
          <w:szCs w:val="28"/>
          <w:highlight w:val="none"/>
          <w:lang w:val="en-US" w:eastAsia="zh-CN" w:bidi="ar"/>
        </w:rPr>
        <w:t>区域</w:t>
      </w:r>
      <w:r>
        <w:rPr>
          <w:rFonts w:hint="default" w:ascii="Times New Roman" w:hAnsi="Times New Roman" w:eastAsia="宋体" w:cs="Times New Roman"/>
          <w:color w:val="auto"/>
          <w:kern w:val="0"/>
          <w:sz w:val="28"/>
          <w:szCs w:val="28"/>
          <w:highlight w:val="none"/>
          <w:lang w:val="en-US" w:eastAsia="zh-CN" w:bidi="ar"/>
        </w:rPr>
        <w:t>主要生态问题包括农田侵占、土壤肥力下降、农业面源污染严重。农产品提供功能区生态保护的主要方向为严格保护基本农田，培养土壤肥力；加强农田基本建设，增强抗自然灾害的能力等。</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在全国生态功能区划的基础上，结合黑龙江省详细的生态功能区划，对本项目所在的生态功能区划进行详细说明。根据黑龙江省人民政府批准的《黑龙江省生态功能区划》（黑政函[2006]75号），本项目所在区域</w:t>
      </w:r>
      <w:r>
        <w:rPr>
          <w:rFonts w:hint="eastAsia" w:ascii="Times New Roman" w:hAnsi="Times New Roman" w:eastAsia="宋体" w:cs="Times New Roman"/>
          <w:color w:val="auto"/>
          <w:kern w:val="0"/>
          <w:sz w:val="28"/>
          <w:szCs w:val="28"/>
          <w:highlight w:val="none"/>
          <w:lang w:val="en-US" w:eastAsia="zh-CN" w:bidi="ar"/>
        </w:rPr>
        <w:t>属于</w:t>
      </w:r>
      <w:r>
        <w:rPr>
          <w:rFonts w:hint="default" w:ascii="Times New Roman" w:hAnsi="Times New Roman" w:eastAsia="宋体" w:cs="Times New Roman"/>
          <w:color w:val="auto"/>
          <w:kern w:val="0"/>
          <w:sz w:val="28"/>
          <w:szCs w:val="28"/>
          <w:highlight w:val="none"/>
          <w:lang w:val="en-US" w:eastAsia="zh-CN" w:bidi="ar"/>
        </w:rPr>
        <w:t>大庆地区矿业与土壤保持生态功能区。本项目区生态功能区划见表4.2-</w:t>
      </w:r>
      <w:r>
        <w:rPr>
          <w:rFonts w:hint="eastAsia" w:ascii="Times New Roman" w:hAnsi="Times New Roman" w:eastAsia="宋体" w:cs="Times New Roman"/>
          <w:color w:val="auto"/>
          <w:kern w:val="0"/>
          <w:sz w:val="28"/>
          <w:szCs w:val="28"/>
          <w:highlight w:val="none"/>
          <w:lang w:val="en-US" w:eastAsia="zh-CN" w:bidi="ar"/>
        </w:rPr>
        <w:t>18</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表4.2-</w:t>
      </w:r>
      <w:r>
        <w:rPr>
          <w:rFonts w:hint="eastAsia" w:ascii="Times New Roman" w:hAnsi="Times New Roman" w:eastAsia="宋体" w:cs="Times New Roman"/>
          <w:b/>
          <w:bCs/>
          <w:color w:val="auto"/>
          <w:kern w:val="0"/>
          <w:sz w:val="24"/>
          <w:szCs w:val="24"/>
          <w:highlight w:val="none"/>
          <w:lang w:val="en-US" w:eastAsia="zh-CN" w:bidi="ar"/>
        </w:rPr>
        <w:t>18</w:t>
      </w:r>
      <w:r>
        <w:rPr>
          <w:rFonts w:hint="default" w:ascii="Times New Roman" w:hAnsi="Times New Roman" w:eastAsia="宋体" w:cs="Times New Roman"/>
          <w:b/>
          <w:bCs/>
          <w:color w:val="auto"/>
          <w:kern w:val="0"/>
          <w:sz w:val="24"/>
          <w:szCs w:val="24"/>
          <w:highlight w:val="none"/>
          <w:lang w:val="en-US" w:eastAsia="zh-CN" w:bidi="ar"/>
        </w:rPr>
        <w:t>本项目区域生态功能区划表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5"/>
        <w:gridCol w:w="1590"/>
        <w:gridCol w:w="1724"/>
        <w:gridCol w:w="1444"/>
        <w:gridCol w:w="24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89"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项目区生态功能分区单元</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主要生态系统服务功能</w:t>
            </w:r>
          </w:p>
        </w:tc>
        <w:tc>
          <w:tcPr>
            <w:tcW w:w="2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保护措施与发展方向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Ⅰ-</w:t>
            </w:r>
            <w:r>
              <w:rPr>
                <w:rFonts w:hint="eastAsia" w:ascii="Times New Roman" w:hAnsi="Times New Roman" w:cs="Times New Roman"/>
                <w:color w:val="auto"/>
                <w:sz w:val="24"/>
                <w:szCs w:val="24"/>
                <w:highlight w:val="none"/>
                <w:vertAlign w:val="baseline"/>
                <w:lang w:val="en-US" w:eastAsia="zh-CN"/>
              </w:rPr>
              <w:t>6</w:t>
            </w:r>
            <w:r>
              <w:rPr>
                <w:rFonts w:hint="default" w:ascii="Times New Roman" w:hAnsi="Times New Roman" w:cs="Times New Roman"/>
                <w:color w:val="auto"/>
                <w:sz w:val="24"/>
                <w:szCs w:val="24"/>
                <w:highlight w:val="none"/>
                <w:vertAlign w:val="baseline"/>
                <w:lang w:val="en-US" w:eastAsia="zh-CN"/>
              </w:rPr>
              <w:t>松嫩平原西部草甸草原生态区</w:t>
            </w:r>
          </w:p>
        </w:tc>
        <w:tc>
          <w:tcPr>
            <w:tcW w:w="15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Ⅰ-</w:t>
            </w:r>
            <w:r>
              <w:rPr>
                <w:rFonts w:hint="eastAsia" w:ascii="Times New Roman" w:hAnsi="Times New Roman" w:cs="Times New Roman"/>
                <w:color w:val="auto"/>
                <w:sz w:val="24"/>
                <w:szCs w:val="24"/>
                <w:highlight w:val="none"/>
                <w:vertAlign w:val="baseline"/>
                <w:lang w:val="en-US" w:eastAsia="zh-CN"/>
              </w:rPr>
              <w:t>6</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松嫩平原西部草甸草原与农业生态亚区</w:t>
            </w:r>
          </w:p>
        </w:tc>
        <w:tc>
          <w:tcPr>
            <w:tcW w:w="17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Ⅰ-</w:t>
            </w:r>
            <w:r>
              <w:rPr>
                <w:rFonts w:hint="eastAsia" w:ascii="Times New Roman" w:hAnsi="Times New Roman" w:cs="Times New Roman"/>
                <w:color w:val="auto"/>
                <w:sz w:val="24"/>
                <w:szCs w:val="24"/>
                <w:highlight w:val="none"/>
                <w:vertAlign w:val="baseline"/>
                <w:lang w:val="en-US" w:eastAsia="zh-CN"/>
              </w:rPr>
              <w:t>6</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大庆地区矿业与土壤保持生态功能区</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沙漠化控制、</w:t>
            </w:r>
            <w:r>
              <w:rPr>
                <w:rFonts w:hint="eastAsia" w:ascii="Times New Roman" w:hAnsi="Times New Roman" w:cs="Times New Roman"/>
                <w:color w:val="auto"/>
                <w:sz w:val="24"/>
                <w:szCs w:val="24"/>
                <w:highlight w:val="none"/>
                <w:vertAlign w:val="baseline"/>
                <w:lang w:val="en-US" w:eastAsia="zh-CN"/>
              </w:rPr>
              <w:t>植被保护、生物多样性保护、石油开采</w:t>
            </w:r>
          </w:p>
        </w:tc>
        <w:tc>
          <w:tcPr>
            <w:tcW w:w="2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逐步恢复草原面积，加大对漏斗区的回注，防止漏斗区继续形成，控制对水环境的影响，科学发展农牧业</w:t>
            </w:r>
          </w:p>
        </w:tc>
      </w:tr>
    </w:tbl>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关于印发&lt;关于贯彻落实《沙化土地封禁保护修复制度方案》的实施意见&gt;的通知》，本项目所在区域不属于沙化土地区域；《大庆市水土保持规划（2015~2030年）》，本项目所在区域不属于重点预防区和重点治理区。</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（3）主要生态系统</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根据实地调查，评价区共有4种生态系统类型。其中以农田生态系统、林地生态系统和草地生态系统为主，分布广，面积大。各个生态系统的组成及分布见表4.2-19。</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表4.2-19项目评价区生态系统类型及特征</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8"/>
        <w:gridCol w:w="2155"/>
        <w:gridCol w:w="2782"/>
        <w:gridCol w:w="26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2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生态系统类型</w:t>
            </w:r>
          </w:p>
        </w:tc>
        <w:tc>
          <w:tcPr>
            <w:tcW w:w="2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主要物种</w:t>
            </w:r>
          </w:p>
        </w:tc>
        <w:tc>
          <w:tcPr>
            <w:tcW w:w="2681"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分布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2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农田生态系统</w:t>
            </w:r>
          </w:p>
        </w:tc>
        <w:tc>
          <w:tcPr>
            <w:tcW w:w="2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农作物主要为玉米、水稻、谷子、绿豆等</w:t>
            </w:r>
          </w:p>
        </w:tc>
        <w:tc>
          <w:tcPr>
            <w:tcW w:w="2681"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呈片状大面积分布于调查区内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8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2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林地生态系统</w:t>
            </w:r>
          </w:p>
        </w:tc>
        <w:tc>
          <w:tcPr>
            <w:tcW w:w="2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主要为人工杨树林</w:t>
            </w:r>
          </w:p>
        </w:tc>
        <w:tc>
          <w:tcPr>
            <w:tcW w:w="2681"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分布于调查区内的乡间路两侧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2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草地生态系统</w:t>
            </w:r>
          </w:p>
        </w:tc>
        <w:tc>
          <w:tcPr>
            <w:tcW w:w="2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草本植物主要为芦苇、三棱草、蒲草、羊草、星星草等</w:t>
            </w:r>
          </w:p>
        </w:tc>
        <w:tc>
          <w:tcPr>
            <w:tcW w:w="26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分布于调查区内的田间路及垄沟内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2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村镇生态系统</w:t>
            </w:r>
          </w:p>
        </w:tc>
        <w:tc>
          <w:tcPr>
            <w:tcW w:w="2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 xml:space="preserve">以人为主，人工绿色植物 </w:t>
            </w:r>
          </w:p>
        </w:tc>
        <w:tc>
          <w:tcPr>
            <w:tcW w:w="2681"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位于拟建井场四周</w:t>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土地利用</w:t>
      </w:r>
      <w:r>
        <w:rPr>
          <w:rFonts w:hint="eastAsia" w:ascii="Times New Roman" w:hAnsi="Times New Roman" w:eastAsia="宋体" w:cs="Times New Roman"/>
          <w:color w:val="auto"/>
          <w:kern w:val="0"/>
          <w:sz w:val="28"/>
          <w:szCs w:val="28"/>
          <w:highlight w:val="none"/>
          <w:lang w:val="en-US" w:eastAsia="zh-CN" w:bidi="ar"/>
        </w:rPr>
        <w:t>现状</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依据《土地利用现状分类标准》</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GB/T21010-2017</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，项目调查区域土地利用现状类型分为</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种</w:t>
      </w:r>
      <w:r>
        <w:rPr>
          <w:rFonts w:hint="eastAsia" w:ascii="Times New Roman" w:hAnsi="Times New Roman" w:eastAsia="宋体" w:cs="Times New Roman"/>
          <w:color w:val="auto"/>
          <w:kern w:val="0"/>
          <w:sz w:val="28"/>
          <w:szCs w:val="28"/>
          <w:highlight w:val="none"/>
          <w:lang w:val="en-US" w:eastAsia="zh-CN" w:bidi="ar"/>
        </w:rPr>
        <w:t>，农田耕地分布广泛，现状土地利用类型及面积统计结果见下表。</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4.2-19</w:t>
      </w:r>
      <w:r>
        <w:rPr>
          <w:rFonts w:hint="default" w:ascii="Times New Roman" w:hAnsi="Times New Roman" w:eastAsia="宋体" w:cs="Times New Roman"/>
          <w:b/>
          <w:bCs/>
          <w:color w:val="auto"/>
          <w:kern w:val="0"/>
          <w:sz w:val="24"/>
          <w:szCs w:val="24"/>
          <w:highlight w:val="none"/>
          <w:lang w:val="en-US" w:eastAsia="zh-CN" w:bidi="ar"/>
        </w:rPr>
        <w:t>土地利用类型表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77"/>
        <w:gridCol w:w="1237"/>
        <w:gridCol w:w="2195"/>
        <w:gridCol w:w="1703"/>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109" w:type="dxa"/>
            <w:gridSpan w:val="3"/>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土地利用类型</w:t>
            </w:r>
          </w:p>
        </w:tc>
        <w:tc>
          <w:tcPr>
            <w:tcW w:w="3407" w:type="dxa"/>
            <w:gridSpan w:val="2"/>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评价区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一级类</w:t>
            </w:r>
          </w:p>
        </w:tc>
        <w:tc>
          <w:tcPr>
            <w:tcW w:w="1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代码</w:t>
            </w:r>
          </w:p>
        </w:tc>
        <w:tc>
          <w:tcPr>
            <w:tcW w:w="21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二级类</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面积</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km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比例</w:t>
            </w: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耕地</w:t>
            </w:r>
          </w:p>
        </w:tc>
        <w:tc>
          <w:tcPr>
            <w:tcW w:w="1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0103</w:t>
            </w:r>
          </w:p>
        </w:tc>
        <w:tc>
          <w:tcPr>
            <w:tcW w:w="21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旱地</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15.31</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住宅用地</w:t>
            </w:r>
          </w:p>
        </w:tc>
        <w:tc>
          <w:tcPr>
            <w:tcW w:w="1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0702</w:t>
            </w:r>
          </w:p>
        </w:tc>
        <w:tc>
          <w:tcPr>
            <w:tcW w:w="21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农村宅基地</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0.94</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交通运输用地</w:t>
            </w:r>
          </w:p>
        </w:tc>
        <w:tc>
          <w:tcPr>
            <w:tcW w:w="12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1006</w:t>
            </w:r>
          </w:p>
        </w:tc>
        <w:tc>
          <w:tcPr>
            <w:tcW w:w="21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农村道路</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0.3</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植被环境现状</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1）评价区植被类型分布</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项目所在开发区块</w:t>
      </w:r>
      <w:r>
        <w:rPr>
          <w:rFonts w:hint="default" w:ascii="Times New Roman" w:hAnsi="Times New Roman" w:eastAsia="宋体" w:cs="Times New Roman"/>
          <w:color w:val="auto"/>
          <w:kern w:val="0"/>
          <w:sz w:val="28"/>
          <w:szCs w:val="28"/>
          <w:highlight w:val="none"/>
          <w:lang w:val="en-US" w:eastAsia="zh-CN" w:bidi="ar"/>
        </w:rPr>
        <w:t>土地利用类型以</w:t>
      </w:r>
      <w:r>
        <w:rPr>
          <w:rFonts w:hint="eastAsia" w:ascii="Times New Roman" w:hAnsi="Times New Roman" w:eastAsia="宋体" w:cs="Times New Roman"/>
          <w:color w:val="auto"/>
          <w:kern w:val="0"/>
          <w:sz w:val="28"/>
          <w:szCs w:val="28"/>
          <w:highlight w:val="none"/>
          <w:lang w:val="en-US" w:eastAsia="zh-CN" w:bidi="ar"/>
        </w:rPr>
        <w:t>农田</w:t>
      </w:r>
      <w:r>
        <w:rPr>
          <w:rFonts w:hint="default" w:ascii="Times New Roman" w:hAnsi="Times New Roman" w:eastAsia="宋体" w:cs="Times New Roman"/>
          <w:color w:val="auto"/>
          <w:kern w:val="0"/>
          <w:sz w:val="28"/>
          <w:szCs w:val="28"/>
          <w:highlight w:val="none"/>
          <w:lang w:val="en-US" w:eastAsia="zh-CN" w:bidi="ar"/>
        </w:rPr>
        <w:t>为主</w:t>
      </w:r>
      <w:r>
        <w:rPr>
          <w:rFonts w:hint="eastAsia" w:ascii="Times New Roman" w:hAnsi="Times New Roman" w:eastAsia="宋体" w:cs="Times New Roman"/>
          <w:color w:val="auto"/>
          <w:kern w:val="0"/>
          <w:sz w:val="28"/>
          <w:szCs w:val="28"/>
          <w:highlight w:val="none"/>
          <w:lang w:val="en-US" w:eastAsia="zh-CN" w:bidi="ar"/>
        </w:rPr>
        <w:t>，主要农作物为玉米、水稻、谷子、绿豆，田垄间含有芦苇、三棱草、蒲草等植被；</w:t>
      </w:r>
      <w:r>
        <w:rPr>
          <w:rFonts w:hint="default" w:ascii="Times New Roman" w:hAnsi="Times New Roman" w:eastAsia="宋体" w:cs="Times New Roman"/>
          <w:color w:val="auto"/>
          <w:kern w:val="0"/>
          <w:sz w:val="28"/>
          <w:szCs w:val="28"/>
          <w:highlight w:val="none"/>
          <w:lang w:val="en-US" w:eastAsia="zh-CN" w:bidi="ar"/>
        </w:rPr>
        <w:t>项目区域内地势平坦，除</w:t>
      </w:r>
      <w:r>
        <w:rPr>
          <w:rFonts w:hint="eastAsia" w:ascii="Times New Roman" w:hAnsi="Times New Roman" w:eastAsia="宋体" w:cs="Times New Roman"/>
          <w:color w:val="auto"/>
          <w:kern w:val="0"/>
          <w:sz w:val="28"/>
          <w:szCs w:val="28"/>
          <w:highlight w:val="none"/>
          <w:lang w:val="en-US" w:eastAsia="zh-CN" w:bidi="ar"/>
        </w:rPr>
        <w:t>气</w:t>
      </w:r>
      <w:r>
        <w:rPr>
          <w:rFonts w:hint="default" w:ascii="Times New Roman" w:hAnsi="Times New Roman" w:eastAsia="宋体" w:cs="Times New Roman"/>
          <w:color w:val="auto"/>
          <w:kern w:val="0"/>
          <w:sz w:val="28"/>
          <w:szCs w:val="28"/>
          <w:highlight w:val="none"/>
          <w:lang w:val="en-US" w:eastAsia="zh-CN" w:bidi="ar"/>
        </w:rPr>
        <w:t>田生产</w:t>
      </w:r>
      <w:r>
        <w:rPr>
          <w:rFonts w:hint="eastAsia" w:ascii="Times New Roman" w:hAnsi="Times New Roman" w:eastAsia="宋体" w:cs="Times New Roman"/>
          <w:color w:val="auto"/>
          <w:kern w:val="0"/>
          <w:sz w:val="28"/>
          <w:szCs w:val="28"/>
          <w:highlight w:val="none"/>
          <w:lang w:val="en-US" w:eastAsia="zh-CN" w:bidi="ar"/>
        </w:rPr>
        <w:t>场站</w:t>
      </w:r>
      <w:r>
        <w:rPr>
          <w:rFonts w:hint="default" w:ascii="Times New Roman" w:hAnsi="Times New Roman" w:eastAsia="宋体" w:cs="Times New Roman"/>
          <w:color w:val="auto"/>
          <w:kern w:val="0"/>
          <w:sz w:val="28"/>
          <w:szCs w:val="28"/>
          <w:highlight w:val="none"/>
          <w:lang w:val="en-US" w:eastAsia="zh-CN" w:bidi="ar"/>
        </w:rPr>
        <w:t>、村屯、块状农田外，</w:t>
      </w:r>
      <w:r>
        <w:rPr>
          <w:rFonts w:hint="eastAsia" w:ascii="Times New Roman" w:hAnsi="Times New Roman" w:eastAsia="宋体" w:cs="Times New Roman"/>
          <w:color w:val="auto"/>
          <w:kern w:val="0"/>
          <w:sz w:val="28"/>
          <w:szCs w:val="28"/>
          <w:highlight w:val="none"/>
          <w:lang w:val="en-US" w:eastAsia="zh-CN" w:bidi="ar"/>
        </w:rPr>
        <w:t>小</w:t>
      </w:r>
      <w:r>
        <w:rPr>
          <w:rFonts w:hint="default" w:ascii="Times New Roman" w:hAnsi="Times New Roman" w:eastAsia="宋体" w:cs="Times New Roman"/>
          <w:color w:val="auto"/>
          <w:kern w:val="0"/>
          <w:sz w:val="28"/>
          <w:szCs w:val="28"/>
          <w:highlight w:val="none"/>
          <w:lang w:val="en-US" w:eastAsia="zh-CN" w:bidi="ar"/>
        </w:rPr>
        <w:t>部分为盐碱</w:t>
      </w:r>
      <w:r>
        <w:rPr>
          <w:rFonts w:hint="eastAsia" w:ascii="Times New Roman" w:hAnsi="Times New Roman" w:eastAsia="宋体" w:cs="Times New Roman"/>
          <w:color w:val="auto"/>
          <w:kern w:val="0"/>
          <w:sz w:val="28"/>
          <w:szCs w:val="28"/>
          <w:highlight w:val="none"/>
          <w:lang w:val="en-US" w:eastAsia="zh-CN" w:bidi="ar"/>
        </w:rPr>
        <w:t>草</w:t>
      </w:r>
      <w:r>
        <w:rPr>
          <w:rFonts w:hint="default" w:ascii="Times New Roman" w:hAnsi="Times New Roman" w:eastAsia="宋体" w:cs="Times New Roman"/>
          <w:color w:val="auto"/>
          <w:kern w:val="0"/>
          <w:sz w:val="28"/>
          <w:szCs w:val="28"/>
          <w:highlight w:val="none"/>
          <w:lang w:val="en-US" w:eastAsia="zh-CN" w:bidi="ar"/>
        </w:rPr>
        <w:t>地。本评价区植被类型分布情况见表</w:t>
      </w:r>
      <w:r>
        <w:rPr>
          <w:rFonts w:hint="eastAsia" w:ascii="Times New Roman" w:hAnsi="Times New Roman" w:eastAsia="宋体" w:cs="Times New Roman"/>
          <w:color w:val="auto"/>
          <w:kern w:val="0"/>
          <w:sz w:val="28"/>
          <w:szCs w:val="28"/>
          <w:highlight w:val="none"/>
          <w:lang w:val="en-US" w:eastAsia="zh-CN" w:bidi="ar"/>
        </w:rPr>
        <w:t>4.2-20</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4.2-20</w:t>
      </w:r>
      <w:r>
        <w:rPr>
          <w:rFonts w:hint="default" w:ascii="Times New Roman" w:hAnsi="Times New Roman" w:eastAsia="宋体" w:cs="Times New Roman"/>
          <w:b/>
          <w:bCs/>
          <w:color w:val="auto"/>
          <w:kern w:val="0"/>
          <w:sz w:val="24"/>
          <w:szCs w:val="24"/>
          <w:highlight w:val="none"/>
          <w:lang w:val="en-US" w:eastAsia="zh-CN" w:bidi="ar"/>
        </w:rPr>
        <w:t>评价区域内植被覆盖类型统计表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043"/>
        <w:gridCol w:w="3226"/>
        <w:gridCol w:w="22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植被类型</w:t>
            </w:r>
          </w:p>
        </w:tc>
        <w:tc>
          <w:tcPr>
            <w:tcW w:w="18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p>
        </w:tc>
        <w:tc>
          <w:tcPr>
            <w:tcW w:w="13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占总面积(%)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农作物植被</w:t>
            </w:r>
          </w:p>
        </w:tc>
        <w:tc>
          <w:tcPr>
            <w:tcW w:w="18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22.5</w:t>
            </w:r>
          </w:p>
        </w:tc>
        <w:tc>
          <w:tcPr>
            <w:tcW w:w="13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牧草及盐碱草地</w:t>
            </w:r>
          </w:p>
        </w:tc>
        <w:tc>
          <w:tcPr>
            <w:tcW w:w="18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7.5</w:t>
            </w:r>
          </w:p>
        </w:tc>
        <w:tc>
          <w:tcPr>
            <w:tcW w:w="13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总计</w:t>
            </w:r>
          </w:p>
        </w:tc>
        <w:tc>
          <w:tcPr>
            <w:tcW w:w="18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p>
        </w:tc>
        <w:tc>
          <w:tcPr>
            <w:tcW w:w="13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fldChar w:fldCharType="begin"/>
            </w:r>
            <w:r>
              <w:rPr>
                <w:rFonts w:hint="default" w:ascii="Times New Roman" w:hAnsi="Times New Roman" w:cs="Times New Roman"/>
                <w:color w:val="auto"/>
                <w:sz w:val="24"/>
                <w:szCs w:val="24"/>
                <w:highlight w:val="none"/>
                <w:vertAlign w:val="baseline"/>
                <w:lang w:val="en-US" w:eastAsia="zh-CN"/>
              </w:rPr>
              <w:instrText xml:space="preserve"> =SUM(ABOVE) </w:instrText>
            </w:r>
            <w:r>
              <w:rPr>
                <w:rFonts w:hint="default" w:ascii="Times New Roman" w:hAnsi="Times New Roman" w:cs="Times New Roman"/>
                <w:color w:val="auto"/>
                <w:sz w:val="24"/>
                <w:szCs w:val="24"/>
                <w:highlight w:val="none"/>
                <w:vertAlign w:val="baseline"/>
                <w:lang w:val="en-US" w:eastAsia="zh-CN"/>
              </w:rPr>
              <w:fldChar w:fldCharType="separate"/>
            </w:r>
            <w:r>
              <w:rPr>
                <w:rFonts w:hint="default" w:ascii="Times New Roman" w:hAnsi="Times New Roman" w:cs="Times New Roman"/>
                <w:color w:val="auto"/>
                <w:sz w:val="24"/>
                <w:szCs w:val="24"/>
                <w:highlight w:val="none"/>
                <w:vertAlign w:val="baseline"/>
                <w:lang w:val="en-US" w:eastAsia="zh-CN"/>
              </w:rPr>
              <w:t>100</w:t>
            </w:r>
            <w:r>
              <w:rPr>
                <w:rFonts w:hint="default" w:ascii="Times New Roman" w:hAnsi="Times New Roman" w:cs="Times New Roman"/>
                <w:color w:val="auto"/>
                <w:sz w:val="24"/>
                <w:szCs w:val="24"/>
                <w:highlight w:val="none"/>
                <w:vertAlign w:val="baseline"/>
                <w:lang w:val="en-US" w:eastAsia="zh-CN"/>
              </w:rPr>
              <w:fldChar w:fldCharType="end"/>
            </w:r>
          </w:p>
        </w:tc>
      </w:tr>
    </w:tbl>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2）评价区植被类型调查</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经过实地考察与参考相关资料，评价区的植被分类系统、主要植被情况见表4.2-21。</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根据实地调查，评价区内未发现国家级保护物种分布。</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4.2-21</w:t>
      </w:r>
      <w:r>
        <w:rPr>
          <w:rFonts w:hint="default" w:ascii="Times New Roman" w:hAnsi="Times New Roman" w:eastAsia="宋体" w:cs="Times New Roman"/>
          <w:b/>
          <w:bCs/>
          <w:color w:val="auto"/>
          <w:kern w:val="0"/>
          <w:sz w:val="24"/>
          <w:szCs w:val="24"/>
          <w:highlight w:val="none"/>
          <w:lang w:val="en-US" w:eastAsia="zh-CN" w:bidi="ar"/>
        </w:rPr>
        <w:t>评价区主要植被类型</w:t>
      </w:r>
    </w:p>
    <w:tbl>
      <w:tblPr>
        <w:tblStyle w:val="1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269"/>
        <w:gridCol w:w="1433"/>
        <w:gridCol w:w="2206"/>
        <w:gridCol w:w="360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7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植被型组</w:t>
            </w:r>
          </w:p>
        </w:tc>
        <w:tc>
          <w:tcPr>
            <w:tcW w:w="8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植被型</w:t>
            </w:r>
          </w:p>
        </w:tc>
        <w:tc>
          <w:tcPr>
            <w:tcW w:w="12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群丛</w:t>
            </w:r>
          </w:p>
        </w:tc>
        <w:tc>
          <w:tcPr>
            <w:tcW w:w="21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群丛拉丁名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74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自然植被</w:t>
            </w:r>
          </w:p>
        </w:tc>
        <w:tc>
          <w:tcPr>
            <w:tcW w:w="84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草甸</w:t>
            </w:r>
          </w:p>
        </w:tc>
        <w:tc>
          <w:tcPr>
            <w:tcW w:w="12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羊草群丛</w:t>
            </w:r>
          </w:p>
        </w:tc>
        <w:tc>
          <w:tcPr>
            <w:tcW w:w="21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ASS. Leymus chinensis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74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pt-BR" w:eastAsia="zh-CN"/>
              </w:rPr>
            </w:pPr>
          </w:p>
        </w:tc>
        <w:tc>
          <w:tcPr>
            <w:tcW w:w="84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pt-BR" w:eastAsia="zh-CN"/>
              </w:rPr>
            </w:pPr>
          </w:p>
        </w:tc>
        <w:tc>
          <w:tcPr>
            <w:tcW w:w="12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碱蓬-星星草群丛</w:t>
            </w:r>
          </w:p>
        </w:tc>
        <w:tc>
          <w:tcPr>
            <w:tcW w:w="21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pt-BR" w:eastAsia="zh-CN"/>
              </w:rPr>
            </w:pPr>
            <w:r>
              <w:rPr>
                <w:rFonts w:hint="eastAsia" w:ascii="Times New Roman" w:hAnsi="Times New Roman" w:cs="Times New Roman"/>
                <w:color w:val="auto"/>
                <w:sz w:val="24"/>
                <w:szCs w:val="24"/>
                <w:highlight w:val="none"/>
                <w:vertAlign w:val="baseline"/>
                <w:lang w:val="pt-BR" w:eastAsia="zh-CN"/>
              </w:rPr>
              <w:t>ASS.Suaeda glauca-Puccinellia enuiflora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7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人工植被</w:t>
            </w:r>
          </w:p>
        </w:tc>
        <w:tc>
          <w:tcPr>
            <w:tcW w:w="8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防护林</w:t>
            </w:r>
          </w:p>
        </w:tc>
        <w:tc>
          <w:tcPr>
            <w:tcW w:w="12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杨树林</w:t>
            </w:r>
          </w:p>
        </w:tc>
        <w:tc>
          <w:tcPr>
            <w:tcW w:w="21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ASS. Populus canadensis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87" w:hRule="atLeast"/>
          <w:jc w:val="center"/>
        </w:trPr>
        <w:tc>
          <w:tcPr>
            <w:tcW w:w="7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农业植被</w:t>
            </w:r>
          </w:p>
        </w:tc>
        <w:tc>
          <w:tcPr>
            <w:tcW w:w="8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农作物</w:t>
            </w:r>
          </w:p>
        </w:tc>
        <w:tc>
          <w:tcPr>
            <w:tcW w:w="341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粮食作物：玉米、水稻、谷子、绿豆</w:t>
            </w:r>
          </w:p>
        </w:tc>
      </w:tr>
    </w:tbl>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评价区属于松嫩平原区，农耕历史悠久，栽培植被是最重要的植被类型，为人工种植的各种农作物。区域中农作物主要以玉米为主。玉米是一年生禾本科植物，是喜温作物，全生育期要求较高的温度，产量约为650kg/亩。经济作物主要有甜菜、芝麻、向日葵等。蔬菜类主要有茄子、豆角和白菜等。评价范围内草地主要以羊草和芦苇为优势种，同时和狼尾草、毛水苏、三棱草、星星草等植物混生。在漫岗的缓坡和呈碱性的低地上还生长有碱草植物群落，碱草植物群落以碱草为主。</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（5）野生动物现状</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评价区为典型农区，其动物的组成与分布具有明显的村栖型特点。主要分布有小家鼠（MusmusculusL.）、大仓鼠（Cricetulustriton）、普通田鼠（Microtusarvalis）等啮齿目动物。由于人类活动的干扰，较大型哺乳类动物基本绝迹，但小型哺乳类特别是鼠类仍为常见种。</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常见鸟类主要为喜鹊（P.picasericeaGould）、小嘴乌鸦（C.coroneorientalisEvers）、麻雀（P.montanusmontanus）、家燕（H.rusticagutturalisScopoli）等村栖型鸟类。</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根据现场实际勘查及资料调查，对照《中国生物多样性红色名录》、国家级省政府动植物保护名录，本项目所在区域均无植物及动物重要物种。</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（6）生态环境现状评价</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该区原生生态系统为多年生草本植物群落，现部分转变为人工种植的作物群体，使区域内的生态环境发生了变化。</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）土壤环境</w:t>
      </w:r>
    </w:p>
    <w:p>
      <w:pPr>
        <w:keepNext w:val="0"/>
        <w:keepLines w:val="0"/>
        <w:widowControl/>
        <w:suppressLineNumbers w:val="0"/>
        <w:ind w:firstLine="560" w:firstLineChars="20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土壤抗冲刷和风蚀的能力强弱与根系根量、结构状况以及分布类型关系密切。草地表层土由于植物根系纵横交错，土壤结构紧密，通气透水状况较差，开垦为农田土壤后，表层土变疏松，通气透水良好，坚固性变差，有机成分增加，农药等有毒有害成分也增加。</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草地原生草本植物根系量大，其根系结构体系固持的土壤对抗冲刷和风蚀的能力特别强；农作物多为一年生植物，根系种类单纯，多为直根和须根，层次结构简单，主要分布在</w:t>
      </w:r>
      <w:r>
        <w:rPr>
          <w:rFonts w:hint="default" w:ascii="Times New Roman" w:hAnsi="Times New Roman" w:eastAsia="宋体" w:cs="Times New Roman"/>
          <w:color w:val="auto"/>
          <w:kern w:val="0"/>
          <w:sz w:val="28"/>
          <w:szCs w:val="28"/>
          <w:highlight w:val="none"/>
          <w:lang w:val="en-US" w:eastAsia="zh-CN" w:bidi="ar"/>
        </w:rPr>
        <w:t>10</w:t>
      </w:r>
      <w:r>
        <w:rPr>
          <w:rFonts w:hint="eastAsia" w:ascii="宋体" w:hAnsi="宋体" w:eastAsia="宋体" w:cs="宋体"/>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30cm</w:t>
      </w:r>
      <w:r>
        <w:rPr>
          <w:rFonts w:hint="eastAsia" w:ascii="宋体" w:hAnsi="宋体" w:eastAsia="宋体" w:cs="宋体"/>
          <w:color w:val="auto"/>
          <w:kern w:val="0"/>
          <w:sz w:val="28"/>
          <w:szCs w:val="28"/>
          <w:highlight w:val="none"/>
          <w:lang w:val="en-US" w:eastAsia="zh-CN" w:bidi="ar"/>
        </w:rPr>
        <w:t>的土层中，表层土根系很少，加之人为耕作，表土疏松，抗风蚀能力较低。</w:t>
      </w:r>
    </w:p>
    <w:p>
      <w:pPr>
        <w:keepNext w:val="0"/>
        <w:keepLines w:val="0"/>
        <w:widowControl/>
        <w:suppressLineNumbers w:val="0"/>
        <w:ind w:firstLine="560" w:firstLineChars="20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）植物群落</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由于人工种植系统的发展，地区植物种群由多样化部分变为某种单一化作物，植物群体结构由多层次变为同一层次，群体相互作用由多样性变为单一性。植物群体根系由多年生自然植物群体根系的多样化（根茎系、丛根系、块根系、直根系等），部分变为一年生丛根、直根、须根等，使地下根际系统单一化。</w:t>
      </w:r>
    </w:p>
    <w:p>
      <w:pPr>
        <w:keepNext w:val="0"/>
        <w:keepLines w:val="0"/>
        <w:widowControl/>
        <w:suppressLineNumbers w:val="0"/>
        <w:ind w:firstLine="560" w:firstLineChars="20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3</w:t>
      </w:r>
      <w:r>
        <w:rPr>
          <w:rFonts w:hint="eastAsia" w:ascii="宋体" w:hAnsi="宋体" w:eastAsia="宋体" w:cs="宋体"/>
          <w:color w:val="auto"/>
          <w:kern w:val="0"/>
          <w:sz w:val="28"/>
          <w:szCs w:val="28"/>
          <w:highlight w:val="none"/>
          <w:lang w:val="en-US" w:eastAsia="zh-CN" w:bidi="ar"/>
        </w:rPr>
        <w:t>）水文效应的改变</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根据对草地植被和农作物地面空气绝对湿度、相对湿度、地表温度进行观测的结果表明：5、6月草地地表绝对湿度和相对湿度高于农田，7、8月农田地表绝对湿度和相对湿度又高于草地；5、6月农田地表气温高于草地，7、8月农田地表气温低于草地</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现状结论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该项目所在地区已开发多年，井场主要分布在农田中形成了复合的生态系统。该区以农田为主。项目拟建井场占地均为基本农田。整个生态系统的生产力有较大程度的提高，农田土壤肥力增强。根据监测分析该区块土壤环境质量现状较好，气田开发并未对当地的土壤环境造成污染。</w:t>
      </w:r>
    </w:p>
    <w:p>
      <w:pPr>
        <w:keepNext w:val="0"/>
        <w:keepLines w:val="0"/>
        <w:widowControl/>
        <w:suppressLineNumbers w:val="0"/>
        <w:spacing w:line="360" w:lineRule="auto"/>
        <w:ind w:firstLine="560" w:firstLineChars="200"/>
        <w:jc w:val="both"/>
        <w:rPr>
          <w:rFonts w:hint="default"/>
          <w:color w:val="auto"/>
          <w:highlight w:val="none"/>
          <w:lang w:val="en-US" w:eastAsia="zh-CN"/>
        </w:rPr>
      </w:pPr>
      <w:r>
        <w:rPr>
          <w:rFonts w:hint="eastAsia" w:ascii="Times New Roman" w:hAnsi="Times New Roman" w:eastAsia="宋体" w:cs="Times New Roman"/>
          <w:color w:val="auto"/>
          <w:kern w:val="0"/>
          <w:sz w:val="28"/>
          <w:szCs w:val="28"/>
          <w:highlight w:val="none"/>
          <w:lang w:val="en-US" w:eastAsia="zh-CN" w:bidi="ar"/>
        </w:rPr>
        <w:t>综上所述，该区生态系统是以耕地为主，气田开发建设未对其造成较大影响，生态系统现状较好。生态现状图见图4.2-1。</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noWrap w:val="0"/>
            <w:vAlign w:val="top"/>
          </w:tcPr>
          <w:p>
            <w:pPr>
              <w:keepNext w:val="0"/>
              <w:keepLines w:val="0"/>
              <w:widowControl/>
              <w:suppressLineNumbers w:val="0"/>
              <w:spacing w:line="360" w:lineRule="auto"/>
              <w:jc w:val="both"/>
              <w:rPr>
                <w:rFonts w:hint="default" w:ascii="Times New Roman" w:hAnsi="Times New Roman" w:eastAsia="宋体" w:cs="Times New Roman"/>
                <w:b/>
                <w:bCs/>
                <w:color w:val="auto"/>
                <w:kern w:val="0"/>
                <w:sz w:val="30"/>
                <w:szCs w:val="30"/>
                <w:highlight w:val="none"/>
                <w:vertAlign w:val="baseline"/>
                <w:lang w:val="en-US" w:eastAsia="zh-CN" w:bidi="ar"/>
              </w:rPr>
            </w:pPr>
            <w:bookmarkStart w:id="128" w:name="_Toc6539"/>
            <w:r>
              <w:rPr>
                <w:rFonts w:hint="default" w:ascii="Times New Roman" w:hAnsi="Times New Roman" w:eastAsia="宋体" w:cs="Times New Roman"/>
                <w:b/>
                <w:bCs/>
                <w:color w:val="auto"/>
                <w:kern w:val="0"/>
                <w:sz w:val="30"/>
                <w:szCs w:val="30"/>
                <w:highlight w:val="none"/>
                <w:vertAlign w:val="baseline"/>
                <w:lang w:val="en-US" w:eastAsia="zh-CN" w:bidi="ar"/>
              </w:rPr>
              <w:drawing>
                <wp:inline distT="0" distB="0" distL="114300" distR="114300">
                  <wp:extent cx="5268595" cy="2740660"/>
                  <wp:effectExtent l="0" t="0" r="8255" b="2540"/>
                  <wp:docPr id="25" name="图片 10" descr="生态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生态现状图"/>
                          <pic:cNvPicPr>
                            <a:picLocks noChangeAspect="1"/>
                          </pic:cNvPicPr>
                        </pic:nvPicPr>
                        <pic:blipFill>
                          <a:blip r:embed="rId22"/>
                          <a:stretch>
                            <a:fillRect/>
                          </a:stretch>
                        </pic:blipFill>
                        <pic:spPr>
                          <a:xfrm>
                            <a:off x="0" y="0"/>
                            <a:ext cx="5268595" cy="27406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noWrap w:val="0"/>
            <w:vAlign w:val="top"/>
          </w:tcPr>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vertAlign w:val="baseline"/>
                <w:lang w:val="en-US" w:eastAsia="zh-CN" w:bidi="ar"/>
              </w:rPr>
            </w:pPr>
            <w:r>
              <w:rPr>
                <w:rFonts w:hint="eastAsia" w:ascii="Times New Roman" w:hAnsi="Times New Roman" w:eastAsia="宋体" w:cs="Times New Roman"/>
                <w:b/>
                <w:bCs/>
                <w:color w:val="auto"/>
                <w:kern w:val="0"/>
                <w:sz w:val="24"/>
                <w:szCs w:val="24"/>
                <w:highlight w:val="none"/>
                <w:vertAlign w:val="baseline"/>
                <w:lang w:val="en-US" w:eastAsia="zh-CN" w:bidi="ar"/>
              </w:rPr>
              <w:t>图4.2-1 耕地+人工林</w:t>
            </w:r>
          </w:p>
        </w:tc>
      </w:tr>
    </w:tbl>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29" w:name="_Toc24839"/>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4.3环境保护目标调查</w:t>
      </w:r>
      <w:bookmarkEnd w:id="128"/>
      <w:bookmarkEnd w:id="129"/>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本项目位于黑龙江省大庆市肇州县</w:t>
      </w:r>
      <w:r>
        <w:rPr>
          <w:rFonts w:hint="default" w:ascii="Times New Roman" w:hAnsi="Times New Roman" w:eastAsia="宋体" w:cs="Times New Roman"/>
          <w:color w:val="auto"/>
          <w:kern w:val="0"/>
          <w:sz w:val="28"/>
          <w:szCs w:val="28"/>
          <w:highlight w:val="none"/>
          <w:lang w:val="en-US" w:eastAsia="zh-CN" w:bidi="ar"/>
        </w:rPr>
        <w:t>双发</w:t>
      </w:r>
      <w:r>
        <w:rPr>
          <w:rFonts w:hint="eastAsia" w:ascii="Times New Roman" w:hAnsi="Times New Roman" w:eastAsia="宋体" w:cs="Times New Roman"/>
          <w:color w:val="auto"/>
          <w:kern w:val="0"/>
          <w:sz w:val="28"/>
          <w:szCs w:val="28"/>
          <w:highlight w:val="none"/>
          <w:lang w:val="en-US" w:eastAsia="zh-CN" w:bidi="ar"/>
        </w:rPr>
        <w:t>乡境内，区域内以耕地为主，区域内不规则分布已建的气井和油井；村庄零星分布在周围，村庄人口数80-400人不等。本项目拟建井场东侧1.8km处为北大排水干渠，为T型排水干渠，水渠东西宽30-40m，水渠深度约为4m，现非降雨期北大排水为干涸状态，</w:t>
      </w:r>
      <w:r>
        <w:rPr>
          <w:rFonts w:hint="default" w:ascii="Times New Roman" w:hAnsi="Times New Roman" w:eastAsia="宋体" w:cs="Times New Roman"/>
          <w:color w:val="auto"/>
          <w:kern w:val="0"/>
          <w:sz w:val="28"/>
          <w:szCs w:val="28"/>
          <w:highlight w:val="none"/>
          <w:lang w:val="en-US" w:eastAsia="zh-CN" w:bidi="ar"/>
        </w:rPr>
        <w:t>区域内地表水文状况属安达闭流区，无天然河流泡沼分布。</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周围附近村屯饮用水源均为分散式，供水人数均小于1000人，距离本项目气井最近为供水井为李珍窝棚分散式饮用水井，相对最近距离为276m，位于拟建井场肇深19-平3井西北侧。其他村内居民家中还有分散式水井，主要用于灌溉使用。</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30" w:name="_Toc14785"/>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4.</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4</w:t>
      </w:r>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区域环境污染源调查</w:t>
      </w:r>
      <w:bookmarkEnd w:id="130"/>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本项目为天然气开采前期钻井项目，所在区块为肇深16区块，周边3km范围内主要为农田、村庄以及零星气井，周边无其他工业企业。区块内在建工程主要为</w:t>
      </w:r>
      <w:r>
        <w:rPr>
          <w:rFonts w:hint="eastAsia" w:ascii="Times New Roman" w:hAnsi="Times New Roman" w:eastAsia="宋体" w:cs="Times New Roman"/>
          <w:color w:val="auto"/>
          <w:kern w:val="0"/>
          <w:sz w:val="28"/>
          <w:szCs w:val="28"/>
          <w:highlight w:val="none"/>
          <w:lang w:val="en-US" w:eastAsia="zh-CN" w:bidi="ar"/>
        </w:rPr>
        <w:t>本项目附近天然气开发井地面产能建设工程</w:t>
      </w:r>
      <w:r>
        <w:rPr>
          <w:rFonts w:hint="default" w:ascii="Times New Roman" w:hAnsi="Times New Roman" w:eastAsia="宋体" w:cs="Times New Roman"/>
          <w:color w:val="auto"/>
          <w:kern w:val="0"/>
          <w:sz w:val="28"/>
          <w:szCs w:val="28"/>
          <w:highlight w:val="none"/>
          <w:lang w:val="en-US" w:eastAsia="zh-CN" w:bidi="ar"/>
        </w:rPr>
        <w:t>，在建工程产生的废</w:t>
      </w:r>
      <w:r>
        <w:rPr>
          <w:rFonts w:hint="eastAsia" w:ascii="Times New Roman" w:hAnsi="Times New Roman" w:eastAsia="宋体" w:cs="Times New Roman"/>
          <w:color w:val="auto"/>
          <w:kern w:val="0"/>
          <w:sz w:val="28"/>
          <w:szCs w:val="28"/>
          <w:highlight w:val="none"/>
          <w:lang w:val="en-US" w:eastAsia="zh-CN" w:bidi="ar"/>
        </w:rPr>
        <w:t>钻井液及泥浆</w:t>
      </w:r>
      <w:r>
        <w:rPr>
          <w:rFonts w:hint="default" w:ascii="Times New Roman" w:hAnsi="Times New Roman" w:eastAsia="宋体" w:cs="Times New Roman"/>
          <w:color w:val="auto"/>
          <w:kern w:val="0"/>
          <w:sz w:val="28"/>
          <w:szCs w:val="28"/>
          <w:highlight w:val="none"/>
          <w:lang w:val="en-US" w:eastAsia="zh-CN" w:bidi="ar"/>
        </w:rPr>
        <w:t>按照《废弃钻井液处理规范》（DB23/T693-2000）</w:t>
      </w:r>
      <w:r>
        <w:rPr>
          <w:rFonts w:hint="eastAsia" w:ascii="Times New Roman" w:hAnsi="Times New Roman" w:eastAsia="宋体" w:cs="Times New Roman"/>
          <w:color w:val="auto"/>
          <w:kern w:val="0"/>
          <w:sz w:val="28"/>
          <w:szCs w:val="28"/>
          <w:highlight w:val="none"/>
          <w:lang w:val="en-US" w:eastAsia="zh-CN" w:bidi="ar"/>
        </w:rPr>
        <w:t>及《陆上石油天然气开采水基钻井废弃物处理处置及资源化利用技术规范》（SY/T7466-2020）</w:t>
      </w:r>
      <w:r>
        <w:rPr>
          <w:rFonts w:hint="default" w:ascii="Times New Roman" w:hAnsi="Times New Roman" w:eastAsia="宋体" w:cs="Times New Roman"/>
          <w:color w:val="auto"/>
          <w:kern w:val="0"/>
          <w:sz w:val="28"/>
          <w:szCs w:val="28"/>
          <w:highlight w:val="none"/>
          <w:lang w:val="en-US" w:eastAsia="zh-CN" w:bidi="ar"/>
        </w:rPr>
        <w:t>要求，拉运至制定地点进行无害化处置；建筑垃圾按照环评设计阶段，拉运至制定场所进行处置；压裂返排液及钻井</w:t>
      </w:r>
      <w:r>
        <w:rPr>
          <w:rFonts w:hint="eastAsia" w:ascii="Times New Roman" w:hAnsi="Times New Roman" w:eastAsia="宋体" w:cs="Times New Roman"/>
          <w:color w:val="auto"/>
          <w:kern w:val="0"/>
          <w:sz w:val="28"/>
          <w:szCs w:val="28"/>
          <w:highlight w:val="none"/>
          <w:lang w:val="en-US" w:eastAsia="zh-CN" w:bidi="ar"/>
        </w:rPr>
        <w:t>污</w:t>
      </w:r>
      <w:r>
        <w:rPr>
          <w:rFonts w:hint="default" w:ascii="Times New Roman" w:hAnsi="Times New Roman" w:eastAsia="宋体" w:cs="Times New Roman"/>
          <w:color w:val="auto"/>
          <w:kern w:val="0"/>
          <w:sz w:val="28"/>
          <w:szCs w:val="28"/>
          <w:highlight w:val="none"/>
          <w:lang w:val="en-US" w:eastAsia="zh-CN" w:bidi="ar"/>
        </w:rPr>
        <w:t>水拉运至制定地点进行处置</w:t>
      </w:r>
      <w:r>
        <w:rPr>
          <w:rFonts w:hint="eastAsia" w:ascii="Times New Roman" w:hAnsi="Times New Roman" w:eastAsia="宋体" w:cs="Times New Roman"/>
          <w:color w:val="auto"/>
          <w:kern w:val="0"/>
          <w:sz w:val="28"/>
          <w:szCs w:val="28"/>
          <w:highlight w:val="none"/>
          <w:lang w:val="en-US" w:eastAsia="zh-CN" w:bidi="ar"/>
        </w:rPr>
        <w:t>，均不外排</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因工程未竣工，临时占地暂未恢复，建议建设单位在完成后续的产能建设施工后，及时对没有恢复的临时占地进行复垦</w:t>
      </w:r>
      <w:r>
        <w:rPr>
          <w:rFonts w:hint="eastAsia" w:ascii="Times New Roman" w:hAnsi="Times New Roman" w:eastAsia="宋体" w:cs="Times New Roman"/>
          <w:color w:val="auto"/>
          <w:kern w:val="0"/>
          <w:sz w:val="28"/>
          <w:szCs w:val="28"/>
          <w:highlight w:val="none"/>
          <w:lang w:val="en-US" w:eastAsia="zh-CN" w:bidi="ar"/>
        </w:rPr>
        <w:t>，优先进行生态恢复，必要进行生态监测，至临时占地恢复至施工前区域生态环境内原有生态量及生产力时，再进行下一步投产工作。</w:t>
      </w:r>
    </w:p>
    <w:p>
      <w:pPr>
        <w:rPr>
          <w:rFonts w:hint="default" w:ascii="Times New Roman" w:hAnsi="Times New Roman" w:cs="Times New Roman"/>
          <w:caps w:val="0"/>
          <w:smallCaps w:val="0"/>
          <w:color w:val="auto"/>
          <w:spacing w:val="0"/>
          <w:w w:val="100"/>
          <w:szCs w:val="28"/>
          <w:highlight w:val="none"/>
        </w:rPr>
      </w:pPr>
      <w:r>
        <w:rPr>
          <w:rFonts w:hint="default" w:ascii="Times New Roman" w:hAnsi="Times New Roman" w:cs="Times New Roman"/>
          <w:caps w:val="0"/>
          <w:smallCaps w:val="0"/>
          <w:color w:val="auto"/>
          <w:spacing w:val="0"/>
          <w:w w:val="100"/>
          <w:szCs w:val="28"/>
          <w:highlight w:val="none"/>
        </w:rPr>
        <w:br w:type="page"/>
      </w:r>
    </w:p>
    <w:p>
      <w:pPr>
        <w:pStyle w:val="5"/>
        <w:keepNext w:val="0"/>
        <w:keepLines w:val="0"/>
        <w:pageBreakBefore w:val="0"/>
        <w:numPr>
          <w:ilvl w:val="0"/>
          <w:numId w:val="0"/>
        </w:numPr>
        <w:tabs>
          <w:tab w:val="left" w:pos="1080"/>
        </w:tabs>
        <w:bidi w:val="0"/>
        <w:adjustRightInd w:val="0"/>
        <w:snapToGrid w:val="0"/>
        <w:spacing w:before="240" w:after="0" w:line="360" w:lineRule="auto"/>
        <w:ind w:left="0" w:firstLine="0" w:firstLineChars="0"/>
        <w:jc w:val="center"/>
        <w:rPr>
          <w:rFonts w:hint="eastAsia" w:ascii="Times New Roman" w:hAnsi="Times New Roman" w:eastAsia="宋体" w:cs="Times New Roman"/>
          <w:b/>
          <w:bCs/>
          <w:caps w:val="0"/>
          <w:smallCaps w:val="0"/>
          <w:color w:val="auto"/>
          <w:spacing w:val="0"/>
          <w:w w:val="100"/>
          <w:sz w:val="32"/>
          <w:szCs w:val="32"/>
          <w:highlight w:val="none"/>
          <w:lang w:val="en-US" w:eastAsia="zh-CN"/>
        </w:rPr>
      </w:pPr>
      <w:bookmarkStart w:id="131" w:name="_Toc424207068"/>
      <w:bookmarkStart w:id="132" w:name="_Toc63346961"/>
      <w:bookmarkStart w:id="133" w:name="_Toc15012"/>
      <w:r>
        <w:rPr>
          <w:rFonts w:hint="eastAsia" w:ascii="Times New Roman" w:hAnsi="Times New Roman" w:eastAsia="宋体" w:cs="Times New Roman"/>
          <w:b/>
          <w:bCs/>
          <w:caps w:val="0"/>
          <w:smallCaps w:val="0"/>
          <w:color w:val="auto"/>
          <w:spacing w:val="0"/>
          <w:w w:val="100"/>
          <w:sz w:val="32"/>
          <w:szCs w:val="32"/>
          <w:highlight w:val="none"/>
          <w:lang w:val="en-US" w:eastAsia="zh-CN"/>
        </w:rPr>
        <w:t>第五章   环境影响预测与评价</w:t>
      </w:r>
      <w:bookmarkEnd w:id="131"/>
      <w:bookmarkEnd w:id="132"/>
      <w:bookmarkEnd w:id="133"/>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34" w:name="_Toc49174407"/>
      <w:bookmarkStart w:id="135" w:name="_Toc49175014"/>
      <w:bookmarkStart w:id="136" w:name="_Toc31698"/>
      <w:bookmarkStart w:id="137" w:name="_Toc49174839"/>
      <w:bookmarkStart w:id="138" w:name="_Toc49174726"/>
      <w:bookmarkStart w:id="139" w:name="_Toc49174617"/>
      <w:bookmarkStart w:id="140" w:name="_Toc197"/>
      <w:bookmarkStart w:id="141" w:name="_Toc1883"/>
      <w:bookmarkStart w:id="142" w:name="_Toc119"/>
      <w:bookmarkStart w:id="143" w:name="_Toc882"/>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5.1</w:t>
      </w:r>
      <w:bookmarkEnd w:id="134"/>
      <w:bookmarkEnd w:id="135"/>
      <w:bookmarkEnd w:id="136"/>
      <w:bookmarkEnd w:id="137"/>
      <w:bookmarkEnd w:id="138"/>
      <w:bookmarkEnd w:id="139"/>
      <w:bookmarkEnd w:id="140"/>
      <w:bookmarkEnd w:id="141"/>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大气环境影响分析</w:t>
      </w:r>
      <w:bookmarkEnd w:id="142"/>
      <w:bookmarkEnd w:id="143"/>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bookmarkStart w:id="144" w:name="_Toc11047899"/>
      <w:r>
        <w:rPr>
          <w:rFonts w:hint="default" w:ascii="Times New Roman" w:hAnsi="Times New Roman" w:eastAsia="宋体" w:cs="Times New Roman"/>
          <w:color w:val="auto"/>
          <w:kern w:val="0"/>
          <w:sz w:val="28"/>
          <w:szCs w:val="28"/>
          <w:highlight w:val="none"/>
          <w:lang w:val="en-US" w:eastAsia="zh-CN" w:bidi="ar"/>
        </w:rPr>
        <w:t>工程施工期间，施工场地的废气主要是柴油机</w:t>
      </w:r>
      <w:r>
        <w:rPr>
          <w:rFonts w:hint="eastAsia" w:ascii="Times New Roman" w:hAnsi="Times New Roman" w:eastAsia="宋体" w:cs="Times New Roman"/>
          <w:color w:val="auto"/>
          <w:kern w:val="0"/>
          <w:sz w:val="28"/>
          <w:szCs w:val="28"/>
          <w:highlight w:val="none"/>
          <w:lang w:val="en-US" w:eastAsia="zh-CN" w:bidi="ar"/>
        </w:rPr>
        <w:t>燃烧</w:t>
      </w:r>
      <w:r>
        <w:rPr>
          <w:rFonts w:hint="default" w:ascii="Times New Roman" w:hAnsi="Times New Roman" w:eastAsia="宋体" w:cs="Times New Roman"/>
          <w:color w:val="auto"/>
          <w:kern w:val="0"/>
          <w:sz w:val="28"/>
          <w:szCs w:val="28"/>
          <w:highlight w:val="none"/>
          <w:lang w:val="en-US" w:eastAsia="zh-CN" w:bidi="ar"/>
        </w:rPr>
        <w:t>烟气、施工车辆尾气、施工</w:t>
      </w:r>
      <w:r>
        <w:rPr>
          <w:rFonts w:hint="eastAsia" w:ascii="Times New Roman" w:hAnsi="Times New Roman" w:eastAsia="宋体" w:cs="Times New Roman"/>
          <w:color w:val="auto"/>
          <w:kern w:val="0"/>
          <w:sz w:val="28"/>
          <w:szCs w:val="28"/>
          <w:highlight w:val="none"/>
          <w:lang w:val="en-US" w:eastAsia="zh-CN" w:bidi="ar"/>
        </w:rPr>
        <w:t>及固井</w:t>
      </w:r>
      <w:r>
        <w:rPr>
          <w:rFonts w:hint="default" w:ascii="Times New Roman" w:hAnsi="Times New Roman" w:eastAsia="宋体" w:cs="Times New Roman"/>
          <w:color w:val="auto"/>
          <w:kern w:val="0"/>
          <w:sz w:val="28"/>
          <w:szCs w:val="28"/>
          <w:highlight w:val="none"/>
          <w:lang w:val="en-US" w:eastAsia="zh-CN" w:bidi="ar"/>
        </w:rPr>
        <w:t>扬尘</w:t>
      </w:r>
      <w:r>
        <w:rPr>
          <w:rFonts w:hint="eastAsia" w:ascii="Times New Roman" w:hAnsi="Times New Roman" w:eastAsia="宋体" w:cs="Times New Roman"/>
          <w:color w:val="auto"/>
          <w:kern w:val="0"/>
          <w:sz w:val="28"/>
          <w:szCs w:val="28"/>
          <w:highlight w:val="none"/>
          <w:lang w:val="en-US" w:eastAsia="zh-CN" w:bidi="ar"/>
        </w:rPr>
        <w:t>和放空火炬燃烧烟气</w:t>
      </w:r>
      <w:r>
        <w:rPr>
          <w:rFonts w:hint="default" w:ascii="Times New Roman" w:hAnsi="Times New Roman" w:eastAsia="宋体" w:cs="Times New Roman"/>
          <w:color w:val="auto"/>
          <w:kern w:val="0"/>
          <w:sz w:val="28"/>
          <w:szCs w:val="28"/>
          <w:highlight w:val="none"/>
          <w:lang w:val="en-US" w:eastAsia="zh-CN" w:bidi="ar"/>
        </w:rPr>
        <w:t>。由于这些影响都是暂时性的，施工结束就随之消失，对周围空气环境影响较小。</w:t>
      </w:r>
      <w:bookmarkEnd w:id="144"/>
    </w:p>
    <w:p>
      <w:pPr>
        <w:keepNext w:val="0"/>
        <w:keepLines w:val="0"/>
        <w:widowControl/>
        <w:suppressLineNumbers w:val="0"/>
        <w:spacing w:line="360" w:lineRule="auto"/>
        <w:jc w:val="both"/>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5.1.1</w:t>
      </w:r>
      <w:r>
        <w:rPr>
          <w:rFonts w:hint="default" w:ascii="Times New Roman" w:hAnsi="Times New Roman" w:eastAsia="宋体" w:cs="Times New Roman"/>
          <w:b w:val="0"/>
          <w:bCs w:val="0"/>
          <w:color w:val="auto"/>
          <w:kern w:val="0"/>
          <w:sz w:val="28"/>
          <w:szCs w:val="28"/>
          <w:highlight w:val="none"/>
          <w:lang w:val="en-US" w:eastAsia="zh-CN" w:bidi="ar"/>
        </w:rPr>
        <w:t>柴油发电机废气</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本项目施工期使用柴油机</w:t>
      </w:r>
      <w:r>
        <w:rPr>
          <w:rFonts w:hint="eastAsia" w:ascii="Times New Roman" w:hAnsi="Times New Roman" w:eastAsia="宋体" w:cs="Times New Roman"/>
          <w:color w:val="auto"/>
          <w:kern w:val="0"/>
          <w:sz w:val="28"/>
          <w:szCs w:val="28"/>
          <w:highlight w:val="none"/>
          <w:lang w:val="en-US" w:eastAsia="zh-CN" w:bidi="ar"/>
        </w:rPr>
        <w:t>功率为930-1000KW</w:t>
      </w:r>
      <w:r>
        <w:rPr>
          <w:rFonts w:hint="default" w:ascii="Times New Roman" w:hAnsi="Times New Roman" w:eastAsia="宋体" w:cs="Times New Roman"/>
          <w:color w:val="auto"/>
          <w:kern w:val="0"/>
          <w:sz w:val="28"/>
          <w:szCs w:val="28"/>
          <w:highlight w:val="none"/>
          <w:lang w:val="en-US" w:eastAsia="zh-CN" w:bidi="ar"/>
        </w:rPr>
        <w:t>。钻井期柴油钻机的使用时间约为6</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d，可计算出HC+NOx的排放速率为0.</w:t>
      </w:r>
      <w:r>
        <w:rPr>
          <w:rFonts w:hint="eastAsia" w:ascii="Times New Roman" w:hAnsi="Times New Roman" w:eastAsia="宋体" w:cs="Times New Roman"/>
          <w:color w:val="auto"/>
          <w:kern w:val="0"/>
          <w:sz w:val="28"/>
          <w:szCs w:val="28"/>
          <w:highlight w:val="none"/>
          <w:lang w:val="en-US" w:eastAsia="zh-CN" w:bidi="ar"/>
        </w:rPr>
        <w:t>85</w:t>
      </w:r>
      <w:r>
        <w:rPr>
          <w:rFonts w:hint="default" w:ascii="Times New Roman" w:hAnsi="Times New Roman" w:eastAsia="宋体" w:cs="Times New Roman"/>
          <w:color w:val="auto"/>
          <w:kern w:val="0"/>
          <w:sz w:val="28"/>
          <w:szCs w:val="28"/>
          <w:highlight w:val="none"/>
          <w:lang w:val="en-US" w:eastAsia="zh-CN" w:bidi="ar"/>
        </w:rPr>
        <w:t>g/kWh，颗粒物的排放速率为0.</w:t>
      </w:r>
      <w:r>
        <w:rPr>
          <w:rFonts w:hint="eastAsia" w:ascii="Times New Roman" w:hAnsi="Times New Roman" w:eastAsia="宋体" w:cs="Times New Roman"/>
          <w:color w:val="auto"/>
          <w:kern w:val="0"/>
          <w:sz w:val="28"/>
          <w:szCs w:val="28"/>
          <w:highlight w:val="none"/>
          <w:lang w:val="en-US" w:eastAsia="zh-CN" w:bidi="ar"/>
        </w:rPr>
        <w:t>15</w:t>
      </w:r>
      <w:r>
        <w:rPr>
          <w:rFonts w:hint="default" w:ascii="Times New Roman" w:hAnsi="Times New Roman" w:eastAsia="宋体" w:cs="Times New Roman"/>
          <w:color w:val="auto"/>
          <w:kern w:val="0"/>
          <w:sz w:val="28"/>
          <w:szCs w:val="28"/>
          <w:highlight w:val="none"/>
          <w:lang w:val="en-US" w:eastAsia="zh-CN" w:bidi="ar"/>
        </w:rPr>
        <w:t>g/kWh，CO的排放速率为0.</w:t>
      </w:r>
      <w:r>
        <w:rPr>
          <w:rFonts w:hint="eastAsia" w:ascii="Times New Roman" w:hAnsi="Times New Roman" w:eastAsia="宋体" w:cs="Times New Roman"/>
          <w:color w:val="auto"/>
          <w:kern w:val="0"/>
          <w:sz w:val="28"/>
          <w:szCs w:val="28"/>
          <w:highlight w:val="none"/>
          <w:lang w:val="en-US" w:eastAsia="zh-CN" w:bidi="ar"/>
        </w:rPr>
        <w:t>32</w:t>
      </w:r>
      <w:r>
        <w:rPr>
          <w:rFonts w:hint="default" w:ascii="Times New Roman" w:hAnsi="Times New Roman" w:eastAsia="宋体" w:cs="Times New Roman"/>
          <w:color w:val="auto"/>
          <w:kern w:val="0"/>
          <w:sz w:val="28"/>
          <w:szCs w:val="28"/>
          <w:highlight w:val="none"/>
          <w:lang w:val="en-US" w:eastAsia="zh-CN" w:bidi="ar"/>
        </w:rPr>
        <w:t>g/kWh，能够满足《非道路移动机械用柴油机排气污染物排放限值及测量方法》（中国第三、四阶段）（GB20891-2014）中第三阶段标准限值要求：P</w:t>
      </w:r>
      <w:r>
        <w:rPr>
          <w:rFonts w:hint="default" w:ascii="Times New Roman" w:hAnsi="Times New Roman" w:eastAsia="宋体" w:cs="Times New Roman"/>
          <w:color w:val="auto"/>
          <w:kern w:val="0"/>
          <w:sz w:val="28"/>
          <w:szCs w:val="28"/>
          <w:highlight w:val="none"/>
          <w:vertAlign w:val="subscript"/>
          <w:lang w:val="en-US" w:eastAsia="zh-CN" w:bidi="ar"/>
        </w:rPr>
        <w:t>max</w:t>
      </w:r>
      <w:r>
        <w:rPr>
          <w:rFonts w:hint="default" w:ascii="Times New Roman" w:hAnsi="Times New Roman" w:eastAsia="宋体" w:cs="Times New Roman"/>
          <w:color w:val="auto"/>
          <w:kern w:val="0"/>
          <w:sz w:val="28"/>
          <w:szCs w:val="28"/>
          <w:highlight w:val="none"/>
          <w:lang w:val="en-US" w:eastAsia="zh-CN" w:bidi="ar"/>
        </w:rPr>
        <w:t>＞560kW时，CO排放限值3.5g/kWh，HC+NO</w:t>
      </w:r>
      <w:r>
        <w:rPr>
          <w:rFonts w:hint="default" w:ascii="Times New Roman" w:hAnsi="Times New Roman" w:eastAsia="宋体" w:cs="Times New Roman"/>
          <w:color w:val="auto"/>
          <w:kern w:val="0"/>
          <w:sz w:val="28"/>
          <w:szCs w:val="28"/>
          <w:highlight w:val="none"/>
          <w:vertAlign w:val="subscript"/>
          <w:lang w:val="en-US" w:eastAsia="zh-CN" w:bidi="ar"/>
        </w:rPr>
        <w:t>X</w:t>
      </w:r>
      <w:r>
        <w:rPr>
          <w:rFonts w:hint="default" w:ascii="Times New Roman" w:hAnsi="Times New Roman" w:eastAsia="宋体" w:cs="Times New Roman"/>
          <w:color w:val="auto"/>
          <w:kern w:val="0"/>
          <w:sz w:val="28"/>
          <w:szCs w:val="28"/>
          <w:highlight w:val="none"/>
          <w:lang w:val="en-US" w:eastAsia="zh-CN" w:bidi="ar"/>
        </w:rPr>
        <w:t>排放限值6.4g/kWh，</w:t>
      </w:r>
      <w:r>
        <w:rPr>
          <w:rFonts w:hint="eastAsia" w:ascii="Times New Roman" w:hAnsi="Times New Roman" w:eastAsia="宋体" w:cs="Times New Roman"/>
          <w:color w:val="auto"/>
          <w:kern w:val="0"/>
          <w:sz w:val="28"/>
          <w:szCs w:val="28"/>
          <w:highlight w:val="none"/>
          <w:lang w:val="en-US" w:eastAsia="zh-CN" w:bidi="ar"/>
        </w:rPr>
        <w:t>颗粒物</w:t>
      </w:r>
      <w:r>
        <w:rPr>
          <w:rFonts w:hint="default" w:ascii="Times New Roman" w:hAnsi="Times New Roman" w:eastAsia="宋体" w:cs="Times New Roman"/>
          <w:color w:val="auto"/>
          <w:kern w:val="0"/>
          <w:sz w:val="28"/>
          <w:szCs w:val="28"/>
          <w:highlight w:val="none"/>
          <w:lang w:val="en-US" w:eastAsia="zh-CN" w:bidi="ar"/>
        </w:rPr>
        <w:t>排放限值0.2g/kWh，实现达标排放</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施工时使用低标号柴油，调节好柴油机运行工况，且项目</w:t>
      </w:r>
      <w:r>
        <w:rPr>
          <w:rFonts w:hint="eastAsia" w:ascii="Times New Roman" w:hAnsi="Times New Roman" w:eastAsia="宋体" w:cs="Times New Roman"/>
          <w:color w:val="auto"/>
          <w:kern w:val="0"/>
          <w:sz w:val="28"/>
          <w:szCs w:val="28"/>
          <w:highlight w:val="none"/>
          <w:lang w:val="en-US" w:eastAsia="zh-CN" w:bidi="ar"/>
        </w:rPr>
        <w:t>拟建</w:t>
      </w:r>
      <w:r>
        <w:rPr>
          <w:rFonts w:hint="default" w:ascii="Times New Roman" w:hAnsi="Times New Roman" w:eastAsia="宋体" w:cs="Times New Roman"/>
          <w:color w:val="auto"/>
          <w:kern w:val="0"/>
          <w:sz w:val="28"/>
          <w:szCs w:val="28"/>
          <w:highlight w:val="none"/>
          <w:lang w:val="en-US" w:eastAsia="zh-CN" w:bidi="ar"/>
        </w:rPr>
        <w:t>区域所在地较空旷，扩散能力较快，因此对局部区域环境的影响不大。随着施工工作的结束，柴油机排放的废气对环境空气的影响会逐渐消失。</w:t>
      </w:r>
    </w:p>
    <w:p>
      <w:pPr>
        <w:keepNext w:val="0"/>
        <w:keepLines w:val="0"/>
        <w:widowControl/>
        <w:suppressLineNumbers w:val="0"/>
        <w:spacing w:line="360" w:lineRule="auto"/>
        <w:jc w:val="both"/>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5.1.2</w:t>
      </w:r>
      <w:r>
        <w:rPr>
          <w:rFonts w:hint="default" w:ascii="Times New Roman" w:hAnsi="Times New Roman" w:eastAsia="宋体" w:cs="Times New Roman"/>
          <w:b w:val="0"/>
          <w:bCs w:val="0"/>
          <w:color w:val="auto"/>
          <w:kern w:val="0"/>
          <w:sz w:val="28"/>
          <w:szCs w:val="28"/>
          <w:highlight w:val="none"/>
          <w:lang w:val="en-US" w:eastAsia="zh-CN" w:bidi="ar"/>
        </w:rPr>
        <w:t>施工</w:t>
      </w:r>
      <w:r>
        <w:rPr>
          <w:rFonts w:hint="eastAsia" w:ascii="Times New Roman" w:hAnsi="Times New Roman" w:eastAsia="宋体" w:cs="Times New Roman"/>
          <w:b w:val="0"/>
          <w:bCs w:val="0"/>
          <w:color w:val="auto"/>
          <w:kern w:val="0"/>
          <w:sz w:val="28"/>
          <w:szCs w:val="28"/>
          <w:highlight w:val="none"/>
          <w:lang w:val="en-US" w:eastAsia="zh-CN" w:bidi="ar"/>
        </w:rPr>
        <w:t>及固井</w:t>
      </w:r>
      <w:r>
        <w:rPr>
          <w:rFonts w:hint="default" w:ascii="Times New Roman" w:hAnsi="Times New Roman" w:eastAsia="宋体" w:cs="Times New Roman"/>
          <w:b w:val="0"/>
          <w:bCs w:val="0"/>
          <w:color w:val="auto"/>
          <w:kern w:val="0"/>
          <w:sz w:val="28"/>
          <w:szCs w:val="28"/>
          <w:highlight w:val="none"/>
          <w:lang w:val="en-US" w:eastAsia="zh-CN" w:bidi="ar"/>
        </w:rPr>
        <w:t>扬尘</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（1）施工扬尘</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本项目井场开挖、道路施工中，将有施工扬尘产生。施工期间产生的扬尘污染主要取决于施工作业方式、材料的堆放以及风力等因素，其中受风力的影响因素最大</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随着风速的增大，施工扬尘的污染程度和超标范围也将随之增强和扩大。根据类比调查，一般情况下，施工场地、施工道路在自然风作用下产生的扬尘所影响的范围在100m以内</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施工期间</w:t>
      </w:r>
      <w:r>
        <w:rPr>
          <w:rFonts w:hint="eastAsia" w:ascii="Times New Roman" w:hAnsi="Times New Roman" w:eastAsia="宋体" w:cs="Times New Roman"/>
          <w:color w:val="auto"/>
          <w:kern w:val="0"/>
          <w:sz w:val="28"/>
          <w:szCs w:val="28"/>
          <w:highlight w:val="none"/>
          <w:lang w:val="en-US" w:eastAsia="zh-CN" w:bidi="ar"/>
        </w:rPr>
        <w:t>需</w:t>
      </w:r>
      <w:r>
        <w:rPr>
          <w:rFonts w:hint="default" w:ascii="Times New Roman" w:hAnsi="Times New Roman" w:eastAsia="宋体" w:cs="Times New Roman"/>
          <w:color w:val="auto"/>
          <w:kern w:val="0"/>
          <w:sz w:val="28"/>
          <w:szCs w:val="28"/>
          <w:highlight w:val="none"/>
          <w:lang w:val="en-US" w:eastAsia="zh-CN" w:bidi="ar"/>
        </w:rPr>
        <w:t>加强管理、控制作业面积，在运输和堆置过程中对易起尘的建筑材料加盖遮盖物，对进出的运输道路进行洒水抑尘，施工场地设置围护，大风天停止作业等措施，通过采取以上措施，</w:t>
      </w:r>
      <w:r>
        <w:rPr>
          <w:rFonts w:hint="eastAsia" w:ascii="Times New Roman" w:hAnsi="Times New Roman" w:eastAsia="宋体" w:cs="Times New Roman"/>
          <w:color w:val="auto"/>
          <w:kern w:val="0"/>
          <w:sz w:val="28"/>
          <w:szCs w:val="28"/>
          <w:highlight w:val="none"/>
          <w:lang w:val="en-US" w:eastAsia="zh-CN" w:bidi="ar"/>
        </w:rPr>
        <w:t>施工厂界</w:t>
      </w:r>
      <w:r>
        <w:rPr>
          <w:rFonts w:hint="default" w:ascii="Times New Roman" w:hAnsi="Times New Roman" w:eastAsia="宋体" w:cs="Times New Roman"/>
          <w:color w:val="auto"/>
          <w:kern w:val="0"/>
          <w:sz w:val="28"/>
          <w:szCs w:val="28"/>
          <w:highlight w:val="none"/>
          <w:lang w:val="en-US" w:eastAsia="zh-CN" w:bidi="ar"/>
        </w:rPr>
        <w:t>产生的扬尘可降至1.0mg/m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以下。</w:t>
      </w:r>
      <w:r>
        <w:rPr>
          <w:rFonts w:hint="eastAsia" w:ascii="Times New Roman" w:hAnsi="Times New Roman" w:eastAsia="宋体" w:cs="Times New Roman"/>
          <w:color w:val="auto"/>
          <w:kern w:val="0"/>
          <w:sz w:val="28"/>
          <w:szCs w:val="28"/>
          <w:highlight w:val="none"/>
          <w:lang w:val="en-US" w:eastAsia="zh-CN" w:bidi="ar"/>
        </w:rPr>
        <w:t>施工场地洒水抑尘的试验结果见表</w:t>
      </w:r>
      <w:r>
        <w:rPr>
          <w:rFonts w:hint="default" w:ascii="Times New Roman" w:hAnsi="Times New Roman" w:eastAsia="宋体" w:cs="Times New Roman"/>
          <w:color w:val="auto"/>
          <w:kern w:val="0"/>
          <w:sz w:val="28"/>
          <w:szCs w:val="28"/>
          <w:highlight w:val="none"/>
          <w:lang w:val="en-US" w:eastAsia="zh-CN" w:bidi="ar"/>
        </w:rPr>
        <w:t>5.1-1</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jc w:val="center"/>
        <w:rPr>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5.1-1</w:t>
      </w:r>
      <w:r>
        <w:rPr>
          <w:rFonts w:hint="eastAsia" w:ascii="宋体" w:hAnsi="宋体" w:eastAsia="宋体" w:cs="宋体"/>
          <w:b/>
          <w:bCs/>
          <w:color w:val="auto"/>
          <w:kern w:val="0"/>
          <w:sz w:val="24"/>
          <w:szCs w:val="24"/>
          <w:highlight w:val="none"/>
          <w:lang w:val="en-US" w:eastAsia="zh-CN" w:bidi="ar"/>
        </w:rPr>
        <w:t>施工场地洒水抑尘试验结果 单位：</w:t>
      </w:r>
      <w:r>
        <w:rPr>
          <w:rFonts w:hint="default" w:ascii="Times New Roman" w:hAnsi="Times New Roman" w:eastAsia="宋体" w:cs="Times New Roman"/>
          <w:b/>
          <w:bCs/>
          <w:color w:val="auto"/>
          <w:kern w:val="0"/>
          <w:sz w:val="24"/>
          <w:szCs w:val="24"/>
          <w:highlight w:val="none"/>
          <w:lang w:val="en-US" w:eastAsia="zh-CN" w:bidi="ar"/>
        </w:rPr>
        <w:t>mg/m</w:t>
      </w:r>
      <w:r>
        <w:rPr>
          <w:rFonts w:hint="default" w:ascii="Times New Roman" w:hAnsi="Times New Roman" w:eastAsia="宋体" w:cs="Times New Roman"/>
          <w:b/>
          <w:bCs/>
          <w:color w:val="auto"/>
          <w:kern w:val="0"/>
          <w:sz w:val="24"/>
          <w:szCs w:val="24"/>
          <w:highlight w:val="none"/>
          <w:vertAlign w:val="superscript"/>
          <w:lang w:val="en-US" w:eastAsia="zh-CN" w:bidi="ar"/>
        </w:rPr>
        <w:t>3</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距离</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TSP</w:t>
            </w:r>
            <w:r>
              <w:rPr>
                <w:rFonts w:hint="eastAsia" w:ascii="Times New Roman" w:hAnsi="Times New Roman" w:cs="Times New Roman"/>
                <w:color w:val="auto"/>
                <w:sz w:val="24"/>
                <w:szCs w:val="24"/>
                <w:highlight w:val="none"/>
                <w:vertAlign w:val="baseline"/>
                <w:lang w:val="en-US" w:eastAsia="zh-CN"/>
              </w:rPr>
              <w:t>小时平均浓度</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不洒水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10.14</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2.89</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1.15</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洒水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0.67</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0.60</w:t>
            </w:r>
          </w:p>
        </w:tc>
      </w:tr>
    </w:tbl>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由该表数据可看出对施工场地实施每天洒水</w:t>
      </w:r>
      <w:r>
        <w:rPr>
          <w:rFonts w:hint="default" w:ascii="Times New Roman" w:hAnsi="Times New Roman" w:eastAsia="宋体" w:cs="Times New Roman"/>
          <w:color w:val="auto"/>
          <w:kern w:val="0"/>
          <w:sz w:val="28"/>
          <w:szCs w:val="28"/>
          <w:highlight w:val="none"/>
          <w:lang w:val="en-US" w:eastAsia="zh-CN" w:bidi="ar"/>
        </w:rPr>
        <w:t>4-5</w:t>
      </w:r>
      <w:r>
        <w:rPr>
          <w:rFonts w:hint="eastAsia" w:ascii="Times New Roman" w:hAnsi="Times New Roman" w:eastAsia="宋体" w:cs="Times New Roman"/>
          <w:color w:val="auto"/>
          <w:kern w:val="0"/>
          <w:sz w:val="28"/>
          <w:szCs w:val="28"/>
          <w:highlight w:val="none"/>
          <w:lang w:val="en-US" w:eastAsia="zh-CN" w:bidi="ar"/>
        </w:rPr>
        <w:t>次进行抑尘，可将</w:t>
      </w:r>
      <w:r>
        <w:rPr>
          <w:rFonts w:hint="default" w:ascii="Times New Roman" w:hAnsi="Times New Roman" w:eastAsia="宋体" w:cs="Times New Roman"/>
          <w:color w:val="auto"/>
          <w:kern w:val="0"/>
          <w:sz w:val="28"/>
          <w:szCs w:val="28"/>
          <w:highlight w:val="none"/>
          <w:lang w:val="en-US" w:eastAsia="zh-CN" w:bidi="ar"/>
        </w:rPr>
        <w:t>TSP</w:t>
      </w:r>
      <w:r>
        <w:rPr>
          <w:rFonts w:hint="eastAsia" w:ascii="Times New Roman" w:hAnsi="Times New Roman" w:eastAsia="宋体" w:cs="Times New Roman"/>
          <w:color w:val="auto"/>
          <w:kern w:val="0"/>
          <w:sz w:val="28"/>
          <w:szCs w:val="28"/>
          <w:highlight w:val="none"/>
          <w:lang w:val="en-US" w:eastAsia="zh-CN" w:bidi="ar"/>
        </w:rPr>
        <w:t>污染距离缩小到</w:t>
      </w:r>
      <w:r>
        <w:rPr>
          <w:rFonts w:hint="default" w:ascii="Times New Roman" w:hAnsi="Times New Roman" w:eastAsia="宋体" w:cs="Times New Roman"/>
          <w:color w:val="auto"/>
          <w:kern w:val="0"/>
          <w:sz w:val="28"/>
          <w:szCs w:val="28"/>
          <w:highlight w:val="none"/>
          <w:lang w:val="en-US" w:eastAsia="zh-CN" w:bidi="ar"/>
        </w:rPr>
        <w:t>20-50m</w:t>
      </w:r>
      <w:r>
        <w:rPr>
          <w:rFonts w:hint="eastAsia" w:ascii="Times New Roman" w:hAnsi="Times New Roman" w:eastAsia="宋体" w:cs="Times New Roman"/>
          <w:color w:val="auto"/>
          <w:kern w:val="0"/>
          <w:sz w:val="28"/>
          <w:szCs w:val="28"/>
          <w:highlight w:val="none"/>
          <w:lang w:val="en-US" w:eastAsia="zh-CN" w:bidi="ar"/>
        </w:rPr>
        <w:t>范围。</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（2）固井扬尘</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固井水泥浆配置过程产生无组织粉尘，参照《逸散性工业粉尘控制技术》，水泥浆配置过程中粉尘产生情况取</w:t>
      </w:r>
      <w:r>
        <w:rPr>
          <w:rFonts w:hint="default" w:ascii="Times New Roman" w:hAnsi="Times New Roman" w:eastAsia="宋体" w:cs="Times New Roman"/>
          <w:color w:val="auto"/>
          <w:kern w:val="0"/>
          <w:sz w:val="28"/>
          <w:szCs w:val="28"/>
          <w:highlight w:val="none"/>
          <w:lang w:val="en-US" w:eastAsia="zh-CN" w:bidi="ar"/>
        </w:rPr>
        <w:t>0.02kg/t</w:t>
      </w:r>
      <w:r>
        <w:rPr>
          <w:rFonts w:hint="eastAsia" w:ascii="Times New Roman" w:hAnsi="Times New Roman" w:eastAsia="宋体" w:cs="Times New Roman"/>
          <w:color w:val="auto"/>
          <w:kern w:val="0"/>
          <w:sz w:val="28"/>
          <w:szCs w:val="28"/>
          <w:highlight w:val="none"/>
          <w:lang w:val="en-US" w:eastAsia="zh-CN" w:bidi="ar"/>
        </w:rPr>
        <w:t>物料量，本项目固井水泥用量1049</w:t>
      </w:r>
      <w:r>
        <w:rPr>
          <w:rFonts w:hint="default" w:ascii="Times New Roman" w:hAnsi="Times New Roman" w:eastAsia="宋体" w:cs="Times New Roman"/>
          <w:color w:val="auto"/>
          <w:kern w:val="0"/>
          <w:sz w:val="28"/>
          <w:szCs w:val="28"/>
          <w:highlight w:val="none"/>
          <w:lang w:val="en-US" w:eastAsia="zh-CN" w:bidi="ar"/>
        </w:rPr>
        <w:t>t</w:t>
      </w:r>
      <w:r>
        <w:rPr>
          <w:rFonts w:hint="eastAsia" w:ascii="Times New Roman" w:hAnsi="Times New Roman" w:eastAsia="宋体" w:cs="Times New Roman"/>
          <w:color w:val="auto"/>
          <w:kern w:val="0"/>
          <w:sz w:val="28"/>
          <w:szCs w:val="28"/>
          <w:highlight w:val="none"/>
          <w:lang w:val="en-US" w:eastAsia="zh-CN" w:bidi="ar"/>
        </w:rPr>
        <w:t>，则固井工序中扬尘产生量0.020</w:t>
      </w:r>
      <w:r>
        <w:rPr>
          <w:rFonts w:hint="default" w:ascii="Times New Roman" w:hAnsi="Times New Roman" w:eastAsia="宋体" w:cs="Times New Roman"/>
          <w:color w:val="auto"/>
          <w:kern w:val="0"/>
          <w:sz w:val="28"/>
          <w:szCs w:val="28"/>
          <w:highlight w:val="none"/>
          <w:lang w:val="en-US" w:eastAsia="zh-CN" w:bidi="ar"/>
        </w:rPr>
        <w:t>t</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本项目在施工期间，场地采取定期洒水抑尘的措施，根据《固体物料堆存颗粒物产排污核算系数手册》，洒水抑尘粉尘治理效率可达74%，则本项目无组织颗粒物排放量为0.005</w:t>
      </w:r>
      <w:r>
        <w:rPr>
          <w:rFonts w:hint="default" w:ascii="Times New Roman" w:hAnsi="Times New Roman" w:eastAsia="宋体" w:cs="Times New Roman"/>
          <w:color w:val="auto"/>
          <w:kern w:val="0"/>
          <w:sz w:val="28"/>
          <w:szCs w:val="28"/>
          <w:highlight w:val="none"/>
          <w:lang w:val="en-US" w:eastAsia="zh-CN" w:bidi="ar"/>
        </w:rPr>
        <w:t>t/a</w:t>
      </w:r>
      <w:r>
        <w:rPr>
          <w:rFonts w:hint="eastAsia" w:ascii="Times New Roman" w:hAnsi="Times New Roman" w:eastAsia="宋体" w:cs="Times New Roman"/>
          <w:color w:val="auto"/>
          <w:kern w:val="0"/>
          <w:sz w:val="28"/>
          <w:szCs w:val="28"/>
          <w:highlight w:val="none"/>
          <w:lang w:val="en-US" w:eastAsia="zh-CN" w:bidi="ar"/>
        </w:rPr>
        <w:t>。且施工厂界周围设置围挡，采取以上措施，可有效降低固井作业中产生的扬尘对周围环境的影响。</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（3）运输车辆扬尘</w:t>
      </w:r>
    </w:p>
    <w:p>
      <w:pPr>
        <w:keepNext w:val="0"/>
        <w:keepLines w:val="0"/>
        <w:widowControl/>
        <w:suppressLineNumbers w:val="0"/>
        <w:ind w:firstLine="560" w:firstLineChars="20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各种施工材料的运输给运输道路的沿线带来扬尘污染，运输车辆行驶扬尘与车辆行驶速度、风速、路面积尘量和积尘湿度等因素有关。当车辆通过干燥且路况较差路段时，在行车道两侧扬尘的</w:t>
      </w:r>
      <w:r>
        <w:rPr>
          <w:rFonts w:hint="default" w:ascii="Times New Roman" w:hAnsi="Times New Roman" w:eastAsia="宋体" w:cs="Times New Roman"/>
          <w:color w:val="auto"/>
          <w:kern w:val="0"/>
          <w:sz w:val="28"/>
          <w:szCs w:val="28"/>
          <w:highlight w:val="none"/>
          <w:lang w:val="en-US" w:eastAsia="zh-CN" w:bidi="ar"/>
        </w:rPr>
        <w:t>TSP</w:t>
      </w:r>
      <w:r>
        <w:rPr>
          <w:rFonts w:hint="eastAsia" w:ascii="Times New Roman" w:hAnsi="Times New Roman" w:eastAsia="宋体" w:cs="Times New Roman"/>
          <w:color w:val="auto"/>
          <w:kern w:val="0"/>
          <w:sz w:val="28"/>
          <w:szCs w:val="28"/>
          <w:highlight w:val="none"/>
          <w:lang w:val="en-US" w:eastAsia="zh-CN" w:bidi="ar"/>
        </w:rPr>
        <w:t>浓度短期内可达</w:t>
      </w:r>
      <w:r>
        <w:rPr>
          <w:rFonts w:hint="default" w:ascii="Times New Roman" w:hAnsi="Times New Roman" w:eastAsia="宋体" w:cs="Times New Roman"/>
          <w:color w:val="auto"/>
          <w:kern w:val="0"/>
          <w:sz w:val="28"/>
          <w:szCs w:val="28"/>
          <w:highlight w:val="none"/>
          <w:lang w:val="en-US" w:eastAsia="zh-CN" w:bidi="ar"/>
        </w:rPr>
        <w:t>8</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10mg/m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。运输物料的车辆必须封盖严密或上覆遮盖材料等，严禁散落；运输车辆驶出工地前须除泥降尘，严禁泥土尘沙带出工地；拉运固井水泥车辆采用罐装。</w:t>
      </w:r>
    </w:p>
    <w:p>
      <w:pPr>
        <w:keepNext w:val="0"/>
        <w:keepLines w:val="0"/>
        <w:widowControl/>
        <w:suppressLineNumbers w:val="0"/>
        <w:spacing w:line="360" w:lineRule="auto"/>
        <w:jc w:val="both"/>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5.1.3</w:t>
      </w:r>
      <w:r>
        <w:rPr>
          <w:rFonts w:hint="default" w:ascii="Times New Roman" w:hAnsi="Times New Roman" w:eastAsia="宋体" w:cs="Times New Roman"/>
          <w:b w:val="0"/>
          <w:bCs w:val="0"/>
          <w:color w:val="auto"/>
          <w:kern w:val="0"/>
          <w:sz w:val="28"/>
          <w:szCs w:val="28"/>
          <w:highlight w:val="none"/>
          <w:lang w:val="en-US" w:eastAsia="zh-CN" w:bidi="ar"/>
        </w:rPr>
        <w:t>汽车尾气</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类比油田各类开发项目，</w:t>
      </w:r>
      <w:r>
        <w:rPr>
          <w:rFonts w:hint="default" w:ascii="Times New Roman" w:hAnsi="Times New Roman" w:eastAsia="宋体" w:cs="Times New Roman"/>
          <w:color w:val="auto"/>
          <w:kern w:val="0"/>
          <w:sz w:val="28"/>
          <w:szCs w:val="28"/>
          <w:highlight w:val="none"/>
          <w:lang w:val="en-US" w:eastAsia="zh-CN" w:bidi="ar"/>
        </w:rPr>
        <w:t>运输车辆排放的尾气会对大气环境造成一定污染，由于车辆排放的尾气为流动的线源，影响范围较大，但其污染不集中且扩散能力相对较快，因此对环境空气影响的影响不是很大。</w:t>
      </w:r>
    </w:p>
    <w:p>
      <w:pPr>
        <w:keepNext w:val="0"/>
        <w:keepLines w:val="0"/>
        <w:widowControl/>
        <w:suppressLineNumbers w:val="0"/>
        <w:spacing w:line="360" w:lineRule="auto"/>
        <w:jc w:val="both"/>
        <w:rPr>
          <w:rFonts w:hint="eastAsia"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5.1.4放空火炬燃烧废气</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本项目试气作业产气通过放空管线引入井场临时设置的放空火炬燃烧处理，火炬装置试气作业期间始终连续燃烧，保证产出气全部充分燃烧后排放，废气中主要污染物为</w:t>
      </w:r>
      <w:r>
        <w:rPr>
          <w:rFonts w:hint="default" w:ascii="Times New Roman" w:hAnsi="Times New Roman" w:eastAsia="宋体" w:cs="Times New Roman"/>
          <w:color w:val="auto"/>
          <w:kern w:val="0"/>
          <w:sz w:val="28"/>
          <w:szCs w:val="28"/>
          <w:highlight w:val="none"/>
          <w:lang w:val="en-US" w:eastAsia="zh-CN" w:bidi="ar"/>
        </w:rPr>
        <w:t>SO</w:t>
      </w:r>
      <w:r>
        <w:rPr>
          <w:rFonts w:hint="default"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NO</w:t>
      </w:r>
      <w:r>
        <w:rPr>
          <w:rFonts w:hint="eastAsia" w:ascii="Times New Roman" w:hAnsi="Times New Roman" w:eastAsia="宋体" w:cs="Times New Roman"/>
          <w:color w:val="auto"/>
          <w:kern w:val="0"/>
          <w:sz w:val="28"/>
          <w:szCs w:val="28"/>
          <w:highlight w:val="none"/>
          <w:vertAlign w:val="subscript"/>
          <w:lang w:val="en-US" w:eastAsia="zh-CN" w:bidi="ar"/>
        </w:rPr>
        <w:t>X</w:t>
      </w:r>
      <w:r>
        <w:rPr>
          <w:rFonts w:hint="eastAsia" w:ascii="Times New Roman" w:hAnsi="Times New Roman" w:eastAsia="宋体" w:cs="Times New Roman"/>
          <w:color w:val="auto"/>
          <w:kern w:val="0"/>
          <w:sz w:val="28"/>
          <w:szCs w:val="28"/>
          <w:highlight w:val="none"/>
          <w:lang w:val="en-US" w:eastAsia="zh-CN" w:bidi="ar"/>
        </w:rPr>
        <w:t>和颗粒物。本项目试气作业总时间为15天，时间较短且所在区域较开阔，废气扩散较快，其对附近环境影响是暂时的，随着压裂试气作业结束后，放空火炬燃烧烟气对环境空气的影响会逐渐消失。</w:t>
      </w:r>
    </w:p>
    <w:p>
      <w:pPr>
        <w:keepNext w:val="0"/>
        <w:keepLines w:val="0"/>
        <w:widowControl/>
        <w:suppressLineNumbers w:val="0"/>
        <w:spacing w:line="360" w:lineRule="auto"/>
        <w:jc w:val="both"/>
        <w:rPr>
          <w:rFonts w:hint="eastAsia" w:ascii="Times New Roman" w:hAnsi="Times New Roman" w:eastAsia="宋体" w:cs="Times New Roman"/>
          <w:b w:val="0"/>
          <w:bCs w:val="0"/>
          <w:color w:val="auto"/>
          <w:kern w:val="0"/>
          <w:sz w:val="28"/>
          <w:szCs w:val="28"/>
          <w:highlight w:val="none"/>
          <w:lang w:val="en-US" w:eastAsia="zh-CN" w:bidi="ar"/>
        </w:rPr>
      </w:pPr>
      <w:r>
        <w:rPr>
          <w:rFonts w:hint="default" w:ascii="Times New Roman" w:hAnsi="Times New Roman" w:eastAsia="宋体" w:cs="Times New Roman"/>
          <w:b w:val="0"/>
          <w:bCs w:val="0"/>
          <w:color w:val="auto"/>
          <w:kern w:val="0"/>
          <w:sz w:val="28"/>
          <w:szCs w:val="28"/>
          <w:highlight w:val="none"/>
          <w:lang w:val="en-US" w:eastAsia="zh-CN" w:bidi="ar"/>
        </w:rPr>
        <w:t>5.1.</w:t>
      </w:r>
      <w:r>
        <w:rPr>
          <w:rFonts w:hint="eastAsia" w:ascii="Times New Roman" w:hAnsi="Times New Roman" w:eastAsia="宋体" w:cs="Times New Roman"/>
          <w:b w:val="0"/>
          <w:bCs w:val="0"/>
          <w:color w:val="auto"/>
          <w:kern w:val="0"/>
          <w:sz w:val="28"/>
          <w:szCs w:val="28"/>
          <w:highlight w:val="none"/>
          <w:lang w:val="en-US" w:eastAsia="zh-CN" w:bidi="ar"/>
        </w:rPr>
        <w:t>5空气环境影响评价结论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项目施工期通过采取有效地抑尘、规划行车路线及管理养护措施，施工期场界扬尘浓度满足《大气污染物综合排放标准》（</w:t>
      </w:r>
      <w:r>
        <w:rPr>
          <w:rFonts w:hint="default" w:ascii="Times New Roman" w:hAnsi="Times New Roman" w:eastAsia="宋体" w:cs="Times New Roman"/>
          <w:color w:val="auto"/>
          <w:kern w:val="0"/>
          <w:sz w:val="28"/>
          <w:szCs w:val="28"/>
          <w:highlight w:val="none"/>
          <w:lang w:val="en-US" w:eastAsia="zh-CN" w:bidi="ar"/>
        </w:rPr>
        <w:t>GB16297-1996</w:t>
      </w:r>
      <w:r>
        <w:rPr>
          <w:rFonts w:hint="eastAsia" w:ascii="Times New Roman" w:hAnsi="Times New Roman" w:eastAsia="宋体" w:cs="Times New Roman"/>
          <w:color w:val="auto"/>
          <w:kern w:val="0"/>
          <w:sz w:val="28"/>
          <w:szCs w:val="28"/>
          <w:highlight w:val="none"/>
          <w:lang w:val="en-US" w:eastAsia="zh-CN" w:bidi="ar"/>
        </w:rPr>
        <w:t>）表2中无组织排放监控浓度限值要求，对区域空气环境及环境空气敏感目标的影响较小。</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bookmarkStart w:id="145" w:name="_Toc16535"/>
      <w:r>
        <w:rPr>
          <w:rFonts w:hint="eastAsia" w:ascii="Times New Roman" w:hAnsi="Times New Roman" w:eastAsia="宋体" w:cs="Times New Roman"/>
          <w:color w:val="auto"/>
          <w:kern w:val="0"/>
          <w:sz w:val="28"/>
          <w:szCs w:val="28"/>
          <w:highlight w:val="none"/>
          <w:lang w:val="en-US" w:eastAsia="zh-CN" w:bidi="ar"/>
        </w:rPr>
        <w:t>若天然气不完全燃烧，将产生CH</w:t>
      </w:r>
      <w:r>
        <w:rPr>
          <w:rFonts w:hint="eastAsia" w:ascii="Times New Roman" w:hAnsi="Times New Roman" w:eastAsia="宋体" w:cs="Times New Roman"/>
          <w:color w:val="auto"/>
          <w:kern w:val="0"/>
          <w:sz w:val="28"/>
          <w:szCs w:val="28"/>
          <w:highlight w:val="none"/>
          <w:vertAlign w:val="subscript"/>
          <w:lang w:val="en-US" w:eastAsia="zh-CN" w:bidi="ar"/>
        </w:rPr>
        <w:t>4</w:t>
      </w:r>
      <w:r>
        <w:rPr>
          <w:rFonts w:hint="eastAsia" w:ascii="Times New Roman" w:hAnsi="Times New Roman" w:eastAsia="宋体" w:cs="Times New Roman"/>
          <w:color w:val="auto"/>
          <w:kern w:val="0"/>
          <w:sz w:val="28"/>
          <w:szCs w:val="28"/>
          <w:highlight w:val="none"/>
          <w:lang w:val="en-US" w:eastAsia="zh-CN" w:bidi="ar"/>
        </w:rPr>
        <w:t>、CO等废气，对环境空气产生污染。因此，应科学设计燃烧排放口，使天然气完全燃烧，减轻对环境空气的污染。同时建议建设单位对试气排放的天然气考虑收集措施，在试气前可预铺管道收集试气废气至集气站，以实现试气过程中天然气的资源化利用，同时减轻试气废气对环境的影响。</w:t>
      </w:r>
    </w:p>
    <w:p>
      <w:pPr>
        <w:keepNext/>
        <w:keepLines/>
        <w:pageBreakBefore w:val="0"/>
        <w:widowControl w:val="0"/>
        <w:numPr>
          <w:ilvl w:val="0"/>
          <w:numId w:val="0"/>
        </w:numPr>
        <w:bidi w:val="0"/>
        <w:spacing w:before="78" w:beforeLines="25" w:after="78" w:afterLines="25" w:line="360" w:lineRule="auto"/>
        <w:jc w:val="left"/>
        <w:outlineLvl w:val="1"/>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5.2</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地表水环境影响分析</w:t>
      </w:r>
      <w:bookmarkEnd w:id="145"/>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本项目仅开展钻井施工及压裂试气作业，不涉及运营期，施工期废水包括钻井污水、压裂返排液、施工人员生活污水及试气采出液。</w:t>
      </w:r>
    </w:p>
    <w:p>
      <w:pPr>
        <w:keepNext w:val="0"/>
        <w:keepLines w:val="0"/>
        <w:widowControl/>
        <w:suppressLineNumbers w:val="0"/>
        <w:spacing w:line="360" w:lineRule="auto"/>
        <w:jc w:val="both"/>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5.2.1废水处置及去向</w:t>
      </w:r>
    </w:p>
    <w:p>
      <w:pPr>
        <w:keepNext w:val="0"/>
        <w:keepLines w:val="0"/>
        <w:widowControl/>
        <w:suppressLineNumbers w:val="0"/>
        <w:spacing w:line="360" w:lineRule="auto"/>
        <w:jc w:val="both"/>
        <w:rPr>
          <w:rFonts w:hint="eastAsia"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（1）钻井污水</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一般钻井废水产生量为1947m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与废弃水基钻井液、一般岩屑一起暂存于水基钢制泥浆槽，定期由罐车拉运至黑龙江龙之润五厂处理站处理。处理过程中产生的滤液由罐车送至杏十五一联合站污水处理站处理，满足《大庆油田地面工程建设设计规定》（Q/SYDQ0639-2015）限值要求“含油量≤20mg/L、悬浮固体含量≤20mg/L”，回注现役油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含油钻井废水产生量为5118m</w:t>
      </w:r>
      <w:r>
        <w:rPr>
          <w:rFonts w:hint="eastAsia" w:ascii="Times New Roman" w:hAnsi="Times New Roman" w:eastAsia="宋体" w:cs="Times New Roman"/>
          <w:b w:val="0"/>
          <w:bCs w:val="0"/>
          <w:color w:val="auto"/>
          <w:kern w:val="0"/>
          <w:sz w:val="28"/>
          <w:szCs w:val="28"/>
          <w:highlight w:val="none"/>
          <w:vertAlign w:val="superscript"/>
          <w:lang w:val="en-US" w:eastAsia="zh-CN" w:bidi="ar"/>
        </w:rPr>
        <w:t>3</w:t>
      </w:r>
      <w:r>
        <w:rPr>
          <w:rFonts w:hint="eastAsia" w:ascii="Times New Roman" w:hAnsi="Times New Roman" w:eastAsia="宋体" w:cs="Times New Roman"/>
          <w:b w:val="0"/>
          <w:bCs w:val="0"/>
          <w:color w:val="auto"/>
          <w:kern w:val="0"/>
          <w:sz w:val="28"/>
          <w:szCs w:val="28"/>
          <w:highlight w:val="none"/>
          <w:lang w:val="en-US" w:eastAsia="zh-CN" w:bidi="ar"/>
        </w:rPr>
        <w:t>，与</w:t>
      </w:r>
      <w:r>
        <w:rPr>
          <w:rFonts w:hint="eastAsia" w:ascii="Times New Roman" w:hAnsi="Times New Roman" w:eastAsia="宋体" w:cs="Times New Roman"/>
          <w:color w:val="auto"/>
          <w:kern w:val="0"/>
          <w:sz w:val="28"/>
          <w:szCs w:val="28"/>
          <w:highlight w:val="none"/>
          <w:lang w:val="en-US" w:eastAsia="zh-CN" w:bidi="ar"/>
        </w:rPr>
        <w:t>废弃油基钻井液</w:t>
      </w:r>
      <w:r>
        <w:rPr>
          <w:rFonts w:hint="eastAsia" w:ascii="Times New Roman" w:hAnsi="Times New Roman" w:eastAsia="宋体" w:cs="Times New Roman"/>
          <w:b w:val="0"/>
          <w:bCs w:val="0"/>
          <w:color w:val="auto"/>
          <w:kern w:val="0"/>
          <w:sz w:val="28"/>
          <w:szCs w:val="28"/>
          <w:highlight w:val="none"/>
          <w:lang w:val="en-US" w:eastAsia="zh-CN" w:bidi="ar"/>
        </w:rPr>
        <w:t>、油基岩屑一起暂存油基钢制泥浆槽，由罐车拉运至大庆市云泰石化产品有限公司建设的废弃泥浆无害化处理油基泥浆站处理。处理过程中产生的滤液由罐车运至龙一联含油污水站处理，处理后水质满足《大庆油田地面工程建设设计规定》（Q/SYDQ0639-2015）限值要求（含油量≤8mg/L、悬浮固体含量≤3mg/L）后回注。</w:t>
      </w:r>
    </w:p>
    <w:p>
      <w:pPr>
        <w:keepNext w:val="0"/>
        <w:keepLines w:val="0"/>
        <w:widowControl/>
        <w:suppressLineNumbers w:val="0"/>
        <w:spacing w:line="360" w:lineRule="auto"/>
        <w:jc w:val="both"/>
        <w:rPr>
          <w:rFonts w:hint="eastAsia"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（2）压裂返排液</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压裂返排液产生量约17100</w:t>
      </w:r>
      <w:r>
        <w:rPr>
          <w:rFonts w:hint="default"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由罐车拉运至哈19卸液站处理，处理后水质满足《大庆油田地面工程建设设计规定》（Q/SYDQ0639-2015）限值要求（含油量≤20mg/L，回注现役油层。</w:t>
      </w:r>
    </w:p>
    <w:p>
      <w:pPr>
        <w:keepNext w:val="0"/>
        <w:keepLines w:val="0"/>
        <w:widowControl/>
        <w:suppressLineNumbers w:val="0"/>
        <w:spacing w:line="360" w:lineRule="auto"/>
        <w:jc w:val="both"/>
        <w:rPr>
          <w:rFonts w:hint="default" w:ascii="Times New Roman" w:hAnsi="Times New Roman" w:eastAsia="宋体" w:cs="Times New Roman"/>
          <w:b/>
          <w:bCs/>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（3）试气采出液</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本项目试气产液产生量约为31m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，试气产液经计量池计量后贮存于储液罐内，最终拉运至升一联气田污水预处理站处理，满足《大庆油田地面工程建设设计规定》（Q/SYDQ0639-2015）限值要求（含油量≤10mg/L，悬浮固体含量≤5mg/L）回注现役油层。</w:t>
      </w:r>
    </w:p>
    <w:p>
      <w:pPr>
        <w:keepNext w:val="0"/>
        <w:keepLines w:val="0"/>
        <w:widowControl/>
        <w:suppressLineNumbers w:val="0"/>
        <w:spacing w:line="360" w:lineRule="auto"/>
        <w:jc w:val="both"/>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（4）生活污水</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本项目产生生活污水共192</w:t>
      </w:r>
      <w:r>
        <w:rPr>
          <w:rFonts w:hint="default"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，排入营地防渗生活污水池内，施工结束后进行卫生填埋处理，不外排。</w:t>
      </w:r>
    </w:p>
    <w:p>
      <w:pPr>
        <w:keepNext w:val="0"/>
        <w:keepLines w:val="0"/>
        <w:widowControl/>
        <w:suppressLineNumbers w:val="0"/>
        <w:spacing w:line="360" w:lineRule="auto"/>
        <w:jc w:val="both"/>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5.2.2影响途径及防治措施</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对地表水可能产生的污染途径主要是在降雨期，井场内形成的地表径流携带污染物质进入周围地表水体；或雨水冲刷施工设备，冲刷雨水携带油类、无机盐等成分随地表径流，进入井场外环境。本项目在施工过程中采取以下污染防治措施：</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①施工期间各类固体废物应及时清运，施工期间严禁将生活污水及生产废水直接排入附近周围地表水体。</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②宣传教育：施工单位应加强对施工人员爱护环境防止地表水体破坏的宣传教育活动，在施工过程中，应做到井然有序的实施组织设计，做到文明施工。</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③本项目井场四周、井架、储罐及泥浆槽周围均设置排水沟，同时井场储罐区周围设置围堰；在钻机平台周围铺设防渗布，及时废水转移至泥浆糟中暂存清运处置。</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④评价区降水大部分都分布在夏秋季（雨季），受气候和土壤、植被的影响，地面净流量变化较大，排水渠中水量丰枯量相差大，使得项目的主要潜在影响来自夏秋季（雨季）的施工。因此，项目施工应避免在夏秋季（雨季）进行，施工作业</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应选在枯水期水量较小的季节进行，采用围堰导流方式，收集施工场界周围地表径流雨水，不外排至外环境，收集雨水进入其他单位进行处置。</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综上所述，</w:t>
      </w:r>
      <w:r>
        <w:rPr>
          <w:rFonts w:hint="eastAsia" w:ascii="Times New Roman" w:hAnsi="Times New Roman" w:eastAsia="宋体" w:cs="Times New Roman"/>
          <w:color w:val="auto"/>
          <w:kern w:val="0"/>
          <w:sz w:val="28"/>
          <w:szCs w:val="28"/>
          <w:highlight w:val="none"/>
          <w:lang w:val="en-US" w:eastAsia="zh-CN" w:bidi="ar"/>
        </w:rPr>
        <w:t>在采取了上述措施后，施工期能够有效防止各类污染物进入附近地表水体造成污染事故，不会周边地表水环境产生影响。</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46" w:name="_Toc5293"/>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5.3</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地下水环境影响预测与评价</w:t>
      </w:r>
      <w:bookmarkEnd w:id="146"/>
    </w:p>
    <w:p>
      <w:pPr>
        <w:keepNext w:val="0"/>
        <w:keepLines w:val="0"/>
        <w:widowControl/>
        <w:suppressLineNumbers w:val="0"/>
        <w:jc w:val="left"/>
        <w:rPr>
          <w:b w:val="0"/>
          <w:bCs w:val="0"/>
          <w:color w:val="auto"/>
          <w:highlight w:val="none"/>
        </w:rPr>
      </w:pPr>
      <w:r>
        <w:rPr>
          <w:rFonts w:hint="default" w:ascii="Times New Roman" w:hAnsi="Times New Roman" w:eastAsia="宋体" w:cs="Times New Roman"/>
          <w:b w:val="0"/>
          <w:bCs w:val="0"/>
          <w:color w:val="auto"/>
          <w:kern w:val="0"/>
          <w:sz w:val="28"/>
          <w:szCs w:val="28"/>
          <w:highlight w:val="none"/>
          <w:lang w:val="en-US" w:eastAsia="zh-CN" w:bidi="ar"/>
        </w:rPr>
        <w:t>5.3.1</w:t>
      </w:r>
      <w:r>
        <w:rPr>
          <w:rFonts w:hint="eastAsia" w:ascii="宋体" w:hAnsi="宋体" w:eastAsia="宋体" w:cs="宋体"/>
          <w:b w:val="0"/>
          <w:bCs w:val="0"/>
          <w:color w:val="auto"/>
          <w:kern w:val="0"/>
          <w:sz w:val="28"/>
          <w:szCs w:val="28"/>
          <w:highlight w:val="none"/>
          <w:lang w:val="en-US" w:eastAsia="zh-CN" w:bidi="ar"/>
        </w:rPr>
        <w:t>正常情况下地下水环境影响分析</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（1）钻井过程地下水环境影响分析</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本项目可能对地下水环境产生影响的因素主要为钻井过程中产生的钻井污水、压裂返排液、</w:t>
      </w:r>
      <w:r>
        <w:rPr>
          <w:rFonts w:hint="eastAsia" w:ascii="Times New Roman" w:hAnsi="Times New Roman" w:eastAsia="宋体" w:cs="Times New Roman"/>
          <w:color w:val="auto"/>
          <w:kern w:val="0"/>
          <w:sz w:val="28"/>
          <w:szCs w:val="28"/>
          <w:highlight w:val="none"/>
          <w:lang w:val="en-US" w:eastAsia="zh-CN" w:bidi="ar"/>
        </w:rPr>
        <w:t>废钻井液、</w:t>
      </w:r>
      <w:r>
        <w:rPr>
          <w:rFonts w:hint="default" w:ascii="Times New Roman" w:hAnsi="Times New Roman" w:eastAsia="宋体" w:cs="Times New Roman"/>
          <w:color w:val="auto"/>
          <w:kern w:val="0"/>
          <w:sz w:val="28"/>
          <w:szCs w:val="28"/>
          <w:highlight w:val="none"/>
          <w:lang w:val="en-US" w:eastAsia="zh-CN" w:bidi="ar"/>
        </w:rPr>
        <w:t>岩屑、废射孔液及钻遇含水层时对地下水可能产生的影响。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为了避免污染地下水和土壤，本项目在井场设置了钢制泥浆槽，钻井过程中产生的钻井污水、</w:t>
      </w:r>
      <w:r>
        <w:rPr>
          <w:rFonts w:hint="eastAsia" w:ascii="Times New Roman" w:hAnsi="Times New Roman" w:eastAsia="宋体" w:cs="Times New Roman"/>
          <w:color w:val="auto"/>
          <w:kern w:val="0"/>
          <w:sz w:val="28"/>
          <w:szCs w:val="28"/>
          <w:highlight w:val="none"/>
          <w:lang w:val="en-US" w:eastAsia="zh-CN" w:bidi="ar"/>
        </w:rPr>
        <w:t>废钻井液、</w:t>
      </w:r>
      <w:r>
        <w:rPr>
          <w:rFonts w:hint="default" w:ascii="Times New Roman" w:hAnsi="Times New Roman" w:eastAsia="宋体" w:cs="Times New Roman"/>
          <w:color w:val="auto"/>
          <w:kern w:val="0"/>
          <w:sz w:val="28"/>
          <w:szCs w:val="28"/>
          <w:highlight w:val="none"/>
          <w:lang w:val="en-US" w:eastAsia="zh-CN" w:bidi="ar"/>
        </w:rPr>
        <w:t>岩屑、废射孔液不落地，直接进入该槽内，</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水基钻井泥浆及岩屑</w:t>
      </w:r>
      <w:r>
        <w:rPr>
          <w:rFonts w:hint="default" w:ascii="Times New Roman" w:hAnsi="Times New Roman" w:eastAsia="宋体" w:cs="Times New Roman"/>
          <w:color w:val="auto"/>
          <w:kern w:val="0"/>
          <w:sz w:val="28"/>
          <w:szCs w:val="28"/>
          <w:highlight w:val="none"/>
          <w:lang w:val="en-US" w:eastAsia="zh-CN" w:bidi="ar"/>
        </w:rPr>
        <w:t>由罐车拉运至黑龙江龙之润五厂处理站处理</w:t>
      </w:r>
      <w:r>
        <w:rPr>
          <w:rFonts w:hint="eastAsia" w:ascii="Times New Roman" w:hAnsi="Times New Roman" w:eastAsia="宋体" w:cs="Times New Roman"/>
          <w:color w:val="auto"/>
          <w:kern w:val="0"/>
          <w:sz w:val="28"/>
          <w:szCs w:val="28"/>
          <w:highlight w:val="none"/>
          <w:lang w:val="en-US" w:eastAsia="zh-CN" w:bidi="ar"/>
        </w:rPr>
        <w:t>，油基钻井泥浆及岩屑</w:t>
      </w:r>
      <w:r>
        <w:rPr>
          <w:rFonts w:hint="default" w:ascii="Times New Roman" w:hAnsi="Times New Roman" w:eastAsia="宋体" w:cs="Times New Roman"/>
          <w:color w:val="auto"/>
          <w:kern w:val="0"/>
          <w:sz w:val="28"/>
          <w:szCs w:val="28"/>
          <w:highlight w:val="none"/>
          <w:lang w:val="en-US" w:eastAsia="zh-CN" w:bidi="ar"/>
        </w:rPr>
        <w:t>由罐车拉运至废弃泥浆无害化处理油基泥浆站处理</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压裂返排液暂存在储液罐内，由罐车拉运至哈19卸液站处理。</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为了将钻遇含水层时对地下水可能产生的影响降至最小，本项目钻井全井段采用水基钻井液，使用三层套管，固井水泥返高至地面，确保完全封闭地下水层，以保护地下水不受污染。结合油田运行60年的实际经验可知，在固井质量可靠的基础上，一般井管泄漏的可能性极小。即使发生泄漏，固井时已加套管等防护措施，对地下水产生影响的可能性很小。</w:t>
      </w:r>
    </w:p>
    <w:p>
      <w:pPr>
        <w:keepNext w:val="0"/>
        <w:keepLines w:val="0"/>
        <w:widowControl/>
        <w:suppressLineNumbers w:val="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default" w:ascii="Times New Roman" w:hAnsi="Times New Roman" w:eastAsia="宋体" w:cs="Times New Roman"/>
          <w:b w:val="0"/>
          <w:bCs w:val="0"/>
          <w:color w:val="auto"/>
          <w:kern w:val="0"/>
          <w:sz w:val="28"/>
          <w:szCs w:val="28"/>
          <w:highlight w:val="none"/>
          <w:lang w:val="en-US" w:eastAsia="zh-CN" w:bidi="ar"/>
        </w:rPr>
        <w:t>（2）井场生活污水池对地下水环境影响分析</w:t>
      </w:r>
    </w:p>
    <w:p>
      <w:pPr>
        <w:keepNext w:val="0"/>
        <w:keepLines w:val="0"/>
        <w:widowControl/>
        <w:suppressLineNumbers w:val="0"/>
        <w:ind w:firstLine="560" w:firstLineChars="200"/>
        <w:jc w:val="both"/>
        <w:rPr>
          <w:rFonts w:hint="default" w:ascii="宋体" w:hAnsi="宋体" w:eastAsia="宋体" w:cs="宋体"/>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本项目钻井井场设置的生活污水池均进行防渗处理，池底用粘土进行压实，然后在池底及池壁铺设人工防渗层，其防渗层的等效Mb≥1.5m、K≤1.0×10</w:t>
      </w:r>
      <w:r>
        <w:rPr>
          <w:rFonts w:hint="default" w:ascii="Times New Roman" w:hAnsi="Times New Roman" w:eastAsia="宋体" w:cs="Times New Roman"/>
          <w:color w:val="auto"/>
          <w:kern w:val="0"/>
          <w:sz w:val="28"/>
          <w:szCs w:val="28"/>
          <w:highlight w:val="none"/>
          <w:vertAlign w:val="superscript"/>
          <w:lang w:val="en-US" w:eastAsia="zh-CN" w:bidi="ar"/>
        </w:rPr>
        <w:t>-7</w:t>
      </w:r>
      <w:r>
        <w:rPr>
          <w:rFonts w:hint="default" w:ascii="Times New Roman" w:hAnsi="Times New Roman" w:eastAsia="宋体" w:cs="Times New Roman"/>
          <w:color w:val="auto"/>
          <w:kern w:val="0"/>
          <w:sz w:val="28"/>
          <w:szCs w:val="28"/>
          <w:highlight w:val="none"/>
          <w:lang w:val="en-US" w:eastAsia="zh-CN" w:bidi="ar"/>
        </w:rPr>
        <w:t>cm/s黏土防渗层</w:t>
      </w:r>
      <w:r>
        <w:rPr>
          <w:rFonts w:hint="eastAsia" w:ascii="宋体" w:hAnsi="宋体" w:eastAsia="宋体" w:cs="宋体"/>
          <w:color w:val="auto"/>
          <w:kern w:val="0"/>
          <w:sz w:val="28"/>
          <w:szCs w:val="28"/>
          <w:highlight w:val="none"/>
          <w:lang w:val="en-US" w:eastAsia="zh-CN" w:bidi="ar"/>
        </w:rPr>
        <w:t>，正常情况下生活污水不会渗漏，对区域地下水无影响。</w:t>
      </w:r>
    </w:p>
    <w:p>
      <w:pPr>
        <w:keepNext w:val="0"/>
        <w:keepLines w:val="0"/>
        <w:widowControl/>
        <w:suppressLineNumbers w:val="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default" w:ascii="Times New Roman" w:hAnsi="Times New Roman" w:eastAsia="宋体" w:cs="Times New Roman"/>
          <w:b w:val="0"/>
          <w:bCs w:val="0"/>
          <w:color w:val="auto"/>
          <w:kern w:val="0"/>
          <w:sz w:val="28"/>
          <w:szCs w:val="28"/>
          <w:highlight w:val="none"/>
          <w:lang w:val="en-US" w:eastAsia="zh-CN" w:bidi="ar"/>
        </w:rPr>
        <w:t>（3）柴油罐区对地下水影响分析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本项目钻井时使用柴油发电机提供动力，每座井场设置柴油罐区一处，柴油罐两座，为地上钢制卧罐。储罐为撬装式结构，容积为40m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/座，占地面积40m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柴油储罐区外设置围堰，</w:t>
      </w:r>
      <w:r>
        <w:rPr>
          <w:rFonts w:hint="default" w:ascii="Times New Roman" w:hAnsi="Times New Roman" w:eastAsia="宋体" w:cs="Times New Roman"/>
          <w:color w:val="auto"/>
          <w:kern w:val="0"/>
          <w:sz w:val="28"/>
          <w:szCs w:val="28"/>
          <w:highlight w:val="none"/>
          <w:lang w:val="en-US" w:eastAsia="zh-CN" w:bidi="ar"/>
        </w:rPr>
        <w:t>若发生储罐柴油泄露，</w:t>
      </w:r>
      <w:r>
        <w:rPr>
          <w:rFonts w:hint="eastAsia" w:ascii="Times New Roman" w:hAnsi="Times New Roman" w:eastAsia="宋体" w:cs="Times New Roman"/>
          <w:color w:val="auto"/>
          <w:kern w:val="0"/>
          <w:sz w:val="28"/>
          <w:szCs w:val="28"/>
          <w:highlight w:val="none"/>
          <w:lang w:val="en-US" w:eastAsia="zh-CN" w:bidi="ar"/>
        </w:rPr>
        <w:t>泄露的柴油可截留在围堰内，及时收集并转移。</w:t>
      </w:r>
      <w:r>
        <w:rPr>
          <w:rFonts w:hint="default" w:ascii="Times New Roman" w:hAnsi="Times New Roman" w:eastAsia="宋体" w:cs="Times New Roman"/>
          <w:color w:val="auto"/>
          <w:kern w:val="0"/>
          <w:sz w:val="28"/>
          <w:szCs w:val="28"/>
          <w:highlight w:val="none"/>
          <w:lang w:val="en-US" w:eastAsia="zh-CN" w:bidi="ar"/>
        </w:rPr>
        <w:t>储罐区进行重点防渗处置，</w:t>
      </w:r>
      <w:r>
        <w:rPr>
          <w:rFonts w:hint="eastAsia" w:ascii="Times New Roman" w:hAnsi="Times New Roman" w:eastAsia="宋体" w:cs="Times New Roman"/>
          <w:color w:val="auto"/>
          <w:kern w:val="0"/>
          <w:sz w:val="28"/>
          <w:szCs w:val="28"/>
          <w:highlight w:val="none"/>
          <w:lang w:val="en-US" w:eastAsia="zh-CN" w:bidi="ar"/>
        </w:rPr>
        <w:t>防渗系数</w:t>
      </w:r>
      <w:r>
        <w:rPr>
          <w:rFonts w:hint="default" w:ascii="Times New Roman" w:hAnsi="Times New Roman" w:eastAsia="宋体" w:cs="Times New Roman"/>
          <w:color w:val="auto"/>
          <w:kern w:val="0"/>
          <w:sz w:val="28"/>
          <w:szCs w:val="28"/>
          <w:highlight w:val="none"/>
          <w:lang w:val="en-US" w:eastAsia="zh-CN" w:bidi="ar"/>
        </w:rPr>
        <w:t>≤1.0×10</w:t>
      </w:r>
      <w:r>
        <w:rPr>
          <w:rFonts w:hint="default" w:ascii="Times New Roman" w:hAnsi="Times New Roman" w:eastAsia="宋体" w:cs="Times New Roman"/>
          <w:color w:val="auto"/>
          <w:kern w:val="0"/>
          <w:sz w:val="28"/>
          <w:szCs w:val="28"/>
          <w:highlight w:val="none"/>
          <w:vertAlign w:val="superscript"/>
          <w:lang w:val="en-US" w:eastAsia="zh-CN" w:bidi="ar"/>
        </w:rPr>
        <w:t>-</w:t>
      </w:r>
      <w:r>
        <w:rPr>
          <w:rFonts w:hint="eastAsia" w:ascii="Times New Roman" w:hAnsi="Times New Roman" w:eastAsia="宋体" w:cs="Times New Roman"/>
          <w:color w:val="auto"/>
          <w:kern w:val="0"/>
          <w:sz w:val="28"/>
          <w:szCs w:val="28"/>
          <w:highlight w:val="none"/>
          <w:vertAlign w:val="superscript"/>
          <w:lang w:val="en-US" w:eastAsia="zh-CN" w:bidi="ar"/>
        </w:rPr>
        <w:t>10</w:t>
      </w:r>
      <w:r>
        <w:rPr>
          <w:rFonts w:hint="default" w:ascii="Times New Roman" w:hAnsi="Times New Roman" w:eastAsia="宋体" w:cs="Times New Roman"/>
          <w:color w:val="auto"/>
          <w:kern w:val="0"/>
          <w:sz w:val="28"/>
          <w:szCs w:val="28"/>
          <w:highlight w:val="none"/>
          <w:lang w:val="en-US" w:eastAsia="zh-CN" w:bidi="ar"/>
        </w:rPr>
        <w:t>cm/s</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由于柴油罐为地上罐，即使发生泄漏也能够及时发现并处理，若单座柴油储罐发生泄露，泄露的柴油</w:t>
      </w:r>
      <w:r>
        <w:rPr>
          <w:rFonts w:hint="eastAsia" w:ascii="Times New Roman" w:hAnsi="Times New Roman" w:eastAsia="宋体" w:cs="Times New Roman"/>
          <w:color w:val="auto"/>
          <w:kern w:val="0"/>
          <w:sz w:val="28"/>
          <w:szCs w:val="28"/>
          <w:highlight w:val="none"/>
          <w:lang w:val="en-US" w:eastAsia="zh-CN" w:bidi="ar"/>
        </w:rPr>
        <w:t>可转移至另一个储罐内，</w:t>
      </w:r>
      <w:r>
        <w:rPr>
          <w:rFonts w:hint="default" w:ascii="Times New Roman" w:hAnsi="Times New Roman" w:eastAsia="宋体" w:cs="Times New Roman"/>
          <w:color w:val="auto"/>
          <w:kern w:val="0"/>
          <w:sz w:val="28"/>
          <w:szCs w:val="28"/>
          <w:highlight w:val="none"/>
          <w:lang w:val="en-US" w:eastAsia="zh-CN" w:bidi="ar"/>
        </w:rPr>
        <w:t>每座井场2座储罐同时发生泄露概率极小，对区域内地下水产生影响的可能性较小。</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井场泥浆槽对地下水环境影响分析</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钻井</w:t>
      </w:r>
      <w:r>
        <w:rPr>
          <w:rFonts w:hint="eastAsia" w:ascii="Times New Roman" w:hAnsi="Times New Roman" w:eastAsia="宋体" w:cs="Times New Roman"/>
          <w:color w:val="auto"/>
          <w:kern w:val="0"/>
          <w:sz w:val="28"/>
          <w:szCs w:val="28"/>
          <w:highlight w:val="none"/>
          <w:lang w:val="en-US" w:eastAsia="zh-CN" w:bidi="ar"/>
        </w:rPr>
        <w:t>井口</w:t>
      </w:r>
      <w:r>
        <w:rPr>
          <w:rFonts w:hint="default" w:ascii="Times New Roman" w:hAnsi="Times New Roman" w:eastAsia="宋体" w:cs="Times New Roman"/>
          <w:color w:val="auto"/>
          <w:kern w:val="0"/>
          <w:sz w:val="28"/>
          <w:szCs w:val="28"/>
          <w:highlight w:val="none"/>
          <w:lang w:val="en-US" w:eastAsia="zh-CN" w:bidi="ar"/>
        </w:rPr>
        <w:t>设置钢制泥浆槽，暂存</w:t>
      </w:r>
      <w:r>
        <w:rPr>
          <w:rFonts w:hint="eastAsia" w:ascii="Times New Roman" w:hAnsi="Times New Roman" w:eastAsia="宋体" w:cs="Times New Roman"/>
          <w:color w:val="auto"/>
          <w:kern w:val="0"/>
          <w:sz w:val="28"/>
          <w:szCs w:val="28"/>
          <w:highlight w:val="none"/>
          <w:lang w:val="en-US" w:eastAsia="zh-CN" w:bidi="ar"/>
        </w:rPr>
        <w:t>钻井污水、废钻井液、岩屑及废射孔液，</w:t>
      </w:r>
      <w:r>
        <w:rPr>
          <w:rFonts w:hint="default" w:ascii="Times New Roman" w:hAnsi="Times New Roman" w:eastAsia="宋体" w:cs="Times New Roman"/>
          <w:color w:val="auto"/>
          <w:kern w:val="0"/>
          <w:sz w:val="28"/>
          <w:szCs w:val="28"/>
          <w:highlight w:val="none"/>
          <w:lang w:val="en-US" w:eastAsia="zh-CN" w:bidi="ar"/>
        </w:rPr>
        <w:t>钢制泥浆槽</w:t>
      </w:r>
      <w:r>
        <w:rPr>
          <w:rFonts w:hint="eastAsia" w:ascii="Times New Roman" w:hAnsi="Times New Roman" w:eastAsia="宋体" w:cs="Times New Roman"/>
          <w:color w:val="auto"/>
          <w:kern w:val="0"/>
          <w:sz w:val="28"/>
          <w:szCs w:val="28"/>
          <w:highlight w:val="none"/>
          <w:lang w:val="en-US" w:eastAsia="zh-CN" w:bidi="ar"/>
        </w:rPr>
        <w:t>区</w:t>
      </w:r>
      <w:r>
        <w:rPr>
          <w:rFonts w:hint="default" w:ascii="Times New Roman" w:hAnsi="Times New Roman" w:eastAsia="宋体" w:cs="Times New Roman"/>
          <w:color w:val="auto"/>
          <w:kern w:val="0"/>
          <w:sz w:val="28"/>
          <w:szCs w:val="28"/>
          <w:highlight w:val="none"/>
          <w:lang w:val="en-US" w:eastAsia="zh-CN" w:bidi="ar"/>
        </w:rPr>
        <w:t>防渗处理，</w:t>
      </w:r>
      <w:r>
        <w:rPr>
          <w:rFonts w:hint="eastAsia" w:ascii="Times New Roman" w:hAnsi="Times New Roman" w:eastAsia="宋体" w:cs="Times New Roman"/>
          <w:color w:val="auto"/>
          <w:kern w:val="0"/>
          <w:sz w:val="28"/>
          <w:szCs w:val="28"/>
          <w:highlight w:val="none"/>
          <w:lang w:val="en-US" w:eastAsia="zh-CN" w:bidi="ar"/>
        </w:rPr>
        <w:t>水基泥浆槽暂存区进行一般防渗处置，</w:t>
      </w:r>
      <w:r>
        <w:rPr>
          <w:rFonts w:hint="default" w:ascii="Times New Roman" w:hAnsi="Times New Roman" w:eastAsia="宋体" w:cs="Times New Roman"/>
          <w:color w:val="auto"/>
          <w:kern w:val="0"/>
          <w:sz w:val="28"/>
          <w:szCs w:val="28"/>
          <w:highlight w:val="none"/>
          <w:lang w:val="en-US" w:eastAsia="zh-CN" w:bidi="ar"/>
        </w:rPr>
        <w:t>防渗性能等效Mb≥1.5m、K≤1.0×10</w:t>
      </w:r>
      <w:r>
        <w:rPr>
          <w:rFonts w:hint="default" w:ascii="Times New Roman" w:hAnsi="Times New Roman" w:eastAsia="宋体" w:cs="Times New Roman"/>
          <w:color w:val="auto"/>
          <w:kern w:val="0"/>
          <w:sz w:val="28"/>
          <w:szCs w:val="28"/>
          <w:highlight w:val="none"/>
          <w:vertAlign w:val="superscript"/>
          <w:lang w:val="en-US" w:eastAsia="zh-CN" w:bidi="ar"/>
        </w:rPr>
        <w:t>-7</w:t>
      </w:r>
      <w:r>
        <w:rPr>
          <w:rFonts w:hint="default" w:ascii="Times New Roman" w:hAnsi="Times New Roman" w:eastAsia="宋体" w:cs="Times New Roman"/>
          <w:color w:val="auto"/>
          <w:kern w:val="0"/>
          <w:sz w:val="28"/>
          <w:szCs w:val="28"/>
          <w:highlight w:val="none"/>
          <w:lang w:val="en-US" w:eastAsia="zh-CN" w:bidi="ar"/>
        </w:rPr>
        <w:t>cm/s黏土防渗层</w:t>
      </w:r>
      <w:r>
        <w:rPr>
          <w:rFonts w:hint="eastAsia" w:ascii="Times New Roman" w:hAnsi="Times New Roman" w:eastAsia="宋体" w:cs="Times New Roman"/>
          <w:color w:val="auto"/>
          <w:kern w:val="0"/>
          <w:sz w:val="28"/>
          <w:szCs w:val="28"/>
          <w:highlight w:val="none"/>
          <w:lang w:val="en-US" w:eastAsia="zh-CN" w:bidi="ar"/>
        </w:rPr>
        <w:t>；油基泥浆槽暂存区进行重点防渗处置防渗系数</w:t>
      </w:r>
      <w:r>
        <w:rPr>
          <w:rFonts w:hint="default" w:ascii="Times New Roman" w:hAnsi="Times New Roman" w:eastAsia="宋体" w:cs="Times New Roman"/>
          <w:color w:val="auto"/>
          <w:kern w:val="0"/>
          <w:sz w:val="28"/>
          <w:szCs w:val="28"/>
          <w:highlight w:val="none"/>
          <w:lang w:val="en-US" w:eastAsia="zh-CN" w:bidi="ar"/>
        </w:rPr>
        <w:t>≤1.0×10</w:t>
      </w:r>
      <w:r>
        <w:rPr>
          <w:rFonts w:hint="default" w:ascii="Times New Roman" w:hAnsi="Times New Roman" w:eastAsia="宋体" w:cs="Times New Roman"/>
          <w:color w:val="auto"/>
          <w:kern w:val="0"/>
          <w:sz w:val="28"/>
          <w:szCs w:val="28"/>
          <w:highlight w:val="none"/>
          <w:vertAlign w:val="superscript"/>
          <w:lang w:val="en-US" w:eastAsia="zh-CN" w:bidi="ar"/>
        </w:rPr>
        <w:t>-</w:t>
      </w:r>
      <w:r>
        <w:rPr>
          <w:rFonts w:hint="eastAsia" w:ascii="Times New Roman" w:hAnsi="Times New Roman" w:eastAsia="宋体" w:cs="Times New Roman"/>
          <w:color w:val="auto"/>
          <w:kern w:val="0"/>
          <w:sz w:val="28"/>
          <w:szCs w:val="28"/>
          <w:highlight w:val="none"/>
          <w:vertAlign w:val="superscript"/>
          <w:lang w:val="en-US" w:eastAsia="zh-CN" w:bidi="ar"/>
        </w:rPr>
        <w:t>10</w:t>
      </w:r>
      <w:r>
        <w:rPr>
          <w:rFonts w:hint="default" w:ascii="Times New Roman" w:hAnsi="Times New Roman" w:eastAsia="宋体" w:cs="Times New Roman"/>
          <w:color w:val="auto"/>
          <w:kern w:val="0"/>
          <w:sz w:val="28"/>
          <w:szCs w:val="28"/>
          <w:highlight w:val="none"/>
          <w:lang w:val="en-US" w:eastAsia="zh-CN" w:bidi="ar"/>
        </w:rPr>
        <w:t>cm/s</w:t>
      </w:r>
      <w:r>
        <w:rPr>
          <w:rFonts w:hint="eastAsia" w:ascii="Times New Roman" w:hAnsi="Times New Roman" w:eastAsia="宋体" w:cs="Times New Roman"/>
          <w:color w:val="auto"/>
          <w:kern w:val="0"/>
          <w:sz w:val="28"/>
          <w:szCs w:val="28"/>
          <w:highlight w:val="none"/>
          <w:lang w:val="en-US" w:eastAsia="zh-CN" w:bidi="ar"/>
        </w:rPr>
        <w:t>。暂存泥浆及时清运处置。</w:t>
      </w:r>
      <w:r>
        <w:rPr>
          <w:rFonts w:hint="default" w:ascii="Times New Roman" w:hAnsi="Times New Roman" w:eastAsia="宋体" w:cs="Times New Roman"/>
          <w:color w:val="auto"/>
          <w:kern w:val="0"/>
          <w:sz w:val="28"/>
          <w:szCs w:val="28"/>
          <w:highlight w:val="none"/>
          <w:lang w:val="en-US" w:eastAsia="zh-CN" w:bidi="ar"/>
        </w:rPr>
        <w:t>因此正常情况下钻井泥浆不会渗漏，对地下水影响很小。</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（5）试气产液</w:t>
      </w:r>
      <w:r>
        <w:rPr>
          <w:rFonts w:hint="default" w:ascii="Times New Roman" w:hAnsi="Times New Roman" w:eastAsia="宋体" w:cs="Times New Roman"/>
          <w:color w:val="auto"/>
          <w:kern w:val="0"/>
          <w:sz w:val="28"/>
          <w:szCs w:val="28"/>
          <w:highlight w:val="none"/>
          <w:lang w:val="en-US" w:eastAsia="zh-CN" w:bidi="ar"/>
        </w:rPr>
        <w:t>对地下水环境影响分析</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试气期间，天然气经气液分离器分离处的采出液经计量池计量后，暂存于储液罐内，由罐车拉运至最终拉运至升一联气田污水预处理站处理后回注现役油层，本项目井场储液罐区设置围堰，围堰内场地进行防渗处理，防渗性能等效Mb≥1.5m、K≤1.0×10</w:t>
      </w:r>
      <w:r>
        <w:rPr>
          <w:rFonts w:hint="eastAsia" w:ascii="Times New Roman" w:hAnsi="Times New Roman" w:eastAsia="宋体" w:cs="Times New Roman"/>
          <w:color w:val="auto"/>
          <w:kern w:val="0"/>
          <w:sz w:val="28"/>
          <w:szCs w:val="28"/>
          <w:highlight w:val="none"/>
          <w:vertAlign w:val="superscript"/>
          <w:lang w:val="en-US" w:eastAsia="zh-CN" w:bidi="ar"/>
        </w:rPr>
        <w:t>-7</w:t>
      </w:r>
      <w:r>
        <w:rPr>
          <w:rFonts w:hint="eastAsia" w:ascii="Times New Roman" w:hAnsi="Times New Roman" w:eastAsia="宋体" w:cs="Times New Roman"/>
          <w:color w:val="auto"/>
          <w:kern w:val="0"/>
          <w:sz w:val="28"/>
          <w:szCs w:val="28"/>
          <w:highlight w:val="none"/>
          <w:lang w:val="en-US" w:eastAsia="zh-CN" w:bidi="ar"/>
        </w:rPr>
        <w:t>cm/s黏土防渗层，正常状况下，对区域内地下水产生影响的可能性极小。</w:t>
      </w:r>
    </w:p>
    <w:p>
      <w:pPr>
        <w:keepNext w:val="0"/>
        <w:keepLines w:val="0"/>
        <w:widowControl/>
        <w:suppressLineNumbers w:val="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default" w:ascii="Times New Roman" w:hAnsi="Times New Roman" w:eastAsia="宋体" w:cs="Times New Roman"/>
          <w:b w:val="0"/>
          <w:bCs w:val="0"/>
          <w:color w:val="auto"/>
          <w:kern w:val="0"/>
          <w:sz w:val="28"/>
          <w:szCs w:val="28"/>
          <w:highlight w:val="none"/>
          <w:lang w:val="en-US" w:eastAsia="zh-CN" w:bidi="ar"/>
        </w:rPr>
        <w:t>5.3.2</w:t>
      </w:r>
      <w:r>
        <w:rPr>
          <w:rFonts w:hint="eastAsia" w:ascii="Times New Roman" w:hAnsi="Times New Roman" w:eastAsia="宋体" w:cs="Times New Roman"/>
          <w:b w:val="0"/>
          <w:bCs w:val="0"/>
          <w:color w:val="auto"/>
          <w:kern w:val="0"/>
          <w:sz w:val="28"/>
          <w:szCs w:val="28"/>
          <w:highlight w:val="none"/>
          <w:lang w:val="en-US" w:eastAsia="zh-CN" w:bidi="ar"/>
        </w:rPr>
        <w:t>非正常情况下地下水环境影响预测与评价</w:t>
      </w:r>
    </w:p>
    <w:p>
      <w:pPr>
        <w:keepNext w:val="0"/>
        <w:keepLines w:val="0"/>
        <w:widowControl/>
        <w:suppressLineNumbers w:val="0"/>
        <w:ind w:firstLine="560" w:firstLineChars="200"/>
        <w:jc w:val="both"/>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本项目非正常情况主要包括生活污水池防渗层破损导致污水下渗、柴油罐发生渗漏导致柴油下渗、压裂返排液暂存储罐发生渗漏导致废水下渗和固井质量差套管破损导致油气从井筒上返进入地下水含水层。</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由于本项目钻井周期时间较短，生活污水池采取的防渗措施在钻井周期内发生破损的可能性极小，同时由于池底部为粘土夯实层，因此发生因防渗层破损导致地下水污染事故的可能性极小。柴油罐区设置的柴油罐为地上式钢制卧式罐，若发生柴油泄漏，泄漏的柴油可全部围堵在围堰内，且柴油储罐区进行重点防渗，因此柴油罐区发生渗漏导致地下水污染事故的可能性也较小。</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压裂返排液储罐区周围设置围堰</w:t>
      </w:r>
      <w:r>
        <w:rPr>
          <w:rFonts w:hint="eastAsia" w:ascii="Times New Roman" w:hAnsi="Times New Roman" w:eastAsia="宋体" w:cs="Times New Roman"/>
          <w:color w:val="auto"/>
          <w:kern w:val="0"/>
          <w:sz w:val="28"/>
          <w:szCs w:val="28"/>
          <w:highlight w:val="none"/>
          <w:lang w:val="en-US" w:eastAsia="zh-CN" w:bidi="ar"/>
        </w:rPr>
        <w:t>及排水沟</w:t>
      </w:r>
      <w:r>
        <w:rPr>
          <w:rFonts w:hint="default" w:ascii="Times New Roman" w:hAnsi="Times New Roman" w:eastAsia="宋体" w:cs="Times New Roman"/>
          <w:color w:val="auto"/>
          <w:kern w:val="0"/>
          <w:sz w:val="28"/>
          <w:szCs w:val="28"/>
          <w:highlight w:val="none"/>
          <w:lang w:val="en-US" w:eastAsia="zh-CN" w:bidi="ar"/>
        </w:rPr>
        <w:t>，且每座井场设置20个储罐，</w:t>
      </w:r>
      <w:r>
        <w:rPr>
          <w:rFonts w:hint="eastAsia" w:ascii="Times New Roman" w:hAnsi="Times New Roman" w:eastAsia="宋体" w:cs="Times New Roman"/>
          <w:color w:val="auto"/>
          <w:kern w:val="0"/>
          <w:sz w:val="28"/>
          <w:szCs w:val="28"/>
          <w:highlight w:val="none"/>
          <w:lang w:val="en-US" w:eastAsia="zh-CN" w:bidi="ar"/>
        </w:rPr>
        <w:t>定期拉运至其他单位进行处置；储罐区为一般防渗区，若发生压裂返排液泄漏，可及时将泄漏的废水进行收集，转移至其他储罐中暂存，尽快拉运处置。</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若固井质量差套管破损及井喷，导致天然气从井筒上返进入地下水含水层，天然气主要物质为烃类气体，含轻组分较多，其在水中溶解度较小，故对地下水影响有限。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本次评价分别针对井场钢制泥浆</w:t>
      </w:r>
      <w:r>
        <w:rPr>
          <w:rFonts w:hint="eastAsia" w:ascii="Times New Roman" w:hAnsi="Times New Roman" w:eastAsia="宋体" w:cs="Times New Roman"/>
          <w:color w:val="auto"/>
          <w:kern w:val="0"/>
          <w:sz w:val="28"/>
          <w:szCs w:val="28"/>
          <w:highlight w:val="none"/>
          <w:lang w:val="en-US" w:eastAsia="zh-CN" w:bidi="ar"/>
        </w:rPr>
        <w:t>槽</w:t>
      </w:r>
      <w:r>
        <w:rPr>
          <w:rFonts w:hint="default" w:ascii="Times New Roman" w:hAnsi="Times New Roman" w:eastAsia="宋体" w:cs="Times New Roman"/>
          <w:color w:val="auto"/>
          <w:kern w:val="0"/>
          <w:sz w:val="28"/>
          <w:szCs w:val="28"/>
          <w:highlight w:val="none"/>
          <w:lang w:val="en-US" w:eastAsia="zh-CN" w:bidi="ar"/>
        </w:rPr>
        <w:t>泄漏、套管连接不及时两种情况对地下水产生的影响进行预测。</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（1）钢制泥浆槽泄漏</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1）预测原则</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遵循保护优先、预防为主的原则，结合地下水污染防控措施的基础上，对钢制泥浆</w:t>
      </w:r>
      <w:r>
        <w:rPr>
          <w:rFonts w:hint="eastAsia" w:ascii="Times New Roman" w:hAnsi="Times New Roman" w:eastAsia="宋体" w:cs="Times New Roman"/>
          <w:color w:val="auto"/>
          <w:kern w:val="0"/>
          <w:sz w:val="28"/>
          <w:szCs w:val="28"/>
          <w:highlight w:val="none"/>
          <w:lang w:val="en-US" w:eastAsia="zh-CN" w:bidi="ar"/>
        </w:rPr>
        <w:t>槽</w:t>
      </w:r>
      <w:r>
        <w:rPr>
          <w:rFonts w:hint="default" w:ascii="Times New Roman" w:hAnsi="Times New Roman" w:eastAsia="宋体" w:cs="Times New Roman"/>
          <w:color w:val="auto"/>
          <w:kern w:val="0"/>
          <w:sz w:val="28"/>
          <w:szCs w:val="28"/>
          <w:highlight w:val="none"/>
          <w:lang w:val="en-US" w:eastAsia="zh-CN" w:bidi="ar"/>
        </w:rPr>
        <w:t>泄漏引起的地下水环境影响进行预测。</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2）预测范围</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地下水环境影响预测范围与调查评价范围一致。</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）预测因子</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油基钻井液主要是由环保油、磺化共聚物、磺化酚醛树脂等添加剂组成，在钻井过程中，钻井液主要起到润滑钻头、将碎岩屑带出等作用。含有大量的还原性物质，COD浓度较高。因此钻井液对地下水产生的影响因子主要为COD、石油类，本项目预测中COD的浓度取2000mg/L，石油类浓度取500mg/L。</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水基钻井液主要为水基钻井泥浆主要是由膨润土、纯碱、碳酸钾、氧化钙等高分子添加剂组成，水基泥浆COD浓度取2000mg/L。</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4）预测参数</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本项目位于</w:t>
      </w:r>
      <w:r>
        <w:rPr>
          <w:rFonts w:hint="eastAsia" w:ascii="Times New Roman" w:hAnsi="Times New Roman" w:eastAsia="宋体" w:cs="Times New Roman"/>
          <w:color w:val="auto"/>
          <w:kern w:val="0"/>
          <w:sz w:val="28"/>
          <w:szCs w:val="28"/>
          <w:highlight w:val="none"/>
          <w:lang w:val="en-US" w:eastAsia="zh-CN" w:bidi="ar"/>
        </w:rPr>
        <w:t>肇州</w:t>
      </w:r>
      <w:r>
        <w:rPr>
          <w:rFonts w:hint="default" w:ascii="Times New Roman" w:hAnsi="Times New Roman" w:eastAsia="宋体" w:cs="Times New Roman"/>
          <w:color w:val="auto"/>
          <w:kern w:val="0"/>
          <w:sz w:val="28"/>
          <w:szCs w:val="28"/>
          <w:highlight w:val="none"/>
          <w:lang w:val="en-US" w:eastAsia="zh-CN" w:bidi="ar"/>
        </w:rPr>
        <w:t>县</w:t>
      </w:r>
      <w:r>
        <w:rPr>
          <w:rFonts w:hint="eastAsia" w:ascii="Times New Roman" w:hAnsi="Times New Roman" w:eastAsia="宋体" w:cs="Times New Roman"/>
          <w:color w:val="auto"/>
          <w:kern w:val="0"/>
          <w:sz w:val="28"/>
          <w:szCs w:val="28"/>
          <w:highlight w:val="none"/>
          <w:lang w:val="en-US" w:eastAsia="zh-CN" w:bidi="ar"/>
        </w:rPr>
        <w:t>双发乡境内</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根据该区域的水文地质条件，根据该地区的水文地质条件，评价时分别取：有效孔隙度n为0.342；水流速度u为0.00006m/d，纵向弥散系数0.5m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/d，横向弥散系数0.03m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/d，含水层厚度取10m。</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5）预测源强</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根据钻井设计资料，每</w:t>
      </w:r>
      <w:r>
        <w:rPr>
          <w:rFonts w:hint="eastAsia" w:ascii="Times New Roman" w:hAnsi="Times New Roman" w:eastAsia="宋体" w:cs="Times New Roman"/>
          <w:color w:val="auto"/>
          <w:kern w:val="0"/>
          <w:sz w:val="28"/>
          <w:szCs w:val="28"/>
          <w:highlight w:val="none"/>
          <w:lang w:val="en-US" w:eastAsia="zh-CN" w:bidi="ar"/>
        </w:rPr>
        <w:t>座</w:t>
      </w:r>
      <w:r>
        <w:rPr>
          <w:rFonts w:hint="default" w:ascii="Times New Roman" w:hAnsi="Times New Roman" w:eastAsia="宋体" w:cs="Times New Roman"/>
          <w:color w:val="auto"/>
          <w:kern w:val="0"/>
          <w:sz w:val="28"/>
          <w:szCs w:val="28"/>
          <w:highlight w:val="none"/>
          <w:lang w:val="en-US" w:eastAsia="zh-CN" w:bidi="ar"/>
        </w:rPr>
        <w:t>井井场设置1个容积为</w:t>
      </w:r>
      <w:r>
        <w:rPr>
          <w:rFonts w:hint="eastAsia" w:ascii="Times New Roman" w:hAnsi="Times New Roman" w:eastAsia="宋体" w:cs="Times New Roman"/>
          <w:color w:val="auto"/>
          <w:kern w:val="0"/>
          <w:sz w:val="28"/>
          <w:szCs w:val="28"/>
          <w:highlight w:val="none"/>
          <w:lang w:val="en-US" w:eastAsia="zh-CN" w:bidi="ar"/>
        </w:rPr>
        <w:t>100</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的</w:t>
      </w:r>
      <w:r>
        <w:rPr>
          <w:rFonts w:hint="eastAsia" w:ascii="Times New Roman" w:hAnsi="Times New Roman" w:eastAsia="宋体" w:cs="Times New Roman"/>
          <w:color w:val="auto"/>
          <w:kern w:val="0"/>
          <w:sz w:val="28"/>
          <w:szCs w:val="28"/>
          <w:highlight w:val="none"/>
          <w:lang w:val="en-US" w:eastAsia="zh-CN" w:bidi="ar"/>
        </w:rPr>
        <w:t>油基</w:t>
      </w:r>
      <w:r>
        <w:rPr>
          <w:rFonts w:hint="default" w:ascii="Times New Roman" w:hAnsi="Times New Roman" w:eastAsia="宋体" w:cs="Times New Roman"/>
          <w:color w:val="auto"/>
          <w:kern w:val="0"/>
          <w:sz w:val="28"/>
          <w:szCs w:val="28"/>
          <w:highlight w:val="none"/>
          <w:lang w:val="en-US" w:eastAsia="zh-CN" w:bidi="ar"/>
        </w:rPr>
        <w:t>钢制泥浆</w:t>
      </w:r>
      <w:r>
        <w:rPr>
          <w:rFonts w:hint="eastAsia" w:ascii="Times New Roman" w:hAnsi="Times New Roman" w:eastAsia="宋体" w:cs="Times New Roman"/>
          <w:color w:val="auto"/>
          <w:kern w:val="0"/>
          <w:sz w:val="28"/>
          <w:szCs w:val="28"/>
          <w:highlight w:val="none"/>
          <w:lang w:val="en-US" w:eastAsia="zh-CN" w:bidi="ar"/>
        </w:rPr>
        <w:t>槽</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1座容积为33m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的水基</w:t>
      </w:r>
      <w:r>
        <w:rPr>
          <w:rFonts w:hint="default" w:ascii="Times New Roman" w:hAnsi="Times New Roman" w:eastAsia="宋体" w:cs="Times New Roman"/>
          <w:color w:val="auto"/>
          <w:kern w:val="0"/>
          <w:sz w:val="28"/>
          <w:szCs w:val="28"/>
          <w:highlight w:val="none"/>
          <w:lang w:val="en-US" w:eastAsia="zh-CN" w:bidi="ar"/>
        </w:rPr>
        <w:t>钢制泥浆</w:t>
      </w:r>
      <w:r>
        <w:rPr>
          <w:rFonts w:hint="eastAsia" w:ascii="Times New Roman" w:hAnsi="Times New Roman" w:eastAsia="宋体" w:cs="Times New Roman"/>
          <w:color w:val="auto"/>
          <w:kern w:val="0"/>
          <w:sz w:val="28"/>
          <w:szCs w:val="28"/>
          <w:highlight w:val="none"/>
          <w:lang w:val="en-US" w:eastAsia="zh-CN" w:bidi="ar"/>
        </w:rPr>
        <w:t>槽。</w:t>
      </w:r>
      <w:r>
        <w:rPr>
          <w:rFonts w:hint="default" w:ascii="Times New Roman" w:hAnsi="Times New Roman" w:eastAsia="宋体" w:cs="Times New Roman"/>
          <w:color w:val="auto"/>
          <w:kern w:val="0"/>
          <w:sz w:val="28"/>
          <w:szCs w:val="28"/>
          <w:highlight w:val="none"/>
          <w:lang w:val="en-US" w:eastAsia="zh-CN" w:bidi="ar"/>
        </w:rPr>
        <w:t>以保守为原则，假定钢制泥浆</w:t>
      </w:r>
      <w:r>
        <w:rPr>
          <w:rFonts w:hint="eastAsia" w:ascii="Times New Roman" w:hAnsi="Times New Roman" w:eastAsia="宋体" w:cs="Times New Roman"/>
          <w:color w:val="auto"/>
          <w:kern w:val="0"/>
          <w:sz w:val="28"/>
          <w:szCs w:val="28"/>
          <w:highlight w:val="none"/>
          <w:lang w:val="en-US" w:eastAsia="zh-CN" w:bidi="ar"/>
        </w:rPr>
        <w:t>槽</w:t>
      </w:r>
      <w:r>
        <w:rPr>
          <w:rFonts w:hint="default" w:ascii="Times New Roman" w:hAnsi="Times New Roman" w:eastAsia="宋体" w:cs="Times New Roman"/>
          <w:color w:val="auto"/>
          <w:kern w:val="0"/>
          <w:sz w:val="28"/>
          <w:szCs w:val="28"/>
          <w:highlight w:val="none"/>
          <w:lang w:val="en-US" w:eastAsia="zh-CN" w:bidi="ar"/>
        </w:rPr>
        <w:t>由于地基不均匀沉降或者其他外力作用，导致池底出现10%面积的破损，</w:t>
      </w:r>
      <w:r>
        <w:rPr>
          <w:rFonts w:hint="eastAsia" w:ascii="Times New Roman" w:hAnsi="Times New Roman" w:eastAsia="宋体" w:cs="Times New Roman"/>
          <w:color w:val="auto"/>
          <w:kern w:val="0"/>
          <w:sz w:val="28"/>
          <w:szCs w:val="28"/>
          <w:highlight w:val="none"/>
          <w:lang w:val="en-US" w:eastAsia="zh-CN" w:bidi="ar"/>
        </w:rPr>
        <w:t>泥浆</w:t>
      </w:r>
      <w:r>
        <w:rPr>
          <w:rFonts w:hint="default" w:ascii="Times New Roman" w:hAnsi="Times New Roman" w:eastAsia="宋体" w:cs="Times New Roman"/>
          <w:color w:val="auto"/>
          <w:kern w:val="0"/>
          <w:sz w:val="28"/>
          <w:szCs w:val="28"/>
          <w:highlight w:val="none"/>
          <w:lang w:val="en-US" w:eastAsia="zh-CN" w:bidi="ar"/>
        </w:rPr>
        <w:t>经包气带渗入地下含水层。钢制泥浆槽使用时间最长约7天，持续泄漏时间为7天，钢制泥浆</w:t>
      </w:r>
      <w:r>
        <w:rPr>
          <w:rFonts w:hint="eastAsia" w:ascii="Times New Roman" w:hAnsi="Times New Roman" w:eastAsia="宋体" w:cs="Times New Roman"/>
          <w:color w:val="auto"/>
          <w:kern w:val="0"/>
          <w:sz w:val="28"/>
          <w:szCs w:val="28"/>
          <w:highlight w:val="none"/>
          <w:lang w:val="en-US" w:eastAsia="zh-CN" w:bidi="ar"/>
        </w:rPr>
        <w:t>槽</w:t>
      </w:r>
      <w:r>
        <w:rPr>
          <w:rFonts w:hint="default" w:ascii="Times New Roman" w:hAnsi="Times New Roman" w:eastAsia="宋体" w:cs="Times New Roman"/>
          <w:color w:val="auto"/>
          <w:kern w:val="0"/>
          <w:sz w:val="28"/>
          <w:szCs w:val="28"/>
          <w:highlight w:val="none"/>
          <w:lang w:val="en-US" w:eastAsia="zh-CN" w:bidi="ar"/>
        </w:rPr>
        <w:t>水位高度为</w:t>
      </w:r>
      <w:r>
        <w:rPr>
          <w:rFonts w:hint="eastAsia" w:ascii="Times New Roman" w:hAnsi="Times New Roman" w:eastAsia="宋体" w:cs="Times New Roman"/>
          <w:color w:val="auto"/>
          <w:kern w:val="0"/>
          <w:sz w:val="28"/>
          <w:szCs w:val="28"/>
          <w:highlight w:val="none"/>
          <w:lang w:val="en-US" w:eastAsia="zh-CN" w:bidi="ar"/>
        </w:rPr>
        <w:t>1.5</w:t>
      </w:r>
      <w:r>
        <w:rPr>
          <w:rFonts w:hint="default" w:ascii="Times New Roman" w:hAnsi="Times New Roman" w:eastAsia="宋体" w:cs="Times New Roman"/>
          <w:color w:val="auto"/>
          <w:kern w:val="0"/>
          <w:sz w:val="28"/>
          <w:szCs w:val="28"/>
          <w:highlight w:val="none"/>
          <w:lang w:val="en-US" w:eastAsia="zh-CN" w:bidi="ar"/>
        </w:rPr>
        <w:t>m，池底出现破裂后，池内</w:t>
      </w:r>
      <w:r>
        <w:rPr>
          <w:rFonts w:hint="eastAsia" w:ascii="Times New Roman" w:hAnsi="Times New Roman" w:eastAsia="宋体" w:cs="Times New Roman"/>
          <w:color w:val="auto"/>
          <w:kern w:val="0"/>
          <w:sz w:val="28"/>
          <w:szCs w:val="28"/>
          <w:highlight w:val="none"/>
          <w:lang w:val="en-US" w:eastAsia="zh-CN" w:bidi="ar"/>
        </w:rPr>
        <w:t>1.5</w:t>
      </w:r>
      <w:r>
        <w:rPr>
          <w:rFonts w:hint="default" w:ascii="Times New Roman" w:hAnsi="Times New Roman" w:eastAsia="宋体" w:cs="Times New Roman"/>
          <w:color w:val="auto"/>
          <w:kern w:val="0"/>
          <w:sz w:val="28"/>
          <w:szCs w:val="28"/>
          <w:highlight w:val="none"/>
          <w:lang w:val="en-US" w:eastAsia="zh-CN" w:bidi="ar"/>
        </w:rPr>
        <w:t>m深的废钻井液经包气带进入地下水中，池水进入地下属于有压渗透，假定包气带充满水，按达西公式计算泥浆的渗漏量，公式如下：</w:t>
      </w:r>
    </w:p>
    <w:p>
      <w:pPr>
        <w:keepNext w:val="0"/>
        <w:keepLines w:val="0"/>
        <w:widowControl/>
        <w:suppressLineNumbers w:val="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drawing>
          <wp:inline distT="0" distB="0" distL="114300" distR="114300">
            <wp:extent cx="2124075" cy="809625"/>
            <wp:effectExtent l="0" t="0" r="9525" b="9525"/>
            <wp:docPr id="26" name="图片 2" descr="165475779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1654757798976"/>
                    <pic:cNvPicPr>
                      <a:picLocks noChangeAspect="1"/>
                    </pic:cNvPicPr>
                  </pic:nvPicPr>
                  <pic:blipFill>
                    <a:blip r:embed="rId23"/>
                    <a:stretch>
                      <a:fillRect/>
                    </a:stretch>
                  </pic:blipFill>
                  <pic:spPr>
                    <a:xfrm>
                      <a:off x="0" y="0"/>
                      <a:ext cx="2124075" cy="809625"/>
                    </a:xfrm>
                    <a:prstGeom prst="rect">
                      <a:avLst/>
                    </a:prstGeom>
                    <a:noFill/>
                    <a:ln>
                      <a:noFill/>
                    </a:ln>
                  </pic:spPr>
                </pic:pic>
              </a:graphicData>
            </a:graphic>
          </wp:inline>
        </w:drawing>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式中：Q—为渗入到地下水的泥浆量（m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/d）；</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K—为包气带的垂向渗透系数（m/d），取</w:t>
      </w:r>
      <w:r>
        <w:rPr>
          <w:rFonts w:hint="eastAsia" w:ascii="Times New Roman" w:hAnsi="Times New Roman" w:eastAsia="宋体" w:cs="Times New Roman"/>
          <w:color w:val="auto"/>
          <w:kern w:val="0"/>
          <w:sz w:val="28"/>
          <w:szCs w:val="28"/>
          <w:highlight w:val="none"/>
          <w:lang w:val="en-US" w:eastAsia="zh-CN" w:bidi="ar"/>
        </w:rPr>
        <w:t>0.037</w:t>
      </w:r>
      <w:r>
        <w:rPr>
          <w:rFonts w:hint="default" w:ascii="Times New Roman" w:hAnsi="Times New Roman" w:eastAsia="宋体" w:cs="Times New Roman"/>
          <w:color w:val="auto"/>
          <w:kern w:val="0"/>
          <w:sz w:val="28"/>
          <w:szCs w:val="28"/>
          <w:highlight w:val="none"/>
          <w:lang w:val="en-US" w:eastAsia="zh-CN" w:bidi="ar"/>
        </w:rPr>
        <w:t>m/d；</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H—为池内水深（m），考虑最不利影响情况本次取</w:t>
      </w:r>
      <w:r>
        <w:rPr>
          <w:rFonts w:hint="eastAsia" w:ascii="Times New Roman" w:hAnsi="Times New Roman" w:eastAsia="宋体" w:cs="Times New Roman"/>
          <w:color w:val="auto"/>
          <w:kern w:val="0"/>
          <w:sz w:val="28"/>
          <w:szCs w:val="28"/>
          <w:highlight w:val="none"/>
          <w:lang w:val="en-US" w:eastAsia="zh-CN" w:bidi="ar"/>
        </w:rPr>
        <w:t>1.5</w:t>
      </w:r>
      <w:r>
        <w:rPr>
          <w:rFonts w:hint="default" w:ascii="Times New Roman" w:hAnsi="Times New Roman" w:eastAsia="宋体" w:cs="Times New Roman"/>
          <w:color w:val="auto"/>
          <w:kern w:val="0"/>
          <w:sz w:val="28"/>
          <w:szCs w:val="28"/>
          <w:highlight w:val="none"/>
          <w:lang w:val="en-US" w:eastAsia="zh-CN" w:bidi="ar"/>
        </w:rPr>
        <w:t>m；</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D—为地下水埋深（m），取</w:t>
      </w: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m；</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A—为钢制泥浆槽泄漏面积（m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），按10%的破损面积。</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根据井场水基泥浆槽规格，水基泥浆槽底面积为22.5m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，油基泥浆槽底面积为50m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；则水基泥浆槽破损面积为2.25m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，油基泥浆槽破损面积为5m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根据上述公式计算得到，</w:t>
      </w:r>
      <w:r>
        <w:rPr>
          <w:rFonts w:hint="eastAsia" w:ascii="Times New Roman" w:hAnsi="Times New Roman" w:eastAsia="宋体" w:cs="Times New Roman"/>
          <w:color w:val="auto"/>
          <w:kern w:val="0"/>
          <w:sz w:val="28"/>
          <w:szCs w:val="28"/>
          <w:highlight w:val="none"/>
          <w:lang w:val="en-US" w:eastAsia="zh-CN" w:bidi="ar"/>
        </w:rPr>
        <w:t>水基泥浆泄露量为0.208</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/d</w:t>
      </w:r>
      <w:r>
        <w:rPr>
          <w:rFonts w:hint="eastAsia" w:ascii="Times New Roman" w:hAnsi="Times New Roman" w:eastAsia="宋体" w:cs="Times New Roman"/>
          <w:color w:val="auto"/>
          <w:kern w:val="0"/>
          <w:sz w:val="28"/>
          <w:szCs w:val="28"/>
          <w:highlight w:val="none"/>
          <w:lang w:val="en-US" w:eastAsia="zh-CN" w:bidi="ar"/>
        </w:rPr>
        <w:t>，油基泥浆泄露量为0.463</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/d</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持续泄漏时间为7天，则进入地下水中的</w:t>
      </w:r>
      <w:r>
        <w:rPr>
          <w:rFonts w:hint="eastAsia" w:ascii="Times New Roman" w:hAnsi="Times New Roman" w:eastAsia="宋体" w:cs="Times New Roman"/>
          <w:color w:val="auto"/>
          <w:kern w:val="0"/>
          <w:sz w:val="28"/>
          <w:szCs w:val="28"/>
          <w:highlight w:val="none"/>
          <w:lang w:val="en-US" w:eastAsia="zh-CN" w:bidi="ar"/>
        </w:rPr>
        <w:t>水基</w:t>
      </w:r>
      <w:r>
        <w:rPr>
          <w:rFonts w:hint="default" w:ascii="Times New Roman" w:hAnsi="Times New Roman" w:eastAsia="宋体" w:cs="Times New Roman"/>
          <w:color w:val="auto"/>
          <w:kern w:val="0"/>
          <w:sz w:val="28"/>
          <w:szCs w:val="28"/>
          <w:highlight w:val="none"/>
          <w:lang w:val="en-US" w:eastAsia="zh-CN" w:bidi="ar"/>
        </w:rPr>
        <w:t>泥浆量为</w:t>
      </w:r>
      <w:r>
        <w:rPr>
          <w:rFonts w:hint="eastAsia" w:ascii="Times New Roman" w:hAnsi="Times New Roman" w:eastAsia="宋体" w:cs="Times New Roman"/>
          <w:color w:val="auto"/>
          <w:kern w:val="0"/>
          <w:sz w:val="28"/>
          <w:szCs w:val="28"/>
          <w:highlight w:val="none"/>
          <w:lang w:val="en-US" w:eastAsia="zh-CN" w:bidi="ar"/>
        </w:rPr>
        <w:t>1.46</w:t>
      </w: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vertAlign w:val="baseline"/>
          <w:lang w:val="en-US" w:eastAsia="zh-CN" w:bidi="ar"/>
        </w:rPr>
        <w:t>，油基</w:t>
      </w:r>
      <w:r>
        <w:rPr>
          <w:rFonts w:hint="default" w:ascii="Times New Roman" w:hAnsi="Times New Roman" w:eastAsia="宋体" w:cs="Times New Roman"/>
          <w:color w:val="auto"/>
          <w:kern w:val="0"/>
          <w:sz w:val="28"/>
          <w:szCs w:val="28"/>
          <w:highlight w:val="none"/>
          <w:lang w:val="en-US" w:eastAsia="zh-CN" w:bidi="ar"/>
        </w:rPr>
        <w:t>泥浆量为</w:t>
      </w:r>
      <w:r>
        <w:rPr>
          <w:rFonts w:hint="eastAsia" w:ascii="Times New Roman" w:hAnsi="Times New Roman" w:eastAsia="宋体" w:cs="Times New Roman"/>
          <w:color w:val="auto"/>
          <w:kern w:val="0"/>
          <w:sz w:val="28"/>
          <w:szCs w:val="28"/>
          <w:highlight w:val="none"/>
          <w:vertAlign w:val="baseline"/>
          <w:lang w:val="en-US" w:eastAsia="zh-CN" w:bidi="ar"/>
        </w:rPr>
        <w:t>3.24m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vertAlign w:val="baseline"/>
          <w:lang w:val="en-US" w:eastAsia="zh-CN" w:bidi="ar"/>
        </w:rPr>
        <w:t>。</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将钢制泥浆</w:t>
      </w:r>
      <w:r>
        <w:rPr>
          <w:rFonts w:hint="eastAsia" w:ascii="Times New Roman" w:hAnsi="Times New Roman" w:eastAsia="宋体" w:cs="Times New Roman"/>
          <w:color w:val="auto"/>
          <w:kern w:val="0"/>
          <w:sz w:val="28"/>
          <w:szCs w:val="28"/>
          <w:highlight w:val="none"/>
          <w:lang w:val="en-US" w:eastAsia="zh-CN" w:bidi="ar"/>
        </w:rPr>
        <w:t>槽</w:t>
      </w:r>
      <w:r>
        <w:rPr>
          <w:rFonts w:hint="default" w:ascii="Times New Roman" w:hAnsi="Times New Roman" w:eastAsia="宋体" w:cs="Times New Roman"/>
          <w:color w:val="auto"/>
          <w:kern w:val="0"/>
          <w:sz w:val="28"/>
          <w:szCs w:val="28"/>
          <w:highlight w:val="none"/>
          <w:lang w:val="en-US" w:eastAsia="zh-CN" w:bidi="ar"/>
        </w:rPr>
        <w:t>的位置设定为主要污染源的分布位置，预测非正常状况下污染物在地下水中迁移过程，进一步分析污染物影响范围、超标范围，非正常状况下污染物预测源强见表5.</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-1非正常工况下钢制泥浆槽泄漏污染物预测源强</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泄漏位置</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渗漏量（m</w:t>
            </w:r>
            <w:r>
              <w:rPr>
                <w:rFonts w:hint="default" w:ascii="Times New Roman" w:hAnsi="Times New Roman" w:cs="Times New Roman"/>
                <w:color w:val="auto"/>
                <w:sz w:val="24"/>
                <w:szCs w:val="24"/>
                <w:highlight w:val="none"/>
                <w:vertAlign w:val="superscript"/>
                <w:lang w:val="zh-CN" w:eastAsia="zh-CN"/>
              </w:rPr>
              <w:t>3</w:t>
            </w:r>
            <w:r>
              <w:rPr>
                <w:rFonts w:hint="default" w:ascii="Times New Roman" w:hAnsi="Times New Roman" w:cs="Times New Roman"/>
                <w:color w:val="auto"/>
                <w:sz w:val="24"/>
                <w:szCs w:val="24"/>
                <w:highlight w:val="none"/>
                <w:vertAlign w:val="baseline"/>
                <w:lang w:val="zh-CN" w:eastAsia="zh-CN"/>
              </w:rPr>
              <w:t>）</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污染物</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污染物浓度（mg/L）</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污染物渗漏量（g）</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zh-CN" w:eastAsia="zh-CN"/>
              </w:rPr>
              <w:t>渗漏时间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水基泥浆</w:t>
            </w:r>
            <w:r>
              <w:rPr>
                <w:rFonts w:hint="default" w:ascii="Times New Roman" w:hAnsi="Times New Roman" w:cs="Times New Roman"/>
                <w:color w:val="auto"/>
                <w:sz w:val="24"/>
                <w:szCs w:val="24"/>
                <w:highlight w:val="none"/>
                <w:vertAlign w:val="baseline"/>
                <w:lang w:val="en-US" w:eastAsia="zh-CN"/>
              </w:rPr>
              <w:t>钢制泥浆</w:t>
            </w:r>
            <w:r>
              <w:rPr>
                <w:rFonts w:hint="eastAsia" w:ascii="Times New Roman" w:hAnsi="Times New Roman" w:cs="Times New Roman"/>
                <w:color w:val="auto"/>
                <w:sz w:val="24"/>
                <w:szCs w:val="24"/>
                <w:highlight w:val="none"/>
                <w:vertAlign w:val="baseline"/>
                <w:lang w:val="en-US" w:eastAsia="zh-CN"/>
              </w:rPr>
              <w:t>槽</w:t>
            </w:r>
            <w:r>
              <w:rPr>
                <w:rFonts w:hint="default" w:ascii="Times New Roman" w:hAnsi="Times New Roman" w:cs="Times New Roman"/>
                <w:color w:val="auto"/>
                <w:sz w:val="24"/>
                <w:szCs w:val="24"/>
                <w:highlight w:val="none"/>
                <w:vertAlign w:val="baseline"/>
                <w:lang w:val="en-US" w:eastAsia="zh-CN"/>
              </w:rPr>
              <w:t>池底破裂</w:t>
            </w:r>
            <w:r>
              <w:rPr>
                <w:rFonts w:hint="eastAsia" w:ascii="Times New Roman" w:hAnsi="Times New Roman" w:cs="Times New Roman"/>
                <w:color w:val="auto"/>
                <w:sz w:val="24"/>
                <w:szCs w:val="24"/>
                <w:highlight w:val="none"/>
                <w:vertAlign w:val="baseline"/>
                <w:lang w:val="en-US" w:eastAsia="zh-CN"/>
              </w:rPr>
              <w:t>10%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1.46</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2920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w:t>
            </w:r>
            <w:r>
              <w:rPr>
                <w:rFonts w:hint="default" w:ascii="Times New Roman" w:hAnsi="Times New Roman" w:cs="Times New Roman"/>
                <w:color w:val="auto"/>
                <w:sz w:val="24"/>
                <w:szCs w:val="24"/>
                <w:highlight w:val="none"/>
                <w:vertAlign w:val="baseline"/>
                <w:lang w:val="zh-CN" w:eastAsia="zh-CN"/>
              </w:rPr>
              <w:t>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油基泥浆</w:t>
            </w:r>
            <w:r>
              <w:rPr>
                <w:rFonts w:hint="default" w:ascii="Times New Roman" w:hAnsi="Times New Roman" w:cs="Times New Roman"/>
                <w:color w:val="auto"/>
                <w:sz w:val="24"/>
                <w:szCs w:val="24"/>
                <w:highlight w:val="none"/>
                <w:vertAlign w:val="baseline"/>
                <w:lang w:val="en-US" w:eastAsia="zh-CN"/>
              </w:rPr>
              <w:t>钢制泥浆</w:t>
            </w:r>
            <w:r>
              <w:rPr>
                <w:rFonts w:hint="eastAsia" w:ascii="Times New Roman" w:hAnsi="Times New Roman" w:cs="Times New Roman"/>
                <w:color w:val="auto"/>
                <w:sz w:val="24"/>
                <w:szCs w:val="24"/>
                <w:highlight w:val="none"/>
                <w:vertAlign w:val="baseline"/>
                <w:lang w:val="en-US" w:eastAsia="zh-CN"/>
              </w:rPr>
              <w:t>槽</w:t>
            </w:r>
            <w:r>
              <w:rPr>
                <w:rFonts w:hint="default" w:ascii="Times New Roman" w:hAnsi="Times New Roman" w:cs="Times New Roman"/>
                <w:color w:val="auto"/>
                <w:sz w:val="24"/>
                <w:szCs w:val="24"/>
                <w:highlight w:val="none"/>
                <w:vertAlign w:val="baseline"/>
                <w:lang w:val="en-US" w:eastAsia="zh-CN"/>
              </w:rPr>
              <w:t>池底破裂</w:t>
            </w:r>
            <w:r>
              <w:rPr>
                <w:rFonts w:hint="eastAsia" w:ascii="Times New Roman" w:hAnsi="Times New Roman" w:cs="Times New Roman"/>
                <w:color w:val="auto"/>
                <w:sz w:val="24"/>
                <w:szCs w:val="24"/>
                <w:highlight w:val="none"/>
                <w:vertAlign w:val="baseline"/>
                <w:lang w:val="en-US" w:eastAsia="zh-CN"/>
              </w:rPr>
              <w:t>10%</w:t>
            </w:r>
          </w:p>
        </w:tc>
        <w:tc>
          <w:tcPr>
            <w:tcW w:w="141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3.24</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eastAsia" w:ascii="Times New Roman" w:hAnsi="Times New Roman" w:cs="Times New Roman"/>
                <w:color w:val="auto"/>
                <w:sz w:val="24"/>
                <w:szCs w:val="24"/>
                <w:highlight w:val="none"/>
                <w:vertAlign w:val="baseline"/>
                <w:lang w:val="en-US" w:eastAsia="zh-CN"/>
              </w:rPr>
              <w:t>COD</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6480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1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1620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zh-CN" w:eastAsia="zh-CN"/>
              </w:rPr>
            </w:pPr>
            <w:r>
              <w:rPr>
                <w:rFonts w:hint="eastAsia" w:ascii="Times New Roman" w:hAnsi="Times New Roman" w:cs="Times New Roman"/>
                <w:color w:val="auto"/>
                <w:sz w:val="24"/>
                <w:szCs w:val="24"/>
                <w:highlight w:val="none"/>
                <w:vertAlign w:val="baseline"/>
                <w:lang w:val="en-US" w:eastAsia="zh-CN"/>
              </w:rPr>
              <w:t>7d</w:t>
            </w:r>
          </w:p>
        </w:tc>
      </w:tr>
    </w:tbl>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6）预测模型</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由于本项目污染物的排放对地下水流场没有明显的影响，项目区内含水层的基本参数（渗透系数、有效孔隙度）不会发生变化。预测模型选择《环境影响评价技术导则地下水环境》（HJ610-2016）推荐的地下水溶质运移解析法中的一维稳定流动二维弥散点源模型进行预测，按瞬时泄漏点源计算。瞬时注入示踪剂-平面瞬时点源：</w:t>
      </w:r>
    </w:p>
    <w:p>
      <w:pPr>
        <w:keepNext w:val="0"/>
        <w:keepLines w:val="0"/>
        <w:widowControl/>
        <w:suppressLineNumbers w:val="0"/>
        <w:ind w:firstLine="420" w:firstLineChars="200"/>
        <w:jc w:val="left"/>
        <w:rPr>
          <w:rFonts w:hint="eastAsia" w:ascii="宋体" w:hAnsi="宋体" w:eastAsia="宋体" w:cs="宋体"/>
          <w:color w:val="auto"/>
          <w:kern w:val="0"/>
          <w:sz w:val="28"/>
          <w:szCs w:val="28"/>
          <w:highlight w:val="none"/>
          <w:lang w:val="en-US" w:eastAsia="zh-CN" w:bidi="ar"/>
        </w:rPr>
      </w:pPr>
      <w:r>
        <w:rPr>
          <w:color w:val="auto"/>
          <w:highlight w:val="none"/>
        </w:rPr>
        <w:drawing>
          <wp:inline distT="0" distB="0" distL="114300" distR="114300">
            <wp:extent cx="5000625" cy="1057275"/>
            <wp:effectExtent l="0" t="0" r="9525" b="952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4"/>
                    <a:stretch>
                      <a:fillRect/>
                    </a:stretch>
                  </pic:blipFill>
                  <pic:spPr>
                    <a:xfrm>
                      <a:off x="0" y="0"/>
                      <a:ext cx="5000625" cy="1057275"/>
                    </a:xfrm>
                    <a:prstGeom prst="rect">
                      <a:avLst/>
                    </a:prstGeom>
                    <a:noFill/>
                    <a:ln>
                      <a:noFill/>
                    </a:ln>
                  </pic:spPr>
                </pic:pic>
              </a:graphicData>
            </a:graphic>
          </wp:inline>
        </w:drawing>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式中：x，y--计算点处的位置坐标；</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t--时间，d；</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C（x，y，t）--t时刻x，y处的示踪剂浓度，g/L；</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M--含水层的厚度，m；</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bscript"/>
          <w:lang w:val="en-US" w:eastAsia="zh-CN" w:bidi="ar"/>
        </w:rPr>
        <w:t>M</w:t>
      </w:r>
      <w:r>
        <w:rPr>
          <w:rFonts w:hint="default" w:ascii="Times New Roman" w:hAnsi="Times New Roman" w:eastAsia="宋体" w:cs="Times New Roman"/>
          <w:color w:val="auto"/>
          <w:kern w:val="0"/>
          <w:sz w:val="28"/>
          <w:szCs w:val="28"/>
          <w:highlight w:val="none"/>
          <w:lang w:val="en-US" w:eastAsia="zh-CN" w:bidi="ar"/>
        </w:rPr>
        <w:t>--长度为M的线源瞬时注入的示踪剂质量，kg；</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U--水流速度，m/d；</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n</w:t>
      </w:r>
      <w:r>
        <w:rPr>
          <w:rFonts w:hint="default" w:ascii="Times New Roman" w:hAnsi="Times New Roman" w:eastAsia="宋体" w:cs="Times New Roman"/>
          <w:color w:val="auto"/>
          <w:kern w:val="0"/>
          <w:sz w:val="28"/>
          <w:szCs w:val="28"/>
          <w:highlight w:val="none"/>
          <w:vertAlign w:val="subscript"/>
          <w:lang w:val="en-US" w:eastAsia="zh-CN" w:bidi="ar"/>
        </w:rPr>
        <w:t>e</w:t>
      </w:r>
      <w:r>
        <w:rPr>
          <w:rFonts w:hint="default" w:ascii="Times New Roman" w:hAnsi="Times New Roman" w:eastAsia="宋体" w:cs="Times New Roman"/>
          <w:color w:val="auto"/>
          <w:kern w:val="0"/>
          <w:sz w:val="28"/>
          <w:szCs w:val="28"/>
          <w:highlight w:val="none"/>
          <w:lang w:val="en-US" w:eastAsia="zh-CN" w:bidi="ar"/>
        </w:rPr>
        <w:t>--有效孔隙度，无量纲；</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D</w:t>
      </w:r>
      <w:r>
        <w:rPr>
          <w:rFonts w:hint="default" w:ascii="Times New Roman" w:hAnsi="Times New Roman" w:eastAsia="宋体" w:cs="Times New Roman"/>
          <w:color w:val="auto"/>
          <w:kern w:val="0"/>
          <w:sz w:val="28"/>
          <w:szCs w:val="28"/>
          <w:highlight w:val="none"/>
          <w:vertAlign w:val="subscript"/>
          <w:lang w:val="en-US" w:eastAsia="zh-CN" w:bidi="ar"/>
        </w:rPr>
        <w:t>L</w:t>
      </w:r>
      <w:r>
        <w:rPr>
          <w:rFonts w:hint="default" w:ascii="Times New Roman" w:hAnsi="Times New Roman" w:eastAsia="宋体" w:cs="Times New Roman"/>
          <w:color w:val="auto"/>
          <w:kern w:val="0"/>
          <w:sz w:val="28"/>
          <w:szCs w:val="28"/>
          <w:highlight w:val="none"/>
          <w:lang w:val="en-US" w:eastAsia="zh-CN" w:bidi="ar"/>
        </w:rPr>
        <w:t>--纵向弥散系数，m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/d；</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D</w:t>
      </w:r>
      <w:r>
        <w:rPr>
          <w:rFonts w:hint="default" w:ascii="Times New Roman" w:hAnsi="Times New Roman" w:eastAsia="宋体" w:cs="Times New Roman"/>
          <w:color w:val="auto"/>
          <w:kern w:val="0"/>
          <w:sz w:val="28"/>
          <w:szCs w:val="28"/>
          <w:highlight w:val="none"/>
          <w:vertAlign w:val="subscript"/>
          <w:lang w:val="en-US" w:eastAsia="zh-CN" w:bidi="ar"/>
        </w:rPr>
        <w:t>T</w:t>
      </w:r>
      <w:r>
        <w:rPr>
          <w:rFonts w:hint="default" w:ascii="Times New Roman" w:hAnsi="Times New Roman" w:eastAsia="宋体" w:cs="Times New Roman"/>
          <w:color w:val="auto"/>
          <w:kern w:val="0"/>
          <w:sz w:val="28"/>
          <w:szCs w:val="28"/>
          <w:highlight w:val="none"/>
          <w:lang w:val="en-US" w:eastAsia="zh-CN" w:bidi="ar"/>
        </w:rPr>
        <w:t>--纵向y方向的弥散系数，m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/d。</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7）预测结果</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分别考虑钢制泥浆罐泄漏100d、1000d时对地下水的影响预测，预测结果见表5.3-2</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表5.3-</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-2</w:t>
      </w:r>
      <w:r>
        <w:rPr>
          <w:rFonts w:hint="eastAsia" w:ascii="Times New Roman" w:hAnsi="Times New Roman" w:cs="Times New Roman"/>
          <w:b/>
          <w:bCs/>
          <w:caps w:val="0"/>
          <w:smallCaps w:val="0"/>
          <w:color w:val="auto"/>
          <w:spacing w:val="0"/>
          <w:w w:val="100"/>
          <w:kern w:val="21"/>
          <w:sz w:val="24"/>
          <w:szCs w:val="24"/>
          <w:highlight w:val="none"/>
          <w:lang w:val="en-US" w:eastAsia="zh-CN"/>
        </w:rPr>
        <w:t>水基泥浆</w:t>
      </w:r>
      <w:r>
        <w:rPr>
          <w:rFonts w:hint="default" w:ascii="Times New Roman" w:hAnsi="Times New Roman" w:cs="Times New Roman"/>
          <w:b/>
          <w:bCs/>
          <w:caps w:val="0"/>
          <w:smallCaps w:val="0"/>
          <w:color w:val="auto"/>
          <w:spacing w:val="0"/>
          <w:w w:val="100"/>
          <w:kern w:val="21"/>
          <w:sz w:val="24"/>
          <w:szCs w:val="24"/>
          <w:highlight w:val="none"/>
        </w:rPr>
        <w:t>钢制泥浆</w:t>
      </w:r>
      <w:r>
        <w:rPr>
          <w:rFonts w:hint="default" w:ascii="Times New Roman" w:hAnsi="Times New Roman" w:cs="Times New Roman"/>
          <w:b/>
          <w:bCs/>
          <w:caps w:val="0"/>
          <w:smallCaps w:val="0"/>
          <w:color w:val="auto"/>
          <w:spacing w:val="0"/>
          <w:w w:val="100"/>
          <w:kern w:val="21"/>
          <w:sz w:val="24"/>
          <w:szCs w:val="24"/>
          <w:highlight w:val="none"/>
          <w:lang w:eastAsia="zh-CN"/>
        </w:rPr>
        <w:t>罐</w:t>
      </w:r>
      <w:r>
        <w:rPr>
          <w:rFonts w:hint="default" w:ascii="Times New Roman" w:hAnsi="Times New Roman" w:cs="Times New Roman"/>
          <w:b/>
          <w:bCs/>
          <w:caps w:val="0"/>
          <w:smallCaps w:val="0"/>
          <w:color w:val="auto"/>
          <w:spacing w:val="0"/>
          <w:w w:val="100"/>
          <w:kern w:val="21"/>
          <w:sz w:val="24"/>
          <w:szCs w:val="24"/>
          <w:highlight w:val="none"/>
        </w:rPr>
        <w:t>泄漏10</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0d</w:t>
      </w:r>
      <w:r>
        <w:rPr>
          <w:rFonts w:hint="default"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预测结果表 单位：mg/L</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419" w:type="dxa"/>
            <w:tcBorders>
              <w:bottom w:val="single" w:color="auto" w:sz="6" w:space="0"/>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30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1.48E-05</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1.18E-03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1.33E-03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1.18E-03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4.33E-04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6.17E-02</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4.90E+00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5.55E+00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4.89E+00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1.80E+00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7.69E-03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6.10E-01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6.91E-01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6.09E-01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2.24E-01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4.44E-10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3.52E-08</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3.99E-08</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3.52E-08</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1.29E-08</w:t>
            </w:r>
          </w:p>
        </w:tc>
      </w:tr>
    </w:tbl>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根据预测结果可知，</w:t>
      </w:r>
      <w:r>
        <w:rPr>
          <w:rFonts w:hint="eastAsia" w:ascii="Times New Roman" w:hAnsi="Times New Roman" w:eastAsia="宋体" w:cs="Times New Roman"/>
          <w:color w:val="auto"/>
          <w:kern w:val="0"/>
          <w:sz w:val="28"/>
          <w:szCs w:val="28"/>
          <w:highlight w:val="none"/>
          <w:lang w:val="en-US" w:eastAsia="zh-CN" w:bidi="ar"/>
        </w:rPr>
        <w:t>水基泥浆槽泄漏时，</w:t>
      </w:r>
      <w:r>
        <w:rPr>
          <w:rFonts w:hint="default" w:ascii="Times New Roman" w:hAnsi="Times New Roman" w:eastAsia="宋体" w:cs="Times New Roman"/>
          <w:color w:val="auto"/>
          <w:kern w:val="0"/>
          <w:sz w:val="28"/>
          <w:szCs w:val="28"/>
          <w:highlight w:val="none"/>
          <w:lang w:val="en-US" w:eastAsia="zh-CN" w:bidi="ar"/>
        </w:rPr>
        <w:t>预测时间100天时，</w:t>
      </w:r>
      <w:r>
        <w:rPr>
          <w:rFonts w:hint="eastAsia" w:ascii="Times New Roman" w:hAnsi="Times New Roman" w:eastAsia="宋体" w:cs="Times New Roman"/>
          <w:color w:val="auto"/>
          <w:kern w:val="0"/>
          <w:sz w:val="28"/>
          <w:szCs w:val="28"/>
          <w:highlight w:val="none"/>
          <w:lang w:val="en-US" w:eastAsia="zh-CN" w:bidi="ar"/>
        </w:rPr>
        <w:t>COD</w:t>
      </w:r>
      <w:r>
        <w:rPr>
          <w:rFonts w:hint="default" w:ascii="Times New Roman" w:hAnsi="Times New Roman" w:eastAsia="宋体" w:cs="Times New Roman"/>
          <w:color w:val="auto"/>
          <w:kern w:val="0"/>
          <w:sz w:val="28"/>
          <w:szCs w:val="28"/>
          <w:highlight w:val="none"/>
          <w:lang w:val="en-US" w:eastAsia="zh-CN" w:bidi="ar"/>
        </w:rPr>
        <w:t>下游最大浓度为：5.5</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mg/l，超标距离最远为12m，预测范围内的超标面积为125m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，影响距离最远为下游22m，预测范围内的影响面积为375m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Style w:val="22"/>
        <w:spacing w:line="240" w:lineRule="auto"/>
        <w:ind w:left="0" w:leftChars="0" w:firstLine="0" w:firstLineChars="0"/>
        <w:rPr>
          <w:rFonts w:hint="eastAsia" w:eastAsia="宋体"/>
          <w:color w:val="auto"/>
          <w:highlight w:val="none"/>
          <w:lang w:eastAsia="zh-CN"/>
        </w:rPr>
      </w:pPr>
      <w:r>
        <w:rPr>
          <w:color w:val="auto"/>
          <w:sz w:val="24"/>
          <w:highlight w:val="none"/>
        </w:rPr>
        <mc:AlternateContent>
          <mc:Choice Requires="wps">
            <w:drawing>
              <wp:anchor distT="0" distB="0" distL="114300" distR="114300" simplePos="0" relativeHeight="251682816" behindDoc="0" locked="0" layoutInCell="1" allowOverlap="1">
                <wp:simplePos x="0" y="0"/>
                <wp:positionH relativeFrom="column">
                  <wp:posOffset>3134360</wp:posOffset>
                </wp:positionH>
                <wp:positionV relativeFrom="paragraph">
                  <wp:posOffset>1032510</wp:posOffset>
                </wp:positionV>
                <wp:extent cx="830580" cy="7620"/>
                <wp:effectExtent l="0" t="31115" r="7620" b="37465"/>
                <wp:wrapNone/>
                <wp:docPr id="58" name="直接箭头连接符 58"/>
                <wp:cNvGraphicFramePr/>
                <a:graphic xmlns:a="http://schemas.openxmlformats.org/drawingml/2006/main">
                  <a:graphicData uri="http://schemas.microsoft.com/office/word/2010/wordprocessingShape">
                    <wps:wsp>
                      <wps:cNvCnPr/>
                      <wps:spPr>
                        <a:xfrm flipH="1">
                          <a:off x="4081145" y="1893570"/>
                          <a:ext cx="830580" cy="7620"/>
                        </a:xfrm>
                        <a:prstGeom prst="straightConnector1">
                          <a:avLst/>
                        </a:prstGeom>
                        <a:noFill/>
                        <a:ln w="19050"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margin-left:246.8pt;margin-top:81.3pt;height:0.6pt;width:65.4pt;z-index:251682816;mso-width-relative:page;mso-height-relative:page;" filled="f" stroked="t" coordsize="21600,21600" o:gfxdata="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JymJPYAAAACwEAAA8AAAAAAAAAAQAgAAAAIgAAAGRycy9kb3du&#10;cmV2LnhtbFBLAQIUABQAAAAIAIdO4kAoBwgzOAIAADQEAAAOAAAAAAAAAAEAIAAAACcBAABkcnMv&#10;ZTJvRG9jLnhtbFBLBQYAAAAABgAGAFkBAADRBQAAAAA=&#10;">
                <v:fill on="f" focussize="0,0"/>
                <v:stroke weight="1.5pt" color="#000000" miterlimit="8" joinstyle="miter"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3107055</wp:posOffset>
                </wp:positionH>
                <wp:positionV relativeFrom="paragraph">
                  <wp:posOffset>1233170</wp:posOffset>
                </wp:positionV>
                <wp:extent cx="1181100" cy="336550"/>
                <wp:effectExtent l="0" t="0" r="0" b="0"/>
                <wp:wrapNone/>
                <wp:docPr id="53" name="文本框 53"/>
                <wp:cNvGraphicFramePr/>
                <a:graphic xmlns:a="http://schemas.openxmlformats.org/drawingml/2006/main">
                  <a:graphicData uri="http://schemas.microsoft.com/office/word/2010/wordprocessingShape">
                    <wps:wsp>
                      <wps:cNvSpPr txBox="1"/>
                      <wps:spPr>
                        <a:xfrm>
                          <a:off x="4297680" y="1675130"/>
                          <a:ext cx="1181100" cy="336550"/>
                        </a:xfrm>
                        <a:prstGeom prst="rect">
                          <a:avLst/>
                        </a:prstGeom>
                        <a:noFill/>
                        <a:ln w="6350">
                          <a:noFill/>
                        </a:ln>
                        <a:effectLst/>
                      </wps:spPr>
                      <wps:txbx>
                        <w:txbxContent>
                          <w:p>
                            <w:pPr>
                              <w:rPr>
                                <w:rFonts w:hint="eastAsia" w:ascii="黑体" w:hAnsi="黑体" w:eastAsia="黑体" w:cs="黑体"/>
                                <w:b/>
                                <w:bCs/>
                                <w:color w:val="0000FF"/>
                                <w:sz w:val="24"/>
                                <w:szCs w:val="24"/>
                                <w:lang w:val="en-US" w:eastAsia="zh-CN"/>
                              </w:rPr>
                            </w:pPr>
                            <w:r>
                              <w:rPr>
                                <w:rFonts w:hint="eastAsia" w:ascii="黑体" w:hAnsi="黑体" w:eastAsia="黑体" w:cs="黑体"/>
                                <w:b/>
                                <w:bCs/>
                                <w:color w:val="0000FF"/>
                                <w:sz w:val="24"/>
                                <w:szCs w:val="24"/>
                                <w:lang w:val="en-US"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65pt;margin-top:97.1pt;height:26.5pt;width:93pt;z-index:251679744;mso-width-relative:page;mso-height-relative:page;" filled="f" stroked="f" coordsize="21600,21600" o:gfxdata="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RD6a7cAAAACwEAAA8A&#10;AAAAAAAAAQAgAAAAIgAAAGRycy9kb3ducmV2LnhtbFBLAQIUABQAAAAIAIdO4kBfiEttTAIAAIIE&#10;AAAOAAAAAAAAAAEAIAAAACsBAABkcnMvZTJvRG9jLnhtbFBLBQYAAAAABgAGAFkBAADpBQAAAAA=&#10;">
                <v:fill on="f" focussize="0,0"/>
                <v:stroke on="f" weight="0.5pt"/>
                <v:imagedata o:title=""/>
                <o:lock v:ext="edit" aspectratio="f"/>
                <v:textbox>
                  <w:txbxContent>
                    <w:p>
                      <w:pPr>
                        <w:rPr>
                          <w:rFonts w:hint="eastAsia" w:ascii="黑体" w:hAnsi="黑体" w:eastAsia="黑体" w:cs="黑体"/>
                          <w:b/>
                          <w:bCs/>
                          <w:color w:val="0000FF"/>
                          <w:sz w:val="24"/>
                          <w:szCs w:val="24"/>
                          <w:lang w:val="en-US" w:eastAsia="zh-CN"/>
                        </w:rPr>
                      </w:pPr>
                      <w:r>
                        <w:rPr>
                          <w:rFonts w:hint="eastAsia" w:ascii="黑体" w:hAnsi="黑体" w:eastAsia="黑体" w:cs="黑体"/>
                          <w:b/>
                          <w:bCs/>
                          <w:color w:val="0000FF"/>
                          <w:sz w:val="24"/>
                          <w:szCs w:val="24"/>
                          <w:lang w:val="en-US" w:eastAsia="zh-CN"/>
                        </w:rPr>
                        <w:t>地下水流向</w:t>
                      </w:r>
                    </w:p>
                  </w:txbxContent>
                </v:textbox>
              </v:shape>
            </w:pict>
          </mc:Fallback>
        </mc:AlternateContent>
      </w:r>
      <w:r>
        <w:rPr>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3260725</wp:posOffset>
                </wp:positionH>
                <wp:positionV relativeFrom="paragraph">
                  <wp:posOffset>665480</wp:posOffset>
                </wp:positionV>
                <wp:extent cx="736600" cy="6350"/>
                <wp:effectExtent l="0" t="32385" r="6350" b="37465"/>
                <wp:wrapNone/>
                <wp:docPr id="52" name="直接箭头连接符 52"/>
                <wp:cNvGraphicFramePr/>
                <a:graphic xmlns:a="http://schemas.openxmlformats.org/drawingml/2006/main">
                  <a:graphicData uri="http://schemas.microsoft.com/office/word/2010/wordprocessingShape">
                    <wps:wsp>
                      <wps:cNvCnPr/>
                      <wps:spPr>
                        <a:xfrm flipH="1">
                          <a:off x="4405630" y="1579880"/>
                          <a:ext cx="736600" cy="6350"/>
                        </a:xfrm>
                        <a:prstGeom prst="straightConnector1">
                          <a:avLst/>
                        </a:prstGeom>
                        <a:noFill/>
                        <a:ln w="19050" cap="flat" cmpd="sng" algn="ctr">
                          <a:solidFill>
                            <a:srgbClr val="FFFFFF"/>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margin-left:256.75pt;margin-top:52.4pt;height:0.5pt;width:58pt;z-index:251678720;mso-width-relative:page;mso-height-relative:page;" filled="f" stroked="t" coordsize="21600,21600" o:gfxdata="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9E4J2AAAAAsBAAAPAAAAAAAAAAEAIAAAACIAAABkcnMvZG93&#10;bnJldi54bWxQSwECFAAUAAAACACHTuJAAK3kNjkCAAA0BAAADgAAAAAAAAABACAAAAAnAQAAZHJz&#10;L2Uyb0RvYy54bWxQSwUGAAAAAAYABgBZAQAA0gUAAAAA&#10;">
                <v:fill on="f" focussize="0,0"/>
                <v:stroke weight="1.5pt" color="#FFFFFF" miterlimit="8" joinstyle="miter" endarrow="block"/>
                <v:imagedata o:title=""/>
                <o:lock v:ext="edit" aspectratio="f"/>
              </v:shape>
            </w:pict>
          </mc:Fallback>
        </mc:AlternateContent>
      </w:r>
      <w:r>
        <w:rPr>
          <w:rFonts w:hint="eastAsia" w:eastAsia="宋体"/>
          <w:color w:val="auto"/>
          <w:highlight w:val="none"/>
          <w:lang w:eastAsia="zh-CN"/>
        </w:rPr>
        <w:drawing>
          <wp:inline distT="0" distB="0" distL="114300" distR="114300">
            <wp:extent cx="5059680" cy="4671060"/>
            <wp:effectExtent l="0" t="0" r="7620" b="15240"/>
            <wp:docPr id="28" name="图片 55" descr="100d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descr="100d范围图"/>
                    <pic:cNvPicPr>
                      <a:picLocks noChangeAspect="1"/>
                    </pic:cNvPicPr>
                  </pic:nvPicPr>
                  <pic:blipFill>
                    <a:blip r:embed="rId25"/>
                    <a:stretch>
                      <a:fillRect/>
                    </a:stretch>
                  </pic:blipFill>
                  <pic:spPr>
                    <a:xfrm>
                      <a:off x="0" y="0"/>
                      <a:ext cx="5059680" cy="4671060"/>
                    </a:xfrm>
                    <a:prstGeom prst="rect">
                      <a:avLst/>
                    </a:prstGeom>
                    <a:noFill/>
                    <a:ln>
                      <a:noFill/>
                    </a:ln>
                  </pic:spPr>
                </pic:pic>
              </a:graphicData>
            </a:graphic>
          </wp:inline>
        </w:drawing>
      </w:r>
    </w:p>
    <w:p>
      <w:pPr>
        <w:pageBreakBefore w:val="0"/>
        <w:widowControl/>
        <w:bidi w:val="0"/>
        <w:spacing w:line="360" w:lineRule="auto"/>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图5.3-</w:t>
      </w:r>
      <w:r>
        <w:rPr>
          <w:rFonts w:hint="eastAsia" w:ascii="Times New Roman" w:hAnsi="Times New Roman" w:cs="Times New Roman"/>
          <w:b/>
          <w:bCs/>
          <w:caps w:val="0"/>
          <w:smallCaps w:val="0"/>
          <w:color w:val="auto"/>
          <w:spacing w:val="0"/>
          <w:w w:val="100"/>
          <w:kern w:val="21"/>
          <w:sz w:val="24"/>
          <w:szCs w:val="24"/>
          <w:highlight w:val="none"/>
          <w:lang w:val="en-US" w:eastAsia="zh-CN"/>
        </w:rPr>
        <w:t>1水基</w:t>
      </w:r>
      <w:r>
        <w:rPr>
          <w:rFonts w:hint="default" w:ascii="Times New Roman" w:hAnsi="Times New Roman" w:cs="Times New Roman"/>
          <w:b/>
          <w:bCs/>
          <w:caps w:val="0"/>
          <w:smallCaps w:val="0"/>
          <w:color w:val="auto"/>
          <w:spacing w:val="0"/>
          <w:w w:val="100"/>
          <w:kern w:val="21"/>
          <w:sz w:val="24"/>
          <w:szCs w:val="24"/>
          <w:highlight w:val="none"/>
        </w:rPr>
        <w:t>泥浆槽泄漏100d</w:t>
      </w:r>
      <w:r>
        <w:rPr>
          <w:rFonts w:hint="eastAsia"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预测范围图</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水基泥浆槽泄漏时，预测时间</w:t>
      </w:r>
      <w:r>
        <w:rPr>
          <w:rFonts w:hint="default" w:ascii="Times New Roman" w:hAnsi="Times New Roman" w:eastAsia="宋体" w:cs="Times New Roman"/>
          <w:color w:val="auto"/>
          <w:kern w:val="0"/>
          <w:sz w:val="28"/>
          <w:szCs w:val="28"/>
          <w:highlight w:val="none"/>
          <w:lang w:val="en-US" w:eastAsia="zh-CN" w:bidi="ar"/>
        </w:rPr>
        <w:t>1000天时，</w:t>
      </w:r>
      <w:r>
        <w:rPr>
          <w:rFonts w:hint="eastAsia" w:ascii="Times New Roman" w:hAnsi="Times New Roman" w:eastAsia="宋体" w:cs="Times New Roman"/>
          <w:color w:val="auto"/>
          <w:kern w:val="0"/>
          <w:sz w:val="28"/>
          <w:szCs w:val="28"/>
          <w:highlight w:val="none"/>
          <w:lang w:val="en-US" w:eastAsia="zh-CN" w:bidi="ar"/>
        </w:rPr>
        <w:t>COD</w:t>
      </w:r>
      <w:r>
        <w:rPr>
          <w:rFonts w:hint="default" w:ascii="Times New Roman" w:hAnsi="Times New Roman" w:eastAsia="宋体" w:cs="Times New Roman"/>
          <w:color w:val="auto"/>
          <w:kern w:val="0"/>
          <w:sz w:val="28"/>
          <w:szCs w:val="28"/>
          <w:highlight w:val="none"/>
          <w:lang w:val="en-US" w:eastAsia="zh-CN" w:bidi="ar"/>
        </w:rPr>
        <w:t>下游最大浓度为：0.55mg/l，未超标，影响距离最远为下游15.06m，预测范围内的影响面积为125m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3油基泥浆</w:t>
      </w:r>
      <w:r>
        <w:rPr>
          <w:rFonts w:hint="default" w:ascii="Times New Roman" w:hAnsi="Times New Roman" w:cs="Times New Roman"/>
          <w:b/>
          <w:bCs/>
          <w:caps w:val="0"/>
          <w:smallCaps w:val="0"/>
          <w:color w:val="auto"/>
          <w:spacing w:val="0"/>
          <w:w w:val="100"/>
          <w:kern w:val="21"/>
          <w:sz w:val="24"/>
          <w:szCs w:val="24"/>
          <w:highlight w:val="none"/>
        </w:rPr>
        <w:t>钢制泥浆</w:t>
      </w:r>
      <w:r>
        <w:rPr>
          <w:rFonts w:hint="default" w:ascii="Times New Roman" w:hAnsi="Times New Roman" w:cs="Times New Roman"/>
          <w:b/>
          <w:bCs/>
          <w:caps w:val="0"/>
          <w:smallCaps w:val="0"/>
          <w:color w:val="auto"/>
          <w:spacing w:val="0"/>
          <w:w w:val="100"/>
          <w:kern w:val="21"/>
          <w:sz w:val="24"/>
          <w:szCs w:val="24"/>
          <w:highlight w:val="none"/>
          <w:lang w:eastAsia="zh-CN"/>
        </w:rPr>
        <w:t>罐</w:t>
      </w:r>
      <w:r>
        <w:rPr>
          <w:rFonts w:hint="default" w:ascii="Times New Roman" w:hAnsi="Times New Roman" w:cs="Times New Roman"/>
          <w:b/>
          <w:bCs/>
          <w:caps w:val="0"/>
          <w:smallCaps w:val="0"/>
          <w:color w:val="auto"/>
          <w:spacing w:val="0"/>
          <w:w w:val="100"/>
          <w:kern w:val="21"/>
          <w:sz w:val="24"/>
          <w:szCs w:val="24"/>
          <w:highlight w:val="none"/>
        </w:rPr>
        <w:t>泄漏100d</w:t>
      </w:r>
      <w:r>
        <w:rPr>
          <w:rFonts w:hint="default"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预测结果表 单位：mg/L</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bottom w:val="single" w:color="auto" w:sz="6" w:space="0"/>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5.26E-01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1.43E+00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1.62E+00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1.43E+00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5.25E-01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4.22E+00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1.15E+01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1.30E+01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1.15E+01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4.22E+00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1.01E-03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2.76E-03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3.12E-03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2.76E-03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1.01E-03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3.04E-08</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8.25E-08</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9.35E-08</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8.25E-08</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3.03E-08</w:t>
            </w:r>
          </w:p>
        </w:tc>
      </w:tr>
    </w:tbl>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根据预测结果可知，</w:t>
      </w:r>
      <w:r>
        <w:rPr>
          <w:rFonts w:hint="eastAsia" w:ascii="Times New Roman" w:hAnsi="Times New Roman" w:eastAsia="宋体" w:cs="Times New Roman"/>
          <w:color w:val="auto"/>
          <w:kern w:val="0"/>
          <w:sz w:val="28"/>
          <w:szCs w:val="28"/>
          <w:highlight w:val="none"/>
          <w:lang w:val="en-US" w:eastAsia="zh-CN" w:bidi="ar"/>
        </w:rPr>
        <w:t>油基泥浆槽泄漏时，</w:t>
      </w:r>
      <w:r>
        <w:rPr>
          <w:rFonts w:hint="default" w:ascii="Times New Roman" w:hAnsi="Times New Roman" w:eastAsia="宋体" w:cs="Times New Roman"/>
          <w:color w:val="auto"/>
          <w:kern w:val="0"/>
          <w:sz w:val="28"/>
          <w:szCs w:val="28"/>
          <w:highlight w:val="none"/>
          <w:lang w:val="en-US" w:eastAsia="zh-CN" w:bidi="ar"/>
        </w:rPr>
        <w:t>预测时间</w:t>
      </w:r>
      <w:r>
        <w:rPr>
          <w:rFonts w:hint="eastAsia" w:ascii="Times New Roman" w:hAnsi="Times New Roman" w:eastAsia="宋体" w:cs="Times New Roman"/>
          <w:color w:val="auto"/>
          <w:kern w:val="0"/>
          <w:sz w:val="28"/>
          <w:szCs w:val="28"/>
          <w:highlight w:val="none"/>
          <w:lang w:val="en-US" w:eastAsia="zh-CN" w:bidi="ar"/>
        </w:rPr>
        <w:t>为</w:t>
      </w:r>
      <w:r>
        <w:rPr>
          <w:rFonts w:hint="default" w:ascii="Times New Roman" w:hAnsi="Times New Roman" w:eastAsia="宋体" w:cs="Times New Roman"/>
          <w:color w:val="auto"/>
          <w:kern w:val="0"/>
          <w:sz w:val="28"/>
          <w:szCs w:val="28"/>
          <w:highlight w:val="none"/>
          <w:lang w:val="en-US" w:eastAsia="zh-CN" w:bidi="ar"/>
        </w:rPr>
        <w:t>100天时，</w:t>
      </w:r>
      <w:r>
        <w:rPr>
          <w:rFonts w:hint="eastAsia" w:ascii="Times New Roman" w:hAnsi="Times New Roman" w:eastAsia="宋体" w:cs="Times New Roman"/>
          <w:color w:val="auto"/>
          <w:kern w:val="0"/>
          <w:sz w:val="28"/>
          <w:szCs w:val="28"/>
          <w:highlight w:val="none"/>
          <w:lang w:val="en-US" w:eastAsia="zh-CN" w:bidi="ar"/>
        </w:rPr>
        <w:t>COD</w:t>
      </w:r>
      <w:r>
        <w:rPr>
          <w:rFonts w:hint="default" w:ascii="Times New Roman" w:hAnsi="Times New Roman" w:eastAsia="宋体" w:cs="Times New Roman"/>
          <w:color w:val="auto"/>
          <w:kern w:val="0"/>
          <w:sz w:val="28"/>
          <w:szCs w:val="28"/>
          <w:highlight w:val="none"/>
          <w:lang w:val="en-US" w:eastAsia="zh-CN" w:bidi="ar"/>
        </w:rPr>
        <w:t>下游最大浓度为：1</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mg/l，超标距离最远为18.006m，预测范围内的超标面积为175m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，影响距离最远为下游26.006m，预测范围内的影响面积为625m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Style w:val="2"/>
        <w:ind w:left="0" w:leftChars="0" w:firstLine="0" w:firstLineChars="0"/>
        <w:rPr>
          <w:rFonts w:hint="default"/>
          <w:color w:val="auto"/>
          <w:highlight w:val="none"/>
        </w:rPr>
      </w:pPr>
      <w:r>
        <w:rPr>
          <w:color w:val="auto"/>
          <w:sz w:val="24"/>
          <w:highlight w:val="none"/>
        </w:rPr>
        <mc:AlternateContent>
          <mc:Choice Requires="wps">
            <w:drawing>
              <wp:anchor distT="0" distB="0" distL="114300" distR="114300" simplePos="0" relativeHeight="251677696" behindDoc="0" locked="0" layoutInCell="1" allowOverlap="1">
                <wp:simplePos x="0" y="0"/>
                <wp:positionH relativeFrom="column">
                  <wp:posOffset>3273425</wp:posOffset>
                </wp:positionH>
                <wp:positionV relativeFrom="paragraph">
                  <wp:posOffset>843280</wp:posOffset>
                </wp:positionV>
                <wp:extent cx="1028700" cy="412750"/>
                <wp:effectExtent l="0" t="0" r="0" b="0"/>
                <wp:wrapNone/>
                <wp:docPr id="51" name="文本框 51"/>
                <wp:cNvGraphicFramePr/>
                <a:graphic xmlns:a="http://schemas.openxmlformats.org/drawingml/2006/main">
                  <a:graphicData uri="http://schemas.microsoft.com/office/word/2010/wordprocessingShape">
                    <wps:wsp>
                      <wps:cNvSpPr txBox="1"/>
                      <wps:spPr>
                        <a:xfrm>
                          <a:off x="4418330" y="2567940"/>
                          <a:ext cx="1028700" cy="412750"/>
                        </a:xfrm>
                        <a:prstGeom prst="rect">
                          <a:avLst/>
                        </a:prstGeom>
                        <a:noFill/>
                        <a:ln w="6350">
                          <a:noFill/>
                        </a:ln>
                        <a:effectLst/>
                      </wps:spPr>
                      <wps:txb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75pt;margin-top:66.4pt;height:32.5pt;width:81pt;z-index:251677696;mso-width-relative:page;mso-height-relative:page;" filled="f" stroked="f" coordsize="21600,21600" o:gfxdata="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mCpETbAAAACwEAAA8A&#10;AAAAAAAAAQAgAAAAIgAAAGRycy9kb3ducmV2LnhtbFBLAQIUABQAAAAIAIdO4kDLtYN/TQIAAIIE&#10;AAAOAAAAAAAAAAEAIAAAACoBAABkcnMvZTJvRG9jLnhtbFBLBQYAAAAABgAGAFkBAADpBQAAAAA=&#10;">
                <v:fill on="f" focussize="0,0"/>
                <v:stroke on="f" weight="0.5pt"/>
                <v:imagedata o:title=""/>
                <o:lock v:ext="edit" aspectratio="f"/>
                <v:textbo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v:textbox>
              </v:shape>
            </w:pict>
          </mc:Fallback>
        </mc:AlternateContent>
      </w:r>
      <w:r>
        <w:rPr>
          <w:color w:val="auto"/>
          <w:sz w:val="24"/>
          <w:highlight w:val="none"/>
        </w:rPr>
        <mc:AlternateContent>
          <mc:Choice Requires="wps">
            <w:drawing>
              <wp:anchor distT="0" distB="0" distL="114300" distR="114300" simplePos="0" relativeHeight="251676672" behindDoc="0" locked="0" layoutInCell="1" allowOverlap="1">
                <wp:simplePos x="0" y="0"/>
                <wp:positionH relativeFrom="column">
                  <wp:posOffset>3133725</wp:posOffset>
                </wp:positionH>
                <wp:positionV relativeFrom="paragraph">
                  <wp:posOffset>716280</wp:posOffset>
                </wp:positionV>
                <wp:extent cx="723900" cy="0"/>
                <wp:effectExtent l="0" t="38100" r="0" b="38100"/>
                <wp:wrapNone/>
                <wp:docPr id="50" name="直接箭头连接符 50"/>
                <wp:cNvGraphicFramePr/>
                <a:graphic xmlns:a="http://schemas.openxmlformats.org/drawingml/2006/main">
                  <a:graphicData uri="http://schemas.microsoft.com/office/word/2010/wordprocessingShape">
                    <wps:wsp>
                      <wps:cNvCnPr/>
                      <wps:spPr>
                        <a:xfrm flipH="1">
                          <a:off x="4278630" y="2440940"/>
                          <a:ext cx="723900" cy="0"/>
                        </a:xfrm>
                        <a:prstGeom prst="straightConnector1">
                          <a:avLst/>
                        </a:prstGeom>
                        <a:noFill/>
                        <a:ln w="19050" cap="flat" cmpd="sng" algn="ctr">
                          <a:solidFill>
                            <a:srgbClr val="FFFFFF"/>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margin-left:246.75pt;margin-top:56.4pt;height:0pt;width:57pt;z-index:251676672;mso-width-relative:page;mso-height-relative:page;" filled="f" stroked="t" coordsize="21600,21600" o:gfxdata="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kZTXNcAAAALAQAADwAAAAAAAAABACAAAAAiAAAAZHJzL2Rvd25yZXYu&#10;eG1sUEsBAhQAFAAAAAgAh07iQL1Hy5U1AgAAMQQAAA4AAAAAAAAAAQAgAAAAJgEAAGRycy9lMm9E&#10;b2MueG1sUEsFBgAAAAAGAAYAWQEAAM0FAAAAAA==&#10;">
                <v:fill on="f" focussize="0,0"/>
                <v:stroke weight="1.5pt" color="#FFFFFF" miterlimit="8" joinstyle="miter" endarrow="block"/>
                <v:imagedata o:title=""/>
                <o:lock v:ext="edit" aspectratio="f"/>
              </v:shape>
            </w:pict>
          </mc:Fallback>
        </mc:AlternateContent>
      </w:r>
      <w:r>
        <w:rPr>
          <w:rFonts w:hint="default"/>
          <w:color w:val="auto"/>
          <w:highlight w:val="none"/>
        </w:rPr>
        <w:drawing>
          <wp:inline distT="0" distB="0" distL="114300" distR="114300">
            <wp:extent cx="5269865" cy="4479290"/>
            <wp:effectExtent l="0" t="0" r="6985" b="16510"/>
            <wp:docPr id="29" name="图片 16" descr="油基1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油基100d"/>
                    <pic:cNvPicPr>
                      <a:picLocks noChangeAspect="1"/>
                    </pic:cNvPicPr>
                  </pic:nvPicPr>
                  <pic:blipFill>
                    <a:blip r:embed="rId26"/>
                    <a:stretch>
                      <a:fillRect/>
                    </a:stretch>
                  </pic:blipFill>
                  <pic:spPr>
                    <a:xfrm>
                      <a:off x="0" y="0"/>
                      <a:ext cx="5269865" cy="4479290"/>
                    </a:xfrm>
                    <a:prstGeom prst="rect">
                      <a:avLst/>
                    </a:prstGeom>
                    <a:noFill/>
                    <a:ln>
                      <a:noFill/>
                    </a:ln>
                  </pic:spPr>
                </pic:pic>
              </a:graphicData>
            </a:graphic>
          </wp:inline>
        </w:drawing>
      </w:r>
    </w:p>
    <w:p>
      <w:pPr>
        <w:pageBreakBefore w:val="0"/>
        <w:widowControl/>
        <w:bidi w:val="0"/>
        <w:spacing w:line="360" w:lineRule="auto"/>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图5.3-</w:t>
      </w:r>
      <w:r>
        <w:rPr>
          <w:rFonts w:hint="eastAsia" w:ascii="Times New Roman" w:hAnsi="Times New Roman" w:cs="Times New Roman"/>
          <w:b/>
          <w:bCs/>
          <w:caps w:val="0"/>
          <w:smallCaps w:val="0"/>
          <w:color w:val="auto"/>
          <w:spacing w:val="0"/>
          <w:w w:val="100"/>
          <w:kern w:val="21"/>
          <w:sz w:val="24"/>
          <w:szCs w:val="24"/>
          <w:highlight w:val="none"/>
          <w:lang w:val="en-US" w:eastAsia="zh-CN"/>
        </w:rPr>
        <w:t>2水基</w:t>
      </w:r>
      <w:r>
        <w:rPr>
          <w:rFonts w:hint="default" w:ascii="Times New Roman" w:hAnsi="Times New Roman" w:cs="Times New Roman"/>
          <w:b/>
          <w:bCs/>
          <w:caps w:val="0"/>
          <w:smallCaps w:val="0"/>
          <w:color w:val="auto"/>
          <w:spacing w:val="0"/>
          <w:w w:val="100"/>
          <w:kern w:val="21"/>
          <w:sz w:val="24"/>
          <w:szCs w:val="24"/>
          <w:highlight w:val="none"/>
        </w:rPr>
        <w:t>泥浆槽泄漏100</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d</w:t>
      </w:r>
      <w:r>
        <w:rPr>
          <w:rFonts w:hint="eastAsia"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预测范围图</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根据预测结果可知，</w:t>
      </w:r>
      <w:r>
        <w:rPr>
          <w:rFonts w:hint="eastAsia" w:ascii="Times New Roman" w:hAnsi="Times New Roman" w:eastAsia="宋体" w:cs="Times New Roman"/>
          <w:color w:val="auto"/>
          <w:kern w:val="0"/>
          <w:sz w:val="28"/>
          <w:szCs w:val="28"/>
          <w:highlight w:val="none"/>
          <w:lang w:val="en-US" w:eastAsia="zh-CN" w:bidi="ar"/>
        </w:rPr>
        <w:t>油基泥浆槽泄漏时，</w:t>
      </w:r>
      <w:r>
        <w:rPr>
          <w:rFonts w:hint="default" w:ascii="Times New Roman" w:hAnsi="Times New Roman" w:eastAsia="宋体" w:cs="Times New Roman"/>
          <w:color w:val="auto"/>
          <w:kern w:val="0"/>
          <w:sz w:val="28"/>
          <w:szCs w:val="28"/>
          <w:highlight w:val="none"/>
          <w:lang w:val="en-US" w:eastAsia="zh-CN" w:bidi="ar"/>
        </w:rPr>
        <w:t>预测1000天时，</w:t>
      </w:r>
      <w:r>
        <w:rPr>
          <w:rFonts w:hint="eastAsia" w:ascii="Times New Roman" w:hAnsi="Times New Roman" w:eastAsia="宋体" w:cs="Times New Roman"/>
          <w:color w:val="auto"/>
          <w:kern w:val="0"/>
          <w:sz w:val="28"/>
          <w:szCs w:val="28"/>
          <w:highlight w:val="none"/>
          <w:lang w:val="en-US" w:eastAsia="zh-CN" w:bidi="ar"/>
        </w:rPr>
        <w:t>COD</w:t>
      </w:r>
      <w:r>
        <w:rPr>
          <w:rFonts w:hint="default" w:ascii="Times New Roman" w:hAnsi="Times New Roman" w:eastAsia="宋体" w:cs="Times New Roman"/>
          <w:color w:val="auto"/>
          <w:kern w:val="0"/>
          <w:sz w:val="28"/>
          <w:szCs w:val="28"/>
          <w:highlight w:val="none"/>
          <w:lang w:val="en-US" w:eastAsia="zh-CN" w:bidi="ar"/>
        </w:rPr>
        <w:t>下游最大浓度为：1.</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mg/</w:t>
      </w:r>
      <w:r>
        <w:rPr>
          <w:rFonts w:hint="eastAsia" w:ascii="Times New Roman" w:hAnsi="Times New Roman" w:eastAsia="宋体" w:cs="Times New Roman"/>
          <w:color w:val="auto"/>
          <w:kern w:val="0"/>
          <w:sz w:val="28"/>
          <w:szCs w:val="28"/>
          <w:highlight w:val="none"/>
          <w:lang w:val="en-US" w:eastAsia="zh-CN" w:bidi="ar"/>
        </w:rPr>
        <w:t>L</w:t>
      </w:r>
      <w:r>
        <w:rPr>
          <w:rFonts w:hint="default" w:ascii="Times New Roman" w:hAnsi="Times New Roman" w:eastAsia="宋体" w:cs="Times New Roman"/>
          <w:color w:val="auto"/>
          <w:kern w:val="0"/>
          <w:sz w:val="28"/>
          <w:szCs w:val="28"/>
          <w:highlight w:val="none"/>
          <w:lang w:val="en-US" w:eastAsia="zh-CN" w:bidi="ar"/>
        </w:rPr>
        <w:t>，未超标，影响距离最远为下游44.06m，预测范围内的影响面积为1468m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4油基泥浆</w:t>
      </w:r>
      <w:r>
        <w:rPr>
          <w:rFonts w:hint="default" w:ascii="Times New Roman" w:hAnsi="Times New Roman" w:cs="Times New Roman"/>
          <w:b/>
          <w:bCs/>
          <w:caps w:val="0"/>
          <w:smallCaps w:val="0"/>
          <w:color w:val="auto"/>
          <w:spacing w:val="0"/>
          <w:w w:val="100"/>
          <w:kern w:val="21"/>
          <w:sz w:val="24"/>
          <w:szCs w:val="24"/>
          <w:highlight w:val="none"/>
        </w:rPr>
        <w:t>钢制泥浆</w:t>
      </w:r>
      <w:r>
        <w:rPr>
          <w:rFonts w:hint="default" w:ascii="Times New Roman" w:hAnsi="Times New Roman" w:cs="Times New Roman"/>
          <w:b/>
          <w:bCs/>
          <w:caps w:val="0"/>
          <w:smallCaps w:val="0"/>
          <w:color w:val="auto"/>
          <w:spacing w:val="0"/>
          <w:w w:val="100"/>
          <w:kern w:val="21"/>
          <w:sz w:val="24"/>
          <w:szCs w:val="24"/>
          <w:highlight w:val="none"/>
          <w:lang w:eastAsia="zh-CN"/>
        </w:rPr>
        <w:t>罐</w:t>
      </w:r>
      <w:r>
        <w:rPr>
          <w:rFonts w:hint="default" w:ascii="Times New Roman" w:hAnsi="Times New Roman" w:cs="Times New Roman"/>
          <w:b/>
          <w:bCs/>
          <w:caps w:val="0"/>
          <w:smallCaps w:val="0"/>
          <w:color w:val="auto"/>
          <w:spacing w:val="0"/>
          <w:w w:val="100"/>
          <w:kern w:val="21"/>
          <w:sz w:val="24"/>
          <w:szCs w:val="24"/>
          <w:highlight w:val="none"/>
        </w:rPr>
        <w:t>泄漏10</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d</w:t>
      </w:r>
      <w:r>
        <w:rPr>
          <w:rFonts w:hint="eastAsia" w:ascii="Times New Roman" w:hAnsi="Times New Roman" w:cs="Times New Roman"/>
          <w:b/>
          <w:bCs/>
          <w:caps w:val="0"/>
          <w:smallCaps w:val="0"/>
          <w:color w:val="auto"/>
          <w:spacing w:val="0"/>
          <w:w w:val="100"/>
          <w:kern w:val="21"/>
          <w:sz w:val="24"/>
          <w:szCs w:val="24"/>
          <w:highlight w:val="none"/>
          <w:lang w:val="en-US" w:eastAsia="zh-CN"/>
        </w:rPr>
        <w:t>石油类</w:t>
      </w:r>
      <w:r>
        <w:rPr>
          <w:rFonts w:hint="default" w:ascii="Times New Roman" w:hAnsi="Times New Roman" w:cs="Times New Roman"/>
          <w:b/>
          <w:bCs/>
          <w:caps w:val="0"/>
          <w:smallCaps w:val="0"/>
          <w:color w:val="auto"/>
          <w:spacing w:val="0"/>
          <w:w w:val="100"/>
          <w:kern w:val="21"/>
          <w:sz w:val="24"/>
          <w:szCs w:val="24"/>
          <w:highlight w:val="none"/>
        </w:rPr>
        <w:t>预测结果表 单位：mg/L</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bottom w:val="single" w:color="auto" w:sz="6" w:space="0"/>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6</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6</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9.30E-02</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1.28E-01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1.53E-01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9.29E-02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2.07E-02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1.87E+00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2.57E+00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3.08E+00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1.87E+00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4.16E-01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4.49E-04</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6.18E-04</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7.40E-04</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4.48E-04</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1.00E-04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6.24E-15</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8.58E-15</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1.03E-14</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6.23E-15</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1.39E-15</w:t>
            </w:r>
          </w:p>
        </w:tc>
      </w:tr>
    </w:tbl>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根据预测结果可知，</w:t>
      </w:r>
      <w:r>
        <w:rPr>
          <w:rFonts w:hint="eastAsia" w:ascii="Times New Roman" w:hAnsi="Times New Roman" w:eastAsia="宋体" w:cs="Times New Roman"/>
          <w:color w:val="auto"/>
          <w:kern w:val="0"/>
          <w:sz w:val="28"/>
          <w:szCs w:val="28"/>
          <w:highlight w:val="none"/>
          <w:lang w:val="en-US" w:eastAsia="zh-CN" w:bidi="ar"/>
        </w:rPr>
        <w:t>油基泥浆槽泄漏时，</w:t>
      </w:r>
      <w:r>
        <w:rPr>
          <w:rFonts w:hint="default" w:ascii="Times New Roman" w:hAnsi="Times New Roman" w:eastAsia="宋体" w:cs="Times New Roman"/>
          <w:color w:val="auto"/>
          <w:kern w:val="0"/>
          <w:sz w:val="28"/>
          <w:szCs w:val="28"/>
          <w:highlight w:val="none"/>
          <w:lang w:val="en-US" w:eastAsia="zh-CN" w:bidi="ar"/>
        </w:rPr>
        <w:t>预测时间</w:t>
      </w:r>
      <w:r>
        <w:rPr>
          <w:rFonts w:hint="eastAsia" w:ascii="Times New Roman" w:hAnsi="Times New Roman" w:eastAsia="宋体" w:cs="Times New Roman"/>
          <w:color w:val="auto"/>
          <w:kern w:val="0"/>
          <w:sz w:val="28"/>
          <w:szCs w:val="28"/>
          <w:highlight w:val="none"/>
          <w:lang w:val="en-US" w:eastAsia="zh-CN" w:bidi="ar"/>
        </w:rPr>
        <w:t>为</w:t>
      </w:r>
      <w:r>
        <w:rPr>
          <w:rFonts w:hint="default" w:ascii="Times New Roman" w:hAnsi="Times New Roman" w:eastAsia="宋体" w:cs="Times New Roman"/>
          <w:color w:val="auto"/>
          <w:kern w:val="0"/>
          <w:sz w:val="28"/>
          <w:szCs w:val="28"/>
          <w:highlight w:val="none"/>
          <w:lang w:val="en-US" w:eastAsia="zh-CN" w:bidi="ar"/>
        </w:rPr>
        <w:t>100天时，</w:t>
      </w:r>
      <w:r>
        <w:rPr>
          <w:rFonts w:hint="eastAsia" w:ascii="Times New Roman" w:hAnsi="Times New Roman" w:eastAsia="宋体" w:cs="Times New Roman"/>
          <w:color w:val="auto"/>
          <w:kern w:val="0"/>
          <w:sz w:val="28"/>
          <w:szCs w:val="28"/>
          <w:highlight w:val="none"/>
          <w:lang w:val="en-US" w:eastAsia="zh-CN" w:bidi="ar"/>
        </w:rPr>
        <w:t>石油类</w:t>
      </w:r>
      <w:r>
        <w:rPr>
          <w:rFonts w:hint="default" w:ascii="Times New Roman" w:hAnsi="Times New Roman" w:eastAsia="宋体" w:cs="Times New Roman"/>
          <w:color w:val="auto"/>
          <w:kern w:val="0"/>
          <w:sz w:val="28"/>
          <w:szCs w:val="28"/>
          <w:highlight w:val="none"/>
          <w:lang w:val="en-US" w:eastAsia="zh-CN" w:bidi="ar"/>
        </w:rPr>
        <w:t>下游最大浓度为：3.1mg/l，超标距离最远为29m，预测范围内的超标面积为636m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，影响距离最远为下游34m，预测范围内的影响面积为884m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Style w:val="2"/>
        <w:ind w:left="0" w:leftChars="0" w:firstLine="0" w:firstLineChars="0"/>
        <w:rPr>
          <w:rFonts w:hint="default"/>
          <w:color w:val="auto"/>
          <w:highlight w:val="none"/>
        </w:rPr>
      </w:pPr>
      <w:r>
        <w:rPr>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3171825</wp:posOffset>
                </wp:positionH>
                <wp:positionV relativeFrom="paragraph">
                  <wp:posOffset>775970</wp:posOffset>
                </wp:positionV>
                <wp:extent cx="1123950" cy="304800"/>
                <wp:effectExtent l="0" t="0" r="0" b="0"/>
                <wp:wrapNone/>
                <wp:docPr id="49" name="文本框 49"/>
                <wp:cNvGraphicFramePr/>
                <a:graphic xmlns:a="http://schemas.openxmlformats.org/drawingml/2006/main">
                  <a:graphicData uri="http://schemas.microsoft.com/office/word/2010/wordprocessingShape">
                    <wps:wsp>
                      <wps:cNvSpPr txBox="1"/>
                      <wps:spPr>
                        <a:xfrm>
                          <a:off x="4316730" y="3310890"/>
                          <a:ext cx="1123950" cy="304800"/>
                        </a:xfrm>
                        <a:prstGeom prst="rect">
                          <a:avLst/>
                        </a:prstGeom>
                        <a:noFill/>
                        <a:ln w="6350">
                          <a:noFill/>
                        </a:ln>
                        <a:effectLst/>
                      </wps:spPr>
                      <wps:txb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75pt;margin-top:61.1pt;height:24pt;width:88.5pt;z-index:251675648;mso-width-relative:page;mso-height-relative:page;" filled="f" stroked="f" coordsize="21600,21600" o:gfxdata="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9XmhrbAAAACwEAAA8A&#10;AAAAAAAAAQAgAAAAIgAAAGRycy9kb3ducmV2LnhtbFBLAQIUABQAAAAIAIdO4kAmeFpzTQIAAIIE&#10;AAAOAAAAAAAAAAEAIAAAACoBAABkcnMvZTJvRG9jLnhtbFBLBQYAAAAABgAGAFkBAADpBQAAAAA=&#10;">
                <v:fill on="f" focussize="0,0"/>
                <v:stroke on="f" weight="0.5pt"/>
                <v:imagedata o:title=""/>
                <o:lock v:ext="edit" aspectratio="f"/>
                <v:textbo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v:textbox>
              </v:shape>
            </w:pict>
          </mc:Fallback>
        </mc:AlternateContent>
      </w:r>
      <w:r>
        <w:rPr>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3133725</wp:posOffset>
                </wp:positionH>
                <wp:positionV relativeFrom="paragraph">
                  <wp:posOffset>617220</wp:posOffset>
                </wp:positionV>
                <wp:extent cx="838200" cy="6350"/>
                <wp:effectExtent l="0" t="37465" r="0" b="32385"/>
                <wp:wrapNone/>
                <wp:docPr id="48" name="直接箭头连接符 48"/>
                <wp:cNvGraphicFramePr/>
                <a:graphic xmlns:a="http://schemas.openxmlformats.org/drawingml/2006/main">
                  <a:graphicData uri="http://schemas.microsoft.com/office/word/2010/wordprocessingShape">
                    <wps:wsp>
                      <wps:cNvCnPr/>
                      <wps:spPr>
                        <a:xfrm flipH="1" flipV="1">
                          <a:off x="4278630" y="3152140"/>
                          <a:ext cx="838200" cy="6350"/>
                        </a:xfrm>
                        <a:prstGeom prst="straightConnector1">
                          <a:avLst/>
                        </a:prstGeom>
                        <a:noFill/>
                        <a:ln w="19050" cap="flat" cmpd="sng" algn="ctr">
                          <a:solidFill>
                            <a:srgbClr val="FFFFFF"/>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 y;margin-left:246.75pt;margin-top:48.6pt;height:0.5pt;width:66pt;z-index:251674624;mso-width-relative:page;mso-height-relative:page;" filled="f" stroked="t" coordsize="21600,21600" o:gfxdata="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oIVfNkAAAAJAQAADwAAAAAAAAABACAAAAAiAAAAZHJz&#10;L2Rvd25yZXYueG1sUEsBAhQAFAAAAAgAh07iQAUGVLA8AgAAPgQAAA4AAAAAAAAAAQAgAAAAKAEA&#10;AGRycy9lMm9Eb2MueG1sUEsFBgAAAAAGAAYAWQEAANYFAAAAAA==&#10;">
                <v:fill on="f" focussize="0,0"/>
                <v:stroke weight="1.5pt" color="#FFFFFF" miterlimit="8" joinstyle="miter" endarrow="block"/>
                <v:imagedata o:title=""/>
                <o:lock v:ext="edit" aspectratio="f"/>
              </v:shape>
            </w:pict>
          </mc:Fallback>
        </mc:AlternateContent>
      </w:r>
      <w:r>
        <w:rPr>
          <w:rFonts w:hint="eastAsia" w:eastAsia="宋体"/>
          <w:color w:val="auto"/>
          <w:highlight w:val="none"/>
          <w:lang w:eastAsia="zh-CN"/>
        </w:rPr>
        <w:drawing>
          <wp:inline distT="0" distB="0" distL="114300" distR="114300">
            <wp:extent cx="5270500" cy="4561840"/>
            <wp:effectExtent l="0" t="0" r="6350" b="10160"/>
            <wp:docPr id="30" name="图片 23" descr="油基石油类1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油基石油类100d"/>
                    <pic:cNvPicPr>
                      <a:picLocks noChangeAspect="1"/>
                    </pic:cNvPicPr>
                  </pic:nvPicPr>
                  <pic:blipFill>
                    <a:blip r:embed="rId27"/>
                    <a:stretch>
                      <a:fillRect/>
                    </a:stretch>
                  </pic:blipFill>
                  <pic:spPr>
                    <a:xfrm>
                      <a:off x="0" y="0"/>
                      <a:ext cx="5270500" cy="4561840"/>
                    </a:xfrm>
                    <a:prstGeom prst="rect">
                      <a:avLst/>
                    </a:prstGeom>
                    <a:noFill/>
                    <a:ln>
                      <a:noFill/>
                    </a:ln>
                  </pic:spPr>
                </pic:pic>
              </a:graphicData>
            </a:graphic>
          </wp:inline>
        </w:drawing>
      </w:r>
    </w:p>
    <w:p>
      <w:pPr>
        <w:pageBreakBefore w:val="0"/>
        <w:widowControl/>
        <w:bidi w:val="0"/>
        <w:spacing w:line="360" w:lineRule="auto"/>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图5.3-</w:t>
      </w:r>
      <w:r>
        <w:rPr>
          <w:rFonts w:hint="eastAsia" w:ascii="Times New Roman" w:hAnsi="Times New Roman" w:cs="Times New Roman"/>
          <w:b/>
          <w:bCs/>
          <w:caps w:val="0"/>
          <w:smallCaps w:val="0"/>
          <w:color w:val="auto"/>
          <w:spacing w:val="0"/>
          <w:w w:val="100"/>
          <w:kern w:val="21"/>
          <w:sz w:val="24"/>
          <w:szCs w:val="24"/>
          <w:highlight w:val="none"/>
          <w:lang w:val="en-US" w:eastAsia="zh-CN"/>
        </w:rPr>
        <w:t>3水基</w:t>
      </w:r>
      <w:r>
        <w:rPr>
          <w:rFonts w:hint="default" w:ascii="Times New Roman" w:hAnsi="Times New Roman" w:cs="Times New Roman"/>
          <w:b/>
          <w:bCs/>
          <w:caps w:val="0"/>
          <w:smallCaps w:val="0"/>
          <w:color w:val="auto"/>
          <w:spacing w:val="0"/>
          <w:w w:val="100"/>
          <w:kern w:val="21"/>
          <w:sz w:val="24"/>
          <w:szCs w:val="24"/>
          <w:highlight w:val="none"/>
        </w:rPr>
        <w:t>泥浆槽泄漏100d</w:t>
      </w:r>
      <w:r>
        <w:rPr>
          <w:rFonts w:hint="eastAsia" w:ascii="Times New Roman" w:hAnsi="Times New Roman" w:cs="Times New Roman"/>
          <w:b/>
          <w:bCs/>
          <w:caps w:val="0"/>
          <w:smallCaps w:val="0"/>
          <w:color w:val="auto"/>
          <w:spacing w:val="0"/>
          <w:w w:val="100"/>
          <w:kern w:val="21"/>
          <w:sz w:val="24"/>
          <w:szCs w:val="24"/>
          <w:highlight w:val="none"/>
          <w:lang w:val="en-US" w:eastAsia="zh-CN"/>
        </w:rPr>
        <w:t>石油类</w:t>
      </w:r>
      <w:r>
        <w:rPr>
          <w:rFonts w:hint="default" w:ascii="Times New Roman" w:hAnsi="Times New Roman" w:cs="Times New Roman"/>
          <w:b/>
          <w:bCs/>
          <w:caps w:val="0"/>
          <w:smallCaps w:val="0"/>
          <w:color w:val="auto"/>
          <w:spacing w:val="0"/>
          <w:w w:val="100"/>
          <w:kern w:val="21"/>
          <w:sz w:val="24"/>
          <w:szCs w:val="24"/>
          <w:highlight w:val="none"/>
        </w:rPr>
        <w:t>预测范围图</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5油基泥浆</w:t>
      </w:r>
      <w:r>
        <w:rPr>
          <w:rFonts w:hint="default" w:ascii="Times New Roman" w:hAnsi="Times New Roman" w:cs="Times New Roman"/>
          <w:b/>
          <w:bCs/>
          <w:caps w:val="0"/>
          <w:smallCaps w:val="0"/>
          <w:color w:val="auto"/>
          <w:spacing w:val="0"/>
          <w:w w:val="100"/>
          <w:kern w:val="21"/>
          <w:sz w:val="24"/>
          <w:szCs w:val="24"/>
          <w:highlight w:val="none"/>
        </w:rPr>
        <w:t>钢制泥浆</w:t>
      </w:r>
      <w:r>
        <w:rPr>
          <w:rFonts w:hint="default" w:ascii="Times New Roman" w:hAnsi="Times New Roman" w:cs="Times New Roman"/>
          <w:b/>
          <w:bCs/>
          <w:caps w:val="0"/>
          <w:smallCaps w:val="0"/>
          <w:color w:val="auto"/>
          <w:spacing w:val="0"/>
          <w:w w:val="100"/>
          <w:kern w:val="21"/>
          <w:sz w:val="24"/>
          <w:szCs w:val="24"/>
          <w:highlight w:val="none"/>
          <w:lang w:eastAsia="zh-CN"/>
        </w:rPr>
        <w:t>罐</w:t>
      </w:r>
      <w:r>
        <w:rPr>
          <w:rFonts w:hint="default" w:ascii="Times New Roman" w:hAnsi="Times New Roman" w:cs="Times New Roman"/>
          <w:b/>
          <w:bCs/>
          <w:caps w:val="0"/>
          <w:smallCaps w:val="0"/>
          <w:color w:val="auto"/>
          <w:spacing w:val="0"/>
          <w:w w:val="100"/>
          <w:kern w:val="21"/>
          <w:sz w:val="24"/>
          <w:szCs w:val="24"/>
          <w:highlight w:val="none"/>
        </w:rPr>
        <w:t>泄漏100</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d</w:t>
      </w:r>
      <w:r>
        <w:rPr>
          <w:rFonts w:hint="eastAsia" w:ascii="Times New Roman" w:hAnsi="Times New Roman" w:cs="Times New Roman"/>
          <w:b/>
          <w:bCs/>
          <w:caps w:val="0"/>
          <w:smallCaps w:val="0"/>
          <w:color w:val="auto"/>
          <w:spacing w:val="0"/>
          <w:w w:val="100"/>
          <w:kern w:val="21"/>
          <w:sz w:val="24"/>
          <w:szCs w:val="24"/>
          <w:highlight w:val="none"/>
          <w:lang w:val="en-US" w:eastAsia="zh-CN"/>
        </w:rPr>
        <w:t>石油类</w:t>
      </w:r>
      <w:r>
        <w:rPr>
          <w:rFonts w:hint="default" w:ascii="Times New Roman" w:hAnsi="Times New Roman" w:cs="Times New Roman"/>
          <w:b/>
          <w:bCs/>
          <w:caps w:val="0"/>
          <w:smallCaps w:val="0"/>
          <w:color w:val="auto"/>
          <w:spacing w:val="0"/>
          <w:w w:val="100"/>
          <w:kern w:val="21"/>
          <w:sz w:val="24"/>
          <w:szCs w:val="24"/>
          <w:highlight w:val="none"/>
        </w:rPr>
        <w:t>预测结果表 单位：mg/L</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bottom w:val="single" w:color="auto" w:sz="6" w:space="0"/>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15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2.24E-01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2.47E-01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2.50E-01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2.38E-01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2.04E-01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2.75E-01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3.04E-01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3.08E-01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2.93E-01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2.52E-01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1.20E-01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1.32E-01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1.34E-01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1.27E-01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1.09E-01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9.82E-03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1.08E-02</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1.10E-02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1.04E-02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8.98E-03</w:t>
            </w:r>
          </w:p>
        </w:tc>
      </w:tr>
    </w:tbl>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根据预测结果可知，</w:t>
      </w:r>
      <w:r>
        <w:rPr>
          <w:rFonts w:hint="eastAsia" w:ascii="Times New Roman" w:hAnsi="Times New Roman" w:eastAsia="宋体" w:cs="Times New Roman"/>
          <w:color w:val="auto"/>
          <w:kern w:val="0"/>
          <w:sz w:val="28"/>
          <w:szCs w:val="28"/>
          <w:highlight w:val="none"/>
          <w:lang w:val="en-US" w:eastAsia="zh-CN" w:bidi="ar"/>
        </w:rPr>
        <w:t>油基泥浆槽泄漏时，</w:t>
      </w:r>
      <w:r>
        <w:rPr>
          <w:rFonts w:hint="default" w:ascii="Times New Roman" w:hAnsi="Times New Roman" w:eastAsia="宋体" w:cs="Times New Roman"/>
          <w:color w:val="auto"/>
          <w:kern w:val="0"/>
          <w:sz w:val="28"/>
          <w:szCs w:val="28"/>
          <w:highlight w:val="none"/>
          <w:lang w:val="en-US" w:eastAsia="zh-CN" w:bidi="ar"/>
        </w:rPr>
        <w:t>预测时间</w:t>
      </w:r>
      <w:r>
        <w:rPr>
          <w:rFonts w:hint="eastAsia" w:ascii="Times New Roman" w:hAnsi="Times New Roman" w:eastAsia="宋体" w:cs="Times New Roman"/>
          <w:color w:val="auto"/>
          <w:kern w:val="0"/>
          <w:sz w:val="28"/>
          <w:szCs w:val="28"/>
          <w:highlight w:val="none"/>
          <w:lang w:val="en-US" w:eastAsia="zh-CN" w:bidi="ar"/>
        </w:rPr>
        <w:t>为1000天时，石油类下游最大浓度为：0.31mg/l，超标距离最远为61m，预测范围内的超标面积为2625m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，影响距离最远为下游83m，预测范围内的影响面积为4775m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Style w:val="2"/>
        <w:ind w:left="0" w:leftChars="0" w:firstLine="0" w:firstLineChars="0"/>
        <w:rPr>
          <w:rFonts w:hint="default"/>
          <w:color w:val="auto"/>
          <w:highlight w:val="none"/>
          <w:lang w:val="en-US" w:eastAsia="zh-CN"/>
        </w:rPr>
      </w:pPr>
      <w:r>
        <w:rPr>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3260725</wp:posOffset>
                </wp:positionH>
                <wp:positionV relativeFrom="paragraph">
                  <wp:posOffset>837565</wp:posOffset>
                </wp:positionV>
                <wp:extent cx="958850" cy="323850"/>
                <wp:effectExtent l="0" t="0" r="0" b="0"/>
                <wp:wrapNone/>
                <wp:docPr id="47" name="文本框 47"/>
                <wp:cNvGraphicFramePr/>
                <a:graphic xmlns:a="http://schemas.openxmlformats.org/drawingml/2006/main">
                  <a:graphicData uri="http://schemas.microsoft.com/office/word/2010/wordprocessingShape">
                    <wps:wsp>
                      <wps:cNvSpPr txBox="1"/>
                      <wps:spPr>
                        <a:xfrm>
                          <a:off x="4405630" y="3372485"/>
                          <a:ext cx="958850" cy="323850"/>
                        </a:xfrm>
                        <a:prstGeom prst="rect">
                          <a:avLst/>
                        </a:prstGeom>
                        <a:noFill/>
                        <a:ln w="6350">
                          <a:noFill/>
                        </a:ln>
                        <a:effectLst/>
                      </wps:spPr>
                      <wps:txb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75pt;margin-top:65.95pt;height:25.5pt;width:75.5pt;z-index:251673600;mso-width-relative:page;mso-height-relative:page;" filled="f" stroked="f" coordsize="21600,21600" o:gfxdata="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PzAd/bAAAACwEAAA8AAAAA&#10;AAAAAQAgAAAAIgAAAGRycy9kb3ducmV2LnhtbFBLAQIUABQAAAAIAIdO4kAm0w97SgIAAIEEAAAO&#10;AAAAAAAAAAEAIAAAACoBAABkcnMvZTJvRG9jLnhtbFBLBQYAAAAABgAGAFkBAADmBQAAAAA=&#10;">
                <v:fill on="f" focussize="0,0"/>
                <v:stroke on="f" weight="0.5pt"/>
                <v:imagedata o:title=""/>
                <o:lock v:ext="edit" aspectratio="f"/>
                <v:textbo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v:textbox>
              </v:shape>
            </w:pict>
          </mc:Fallback>
        </mc:AlternateContent>
      </w:r>
      <w:r>
        <w:rPr>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3247390</wp:posOffset>
                </wp:positionH>
                <wp:positionV relativeFrom="paragraph">
                  <wp:posOffset>651510</wp:posOffset>
                </wp:positionV>
                <wp:extent cx="827405" cy="0"/>
                <wp:effectExtent l="0" t="38100" r="10795" b="38100"/>
                <wp:wrapNone/>
                <wp:docPr id="46" name="直接箭头连接符 46"/>
                <wp:cNvGraphicFramePr/>
                <a:graphic xmlns:a="http://schemas.openxmlformats.org/drawingml/2006/main">
                  <a:graphicData uri="http://schemas.microsoft.com/office/word/2010/wordprocessingShape">
                    <wps:wsp>
                      <wps:cNvCnPr/>
                      <wps:spPr>
                        <a:xfrm flipH="1">
                          <a:off x="4392295" y="3194050"/>
                          <a:ext cx="827405" cy="0"/>
                        </a:xfrm>
                        <a:prstGeom prst="straightConnector1">
                          <a:avLst/>
                        </a:prstGeom>
                        <a:noFill/>
                        <a:ln w="19050" cap="flat" cmpd="sng" algn="ctr">
                          <a:solidFill>
                            <a:srgbClr val="FFFFFF"/>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margin-left:255.7pt;margin-top:51.3pt;height:0pt;width:65.15pt;z-index:251672576;mso-width-relative:page;mso-height-relative:page;" filled="f" stroked="t" coordsize="21600,21600" o:gfxdata="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pbw0G1wAAAAsBAAAPAAAAAAAAAAEAIAAAACIAAABkcnMvZG93bnJldi54&#10;bWxQSwECFAAUAAAACACHTuJAagMlizQCAAAxBAAADgAAAAAAAAABACAAAAAmAQAAZHJzL2Uyb0Rv&#10;Yy54bWxQSwUGAAAAAAYABgBZAQAAzAUAAAAA&#10;">
                <v:fill on="f" focussize="0,0"/>
                <v:stroke weight="1.5pt" color="#FFFFFF" miterlimit="8" joinstyle="miter" endarrow="block"/>
                <v:imagedata o:title=""/>
                <o:lock v:ext="edit" aspectratio="f"/>
              </v:shape>
            </w:pict>
          </mc:Fallback>
        </mc:AlternateContent>
      </w:r>
      <w:r>
        <w:rPr>
          <w:rFonts w:hint="default"/>
          <w:color w:val="auto"/>
          <w:highlight w:val="none"/>
          <w:lang w:val="en-US" w:eastAsia="zh-CN"/>
        </w:rPr>
        <w:drawing>
          <wp:inline distT="0" distB="0" distL="114300" distR="114300">
            <wp:extent cx="5269230" cy="4594225"/>
            <wp:effectExtent l="0" t="0" r="7620" b="15875"/>
            <wp:docPr id="31" name="图片 26" descr="油基石油类10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油基石油类1000d"/>
                    <pic:cNvPicPr>
                      <a:picLocks noChangeAspect="1"/>
                    </pic:cNvPicPr>
                  </pic:nvPicPr>
                  <pic:blipFill>
                    <a:blip r:embed="rId28"/>
                    <a:stretch>
                      <a:fillRect/>
                    </a:stretch>
                  </pic:blipFill>
                  <pic:spPr>
                    <a:xfrm>
                      <a:off x="0" y="0"/>
                      <a:ext cx="5269230" cy="4594225"/>
                    </a:xfrm>
                    <a:prstGeom prst="rect">
                      <a:avLst/>
                    </a:prstGeom>
                    <a:noFill/>
                    <a:ln>
                      <a:noFill/>
                    </a:ln>
                  </pic:spPr>
                </pic:pic>
              </a:graphicData>
            </a:graphic>
          </wp:inline>
        </w:drawing>
      </w:r>
    </w:p>
    <w:p>
      <w:pPr>
        <w:pageBreakBefore w:val="0"/>
        <w:widowControl/>
        <w:bidi w:val="0"/>
        <w:spacing w:line="360" w:lineRule="auto"/>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图5.3-</w:t>
      </w:r>
      <w:r>
        <w:rPr>
          <w:rFonts w:hint="eastAsia" w:ascii="Times New Roman" w:hAnsi="Times New Roman" w:cs="Times New Roman"/>
          <w:b/>
          <w:bCs/>
          <w:caps w:val="0"/>
          <w:smallCaps w:val="0"/>
          <w:color w:val="auto"/>
          <w:spacing w:val="0"/>
          <w:w w:val="100"/>
          <w:kern w:val="21"/>
          <w:sz w:val="24"/>
          <w:szCs w:val="24"/>
          <w:highlight w:val="none"/>
          <w:lang w:val="en-US" w:eastAsia="zh-CN"/>
        </w:rPr>
        <w:t>4水基</w:t>
      </w:r>
      <w:r>
        <w:rPr>
          <w:rFonts w:hint="default" w:ascii="Times New Roman" w:hAnsi="Times New Roman" w:cs="Times New Roman"/>
          <w:b/>
          <w:bCs/>
          <w:caps w:val="0"/>
          <w:smallCaps w:val="0"/>
          <w:color w:val="auto"/>
          <w:spacing w:val="0"/>
          <w:w w:val="100"/>
          <w:kern w:val="21"/>
          <w:sz w:val="24"/>
          <w:szCs w:val="24"/>
          <w:highlight w:val="none"/>
        </w:rPr>
        <w:t>泥浆槽泄漏10</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0d</w:t>
      </w:r>
      <w:r>
        <w:rPr>
          <w:rFonts w:hint="eastAsia" w:ascii="Times New Roman" w:hAnsi="Times New Roman" w:cs="Times New Roman"/>
          <w:b/>
          <w:bCs/>
          <w:caps w:val="0"/>
          <w:smallCaps w:val="0"/>
          <w:color w:val="auto"/>
          <w:spacing w:val="0"/>
          <w:w w:val="100"/>
          <w:kern w:val="21"/>
          <w:sz w:val="24"/>
          <w:szCs w:val="24"/>
          <w:highlight w:val="none"/>
          <w:lang w:val="en-US" w:eastAsia="zh-CN"/>
        </w:rPr>
        <w:t>石油类</w:t>
      </w:r>
      <w:r>
        <w:rPr>
          <w:rFonts w:hint="default" w:ascii="Times New Roman" w:hAnsi="Times New Roman" w:cs="Times New Roman"/>
          <w:b/>
          <w:bCs/>
          <w:caps w:val="0"/>
          <w:smallCaps w:val="0"/>
          <w:color w:val="auto"/>
          <w:spacing w:val="0"/>
          <w:w w:val="100"/>
          <w:kern w:val="21"/>
          <w:sz w:val="24"/>
          <w:szCs w:val="24"/>
          <w:highlight w:val="none"/>
        </w:rPr>
        <w:t>预测范围图</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套管连接不及时</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1）预测范围</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地下水环境影响调查评价范围单井平台。</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2）预测时段</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污染发生后100d、1000d。</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3）预测因子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水基钻井液COD浓度取2000mg/L；油基钻井液石油类浓度取500mg/L，COD浓度取2000mg/L。</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4）预测参数</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本工程位于</w:t>
      </w:r>
      <w:r>
        <w:rPr>
          <w:rFonts w:hint="eastAsia" w:ascii="Times New Roman" w:hAnsi="Times New Roman" w:eastAsia="宋体" w:cs="Times New Roman"/>
          <w:color w:val="auto"/>
          <w:kern w:val="0"/>
          <w:sz w:val="28"/>
          <w:szCs w:val="28"/>
          <w:highlight w:val="none"/>
          <w:lang w:val="en-US" w:eastAsia="zh-CN" w:bidi="ar"/>
        </w:rPr>
        <w:t>肇州</w:t>
      </w:r>
      <w:r>
        <w:rPr>
          <w:rFonts w:hint="default" w:ascii="Times New Roman" w:hAnsi="Times New Roman" w:eastAsia="宋体" w:cs="Times New Roman"/>
          <w:color w:val="auto"/>
          <w:kern w:val="0"/>
          <w:sz w:val="28"/>
          <w:szCs w:val="28"/>
          <w:highlight w:val="none"/>
          <w:lang w:val="en-US" w:eastAsia="zh-CN" w:bidi="ar"/>
        </w:rPr>
        <w:t>县</w:t>
      </w:r>
      <w:r>
        <w:rPr>
          <w:rFonts w:hint="eastAsia" w:ascii="Times New Roman" w:hAnsi="Times New Roman" w:eastAsia="宋体" w:cs="Times New Roman"/>
          <w:color w:val="auto"/>
          <w:kern w:val="0"/>
          <w:sz w:val="28"/>
          <w:szCs w:val="28"/>
          <w:highlight w:val="none"/>
          <w:lang w:val="en-US" w:eastAsia="zh-CN" w:bidi="ar"/>
        </w:rPr>
        <w:t>双发乡境内（肇州北部区域），根据该地区的水文地质条件，评价区内新近系泰康组含水层的渗透系数为8.03m/d，水力坡度为0.0013，有效孔隙度n为0.335；地下水流速为0.0104m/d，纵向弥散系数0.5m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/d，横向弥散系数0.03m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/d，含水层厚度14m。</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5）预测源强</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钻井过程中因套管</w:t>
      </w:r>
      <w:r>
        <w:rPr>
          <w:rFonts w:hint="default" w:ascii="Times New Roman" w:hAnsi="Times New Roman" w:eastAsia="宋体" w:cs="Times New Roman"/>
          <w:color w:val="auto"/>
          <w:kern w:val="0"/>
          <w:sz w:val="28"/>
          <w:szCs w:val="28"/>
          <w:highlight w:val="none"/>
          <w:lang w:val="zh-CN" w:eastAsia="zh-CN" w:bidi="ar"/>
        </w:rPr>
        <w:t>连接不及时</w:t>
      </w:r>
      <w:r>
        <w:rPr>
          <w:rFonts w:hint="default" w:ascii="Times New Roman" w:hAnsi="Times New Roman" w:eastAsia="宋体" w:cs="Times New Roman"/>
          <w:color w:val="auto"/>
          <w:kern w:val="0"/>
          <w:sz w:val="28"/>
          <w:szCs w:val="28"/>
          <w:highlight w:val="none"/>
          <w:lang w:val="en-US" w:eastAsia="zh-CN" w:bidi="ar"/>
        </w:rPr>
        <w:t>造成的钻井液漏失</w:t>
      </w:r>
      <w:r>
        <w:rPr>
          <w:rFonts w:hint="default" w:ascii="Times New Roman" w:hAnsi="Times New Roman" w:eastAsia="宋体" w:cs="Times New Roman"/>
          <w:color w:val="auto"/>
          <w:kern w:val="0"/>
          <w:sz w:val="28"/>
          <w:szCs w:val="28"/>
          <w:highlight w:val="none"/>
          <w:lang w:val="zh-CN" w:eastAsia="zh-CN" w:bidi="ar"/>
        </w:rPr>
        <w:t>，</w:t>
      </w:r>
      <w:r>
        <w:rPr>
          <w:rFonts w:hint="default" w:ascii="Times New Roman" w:hAnsi="Times New Roman" w:eastAsia="宋体" w:cs="Times New Roman"/>
          <w:color w:val="auto"/>
          <w:kern w:val="0"/>
          <w:sz w:val="28"/>
          <w:szCs w:val="28"/>
          <w:highlight w:val="none"/>
          <w:lang w:val="en-US" w:eastAsia="zh-CN" w:bidi="ar"/>
        </w:rPr>
        <w:t>根据钻井工程方案，本项目</w:t>
      </w:r>
      <w:r>
        <w:rPr>
          <w:rFonts w:hint="eastAsia" w:ascii="Times New Roman" w:hAnsi="Times New Roman" w:eastAsia="宋体" w:cs="Times New Roman"/>
          <w:color w:val="auto"/>
          <w:kern w:val="0"/>
          <w:sz w:val="28"/>
          <w:szCs w:val="28"/>
          <w:highlight w:val="none"/>
          <w:lang w:val="en-US" w:eastAsia="zh-CN" w:bidi="ar"/>
        </w:rPr>
        <w:t>单井水基钻井液</w:t>
      </w:r>
      <w:r>
        <w:rPr>
          <w:rFonts w:hint="default" w:ascii="Times New Roman" w:hAnsi="Times New Roman" w:eastAsia="宋体" w:cs="Times New Roman"/>
          <w:color w:val="auto"/>
          <w:kern w:val="0"/>
          <w:sz w:val="28"/>
          <w:szCs w:val="28"/>
          <w:highlight w:val="none"/>
          <w:lang w:val="en-US" w:eastAsia="zh-CN" w:bidi="ar"/>
        </w:rPr>
        <w:t>最大用量为</w:t>
      </w:r>
      <w:r>
        <w:rPr>
          <w:rFonts w:hint="eastAsia" w:ascii="Times New Roman" w:hAnsi="Times New Roman" w:eastAsia="宋体" w:cs="Times New Roman"/>
          <w:color w:val="auto"/>
          <w:kern w:val="0"/>
          <w:sz w:val="28"/>
          <w:szCs w:val="28"/>
          <w:highlight w:val="none"/>
          <w:lang w:val="en-US" w:eastAsia="zh-CN" w:bidi="ar"/>
        </w:rPr>
        <w:t>988m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，油基钻井液</w:t>
      </w:r>
      <w:r>
        <w:rPr>
          <w:rFonts w:hint="default" w:ascii="Times New Roman" w:hAnsi="Times New Roman" w:eastAsia="宋体" w:cs="Times New Roman"/>
          <w:color w:val="auto"/>
          <w:kern w:val="0"/>
          <w:sz w:val="28"/>
          <w:szCs w:val="28"/>
          <w:highlight w:val="none"/>
          <w:lang w:val="en-US" w:eastAsia="zh-CN" w:bidi="ar"/>
        </w:rPr>
        <w:t>最大用量为</w:t>
      </w:r>
      <w:r>
        <w:rPr>
          <w:rFonts w:hint="eastAsia" w:ascii="Times New Roman" w:hAnsi="Times New Roman" w:eastAsia="宋体" w:cs="Times New Roman"/>
          <w:color w:val="auto"/>
          <w:kern w:val="0"/>
          <w:sz w:val="28"/>
          <w:szCs w:val="28"/>
          <w:highlight w:val="none"/>
          <w:lang w:val="en-US" w:eastAsia="zh-CN" w:bidi="ar"/>
        </w:rPr>
        <w:t>576m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，因套管破损钻井液漏失率约为10%，则本项目水基钻井液最大漏失量为98.8m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vertAlign w:val="baseline"/>
          <w:lang w:val="en-US" w:eastAsia="zh-CN" w:bidi="ar"/>
        </w:rPr>
        <w:t>，</w:t>
      </w:r>
      <w:r>
        <w:rPr>
          <w:rFonts w:hint="eastAsia" w:ascii="Times New Roman" w:hAnsi="Times New Roman" w:eastAsia="宋体" w:cs="Times New Roman"/>
          <w:color w:val="auto"/>
          <w:kern w:val="0"/>
          <w:sz w:val="28"/>
          <w:szCs w:val="28"/>
          <w:highlight w:val="none"/>
          <w:lang w:val="en-US" w:eastAsia="zh-CN" w:bidi="ar"/>
        </w:rPr>
        <w:t>油基钻井液最大漏失量为57.6m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污染物预测源强见表5.3-</w:t>
      </w:r>
      <w:r>
        <w:rPr>
          <w:rFonts w:hint="eastAsia" w:ascii="Times New Roman" w:hAnsi="Times New Roman" w:eastAsia="宋体" w:cs="Times New Roman"/>
          <w:color w:val="auto"/>
          <w:kern w:val="0"/>
          <w:sz w:val="28"/>
          <w:szCs w:val="28"/>
          <w:highlight w:val="none"/>
          <w:lang w:val="en-US" w:eastAsia="zh-CN" w:bidi="ar"/>
        </w:rPr>
        <w:t>6至表5.3-7</w:t>
      </w:r>
      <w:r>
        <w:rPr>
          <w:rFonts w:hint="default"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6</w:t>
      </w:r>
      <w:r>
        <w:rPr>
          <w:rFonts w:hint="default" w:ascii="Times New Roman" w:hAnsi="Times New Roman" w:cs="Times New Roman"/>
          <w:b/>
          <w:bCs/>
          <w:caps w:val="0"/>
          <w:smallCaps w:val="0"/>
          <w:color w:val="auto"/>
          <w:spacing w:val="0"/>
          <w:w w:val="100"/>
          <w:kern w:val="21"/>
          <w:sz w:val="24"/>
          <w:szCs w:val="24"/>
          <w:highlight w:val="none"/>
        </w:rPr>
        <w:t>套管连接不及时钻井</w:t>
      </w:r>
      <w:r>
        <w:rPr>
          <w:rFonts w:hint="eastAsia" w:ascii="Times New Roman" w:hAnsi="Times New Roman" w:cs="Times New Roman"/>
          <w:b/>
          <w:bCs/>
          <w:caps w:val="0"/>
          <w:smallCaps w:val="0"/>
          <w:color w:val="auto"/>
          <w:spacing w:val="0"/>
          <w:w w:val="100"/>
          <w:kern w:val="21"/>
          <w:sz w:val="24"/>
          <w:szCs w:val="24"/>
          <w:highlight w:val="none"/>
          <w:lang w:val="en-US" w:eastAsia="zh-CN"/>
        </w:rPr>
        <w:t>水基</w:t>
      </w:r>
      <w:r>
        <w:rPr>
          <w:rFonts w:hint="default" w:ascii="Times New Roman" w:hAnsi="Times New Roman" w:cs="Times New Roman"/>
          <w:b/>
          <w:bCs/>
          <w:caps w:val="0"/>
          <w:smallCaps w:val="0"/>
          <w:color w:val="auto"/>
          <w:spacing w:val="0"/>
          <w:w w:val="100"/>
          <w:kern w:val="21"/>
          <w:sz w:val="24"/>
          <w:szCs w:val="24"/>
          <w:highlight w:val="none"/>
        </w:rPr>
        <w:t>泥浆污染物预测源强表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098"/>
        <w:gridCol w:w="1740"/>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泄漏位置</w:t>
            </w:r>
          </w:p>
        </w:tc>
        <w:tc>
          <w:tcPr>
            <w:tcW w:w="10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泄漏量</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p>
        </w:tc>
        <w:tc>
          <w:tcPr>
            <w:tcW w:w="17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污染物浓度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污染物泄漏量（g）</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泄漏时间</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套管连接点</w:t>
            </w:r>
          </w:p>
        </w:tc>
        <w:tc>
          <w:tcPr>
            <w:tcW w:w="10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98.8</w:t>
            </w:r>
          </w:p>
        </w:tc>
        <w:tc>
          <w:tcPr>
            <w:tcW w:w="17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1.976×10</w:t>
            </w:r>
            <w:r>
              <w:rPr>
                <w:rFonts w:hint="eastAsia" w:ascii="Times New Roman" w:hAnsi="Times New Roman" w:cs="Times New Roman"/>
                <w:color w:val="auto"/>
                <w:sz w:val="24"/>
                <w:szCs w:val="24"/>
                <w:highlight w:val="none"/>
                <w:vertAlign w:val="superscript"/>
                <w:lang w:val="en-US" w:eastAsia="zh-CN"/>
              </w:rPr>
              <w:t>5</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w:t>
            </w:r>
          </w:p>
        </w:tc>
      </w:tr>
    </w:tbl>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7</w:t>
      </w:r>
      <w:r>
        <w:rPr>
          <w:rFonts w:hint="default" w:ascii="Times New Roman" w:hAnsi="Times New Roman" w:cs="Times New Roman"/>
          <w:b/>
          <w:bCs/>
          <w:caps w:val="0"/>
          <w:smallCaps w:val="0"/>
          <w:color w:val="auto"/>
          <w:spacing w:val="0"/>
          <w:w w:val="100"/>
          <w:kern w:val="21"/>
          <w:sz w:val="24"/>
          <w:szCs w:val="24"/>
          <w:highlight w:val="none"/>
        </w:rPr>
        <w:t>套管连接不及时钻井</w:t>
      </w:r>
      <w:r>
        <w:rPr>
          <w:rFonts w:hint="eastAsia" w:ascii="Times New Roman" w:hAnsi="Times New Roman" w:cs="Times New Roman"/>
          <w:b/>
          <w:bCs/>
          <w:caps w:val="0"/>
          <w:smallCaps w:val="0"/>
          <w:color w:val="auto"/>
          <w:spacing w:val="0"/>
          <w:w w:val="100"/>
          <w:kern w:val="21"/>
          <w:sz w:val="24"/>
          <w:szCs w:val="24"/>
          <w:highlight w:val="none"/>
          <w:lang w:val="en-US" w:eastAsia="zh-CN"/>
        </w:rPr>
        <w:t>油基</w:t>
      </w:r>
      <w:r>
        <w:rPr>
          <w:rFonts w:hint="default" w:ascii="Times New Roman" w:hAnsi="Times New Roman" w:cs="Times New Roman"/>
          <w:b/>
          <w:bCs/>
          <w:caps w:val="0"/>
          <w:smallCaps w:val="0"/>
          <w:color w:val="auto"/>
          <w:spacing w:val="0"/>
          <w:w w:val="100"/>
          <w:kern w:val="21"/>
          <w:sz w:val="24"/>
          <w:szCs w:val="24"/>
          <w:highlight w:val="none"/>
        </w:rPr>
        <w:t>泥浆污染物预测源强表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098"/>
        <w:gridCol w:w="1740"/>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泄漏位置</w:t>
            </w:r>
          </w:p>
        </w:tc>
        <w:tc>
          <w:tcPr>
            <w:tcW w:w="10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泄漏量</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p>
        </w:tc>
        <w:tc>
          <w:tcPr>
            <w:tcW w:w="17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污染物浓度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（mg/L）</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污染物泄漏量（g）</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泄漏时间</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套管连接点</w:t>
            </w:r>
          </w:p>
        </w:tc>
        <w:tc>
          <w:tcPr>
            <w:tcW w:w="109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57.6</w:t>
            </w:r>
          </w:p>
        </w:tc>
        <w:tc>
          <w:tcPr>
            <w:tcW w:w="17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1.152×10</w:t>
            </w:r>
            <w:r>
              <w:rPr>
                <w:rFonts w:hint="eastAsia" w:ascii="Times New Roman" w:hAnsi="Times New Roman" w:cs="Times New Roman"/>
                <w:color w:val="auto"/>
                <w:sz w:val="24"/>
                <w:szCs w:val="24"/>
                <w:highlight w:val="none"/>
                <w:vertAlign w:val="superscript"/>
                <w:lang w:val="en-US" w:eastAsia="zh-CN"/>
              </w:rPr>
              <w:t>5</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09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7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2.88×10</w:t>
            </w:r>
            <w:r>
              <w:rPr>
                <w:rFonts w:hint="eastAsia" w:ascii="Times New Roman" w:hAnsi="Times New Roman" w:cs="Times New Roman"/>
                <w:color w:val="auto"/>
                <w:sz w:val="24"/>
                <w:szCs w:val="24"/>
                <w:highlight w:val="none"/>
                <w:vertAlign w:val="superscript"/>
                <w:lang w:val="en-US" w:eastAsia="zh-CN"/>
              </w:rPr>
              <w:t>4</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r>
    </w:tbl>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6）预测模型</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根据《环境影响评价技术导则 地下水环境》（HJ610-2016）中预测方法，采用推荐的地下水溶质运移解析法中的一维稳定流动二维弥散点源模型连续注入示踪剂—平面瞬时点源进行预测。</w:t>
      </w:r>
    </w:p>
    <w:p>
      <w:pPr>
        <w:keepNext w:val="0"/>
        <w:keepLines w:val="0"/>
        <w:widowControl/>
        <w:suppressLineNumbers w:val="0"/>
        <w:ind w:firstLine="560" w:firstLineChars="200"/>
        <w:jc w:val="left"/>
        <w:rPr>
          <w:rFonts w:hint="default" w:ascii="Times New Roman" w:hAnsi="Times New Roman" w:cs="Times New Roman"/>
          <w:bCs/>
          <w:caps w:val="0"/>
          <w:smallCaps w:val="0"/>
          <w:color w:val="auto"/>
          <w:spacing w:val="0"/>
          <w:w w:val="100"/>
          <w:kern w:val="21"/>
          <w:sz w:val="28"/>
          <w:szCs w:val="28"/>
          <w:highlight w:val="none"/>
        </w:rPr>
      </w:pPr>
      <w:r>
        <w:rPr>
          <w:rFonts w:hint="default" w:ascii="Times New Roman" w:hAnsi="Times New Roman" w:eastAsia="宋体" w:cs="Times New Roman"/>
          <w:color w:val="auto"/>
          <w:kern w:val="0"/>
          <w:sz w:val="28"/>
          <w:szCs w:val="28"/>
          <w:highlight w:val="none"/>
          <w:lang w:val="en-US" w:eastAsia="zh-CN" w:bidi="ar"/>
        </w:rPr>
        <w:t>连续注入示踪剂-平面瞬时点源模型如下：</w:t>
      </w:r>
    </w:p>
    <w:p>
      <w:pPr>
        <w:pageBreakBefore w:val="0"/>
        <w:widowControl/>
        <w:bidi w:val="0"/>
        <w:spacing w:line="360" w:lineRule="auto"/>
        <w:ind w:firstLine="0" w:firstLineChars="0"/>
        <w:jc w:val="both"/>
        <w:rPr>
          <w:rFonts w:hint="eastAsia" w:ascii="Times New Roman" w:hAnsi="Times New Roman" w:eastAsia="宋体" w:cs="Times New Roman"/>
          <w:bCs/>
          <w:caps w:val="0"/>
          <w:smallCaps w:val="0"/>
          <w:color w:val="auto"/>
          <w:spacing w:val="0"/>
          <w:w w:val="100"/>
          <w:kern w:val="21"/>
          <w:sz w:val="28"/>
          <w:szCs w:val="28"/>
          <w:highlight w:val="none"/>
          <w:lang w:eastAsia="zh-CN"/>
        </w:rPr>
      </w:pPr>
      <w:r>
        <w:rPr>
          <w:rFonts w:hint="eastAsia" w:ascii="Times New Roman" w:hAnsi="Times New Roman" w:eastAsia="宋体" w:cs="Times New Roman"/>
          <w:bCs/>
          <w:caps w:val="0"/>
          <w:smallCaps w:val="0"/>
          <w:color w:val="auto"/>
          <w:spacing w:val="0"/>
          <w:w w:val="100"/>
          <w:kern w:val="21"/>
          <w:sz w:val="28"/>
          <w:szCs w:val="28"/>
          <w:highlight w:val="none"/>
          <w:lang w:eastAsia="zh-CN"/>
        </w:rPr>
        <w:drawing>
          <wp:inline distT="0" distB="0" distL="114300" distR="114300">
            <wp:extent cx="5000625" cy="1057275"/>
            <wp:effectExtent l="0" t="0" r="9525" b="9525"/>
            <wp:docPr id="32" name="图片 11" descr="面瞬时点源-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面瞬时点源-公式"/>
                    <pic:cNvPicPr>
                      <a:picLocks noChangeAspect="1"/>
                    </pic:cNvPicPr>
                  </pic:nvPicPr>
                  <pic:blipFill>
                    <a:blip r:embed="rId24"/>
                    <a:stretch>
                      <a:fillRect/>
                    </a:stretch>
                  </pic:blipFill>
                  <pic:spPr>
                    <a:xfrm>
                      <a:off x="0" y="0"/>
                      <a:ext cx="5000625" cy="1057275"/>
                    </a:xfrm>
                    <a:prstGeom prst="rect">
                      <a:avLst/>
                    </a:prstGeom>
                    <a:noFill/>
                    <a:ln>
                      <a:noFill/>
                    </a:ln>
                  </pic:spPr>
                </pic:pic>
              </a:graphicData>
            </a:graphic>
          </wp:inline>
        </w:drawing>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式中：x，y--计算点处的位置坐标；</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t--时间，d；</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C（x，y，t）--t时刻x，y处的示踪剂浓度，g/L；</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M--含水层的厚度，m；</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m</w:t>
      </w:r>
      <w:r>
        <w:rPr>
          <w:rFonts w:hint="default" w:ascii="Times New Roman" w:hAnsi="Times New Roman" w:eastAsia="宋体" w:cs="Times New Roman"/>
          <w:color w:val="auto"/>
          <w:kern w:val="0"/>
          <w:sz w:val="28"/>
          <w:szCs w:val="28"/>
          <w:highlight w:val="none"/>
          <w:vertAlign w:val="subscript"/>
          <w:lang w:val="en-US" w:eastAsia="zh-CN" w:bidi="ar"/>
        </w:rPr>
        <w:t>M</w:t>
      </w:r>
      <w:r>
        <w:rPr>
          <w:rFonts w:hint="default" w:ascii="Times New Roman" w:hAnsi="Times New Roman" w:eastAsia="宋体" w:cs="Times New Roman"/>
          <w:color w:val="auto"/>
          <w:kern w:val="0"/>
          <w:sz w:val="28"/>
          <w:szCs w:val="28"/>
          <w:highlight w:val="none"/>
          <w:lang w:val="en-US" w:eastAsia="zh-CN" w:bidi="ar"/>
        </w:rPr>
        <w:t>--长度为M的线源瞬时注入的示踪剂质量，kg；</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U--水流速度，m/d；</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n</w:t>
      </w:r>
      <w:r>
        <w:rPr>
          <w:rFonts w:hint="default" w:ascii="Times New Roman" w:hAnsi="Times New Roman" w:eastAsia="宋体" w:cs="Times New Roman"/>
          <w:color w:val="auto"/>
          <w:kern w:val="0"/>
          <w:sz w:val="28"/>
          <w:szCs w:val="28"/>
          <w:highlight w:val="none"/>
          <w:vertAlign w:val="subscript"/>
          <w:lang w:val="en-US" w:eastAsia="zh-CN" w:bidi="ar"/>
        </w:rPr>
        <w:t>e</w:t>
      </w:r>
      <w:r>
        <w:rPr>
          <w:rFonts w:hint="default" w:ascii="Times New Roman" w:hAnsi="Times New Roman" w:eastAsia="宋体" w:cs="Times New Roman"/>
          <w:color w:val="auto"/>
          <w:kern w:val="0"/>
          <w:sz w:val="28"/>
          <w:szCs w:val="28"/>
          <w:highlight w:val="none"/>
          <w:lang w:val="en-US" w:eastAsia="zh-CN" w:bidi="ar"/>
        </w:rPr>
        <w:t>--有效孔隙度，无量纲；</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DL--纵向弥散系数，m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/d；</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DT--纵向y方向的弥散系数，m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/d。</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7）预测结果</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分别考虑套管连接不及时泄漏100d、1000d时对地下水的影响预测，预测结果见表5.3-</w:t>
      </w:r>
      <w:r>
        <w:rPr>
          <w:rFonts w:hint="eastAsia" w:ascii="Times New Roman" w:hAnsi="Times New Roman" w:eastAsia="宋体" w:cs="Times New Roman"/>
          <w:color w:val="auto"/>
          <w:kern w:val="0"/>
          <w:sz w:val="28"/>
          <w:szCs w:val="28"/>
          <w:highlight w:val="none"/>
          <w:lang w:val="en-US" w:eastAsia="zh-CN" w:bidi="ar"/>
        </w:rPr>
        <w:t>8～</w:t>
      </w:r>
      <w:r>
        <w:rPr>
          <w:rFonts w:hint="default" w:ascii="Times New Roman" w:hAnsi="Times New Roman" w:eastAsia="宋体" w:cs="Times New Roman"/>
          <w:color w:val="auto"/>
          <w:kern w:val="0"/>
          <w:sz w:val="28"/>
          <w:szCs w:val="28"/>
          <w:highlight w:val="none"/>
          <w:lang w:val="en-US" w:eastAsia="zh-CN" w:bidi="ar"/>
        </w:rPr>
        <w:t>表5.3-</w:t>
      </w:r>
      <w:r>
        <w:rPr>
          <w:rFonts w:hint="eastAsia" w:ascii="Times New Roman" w:hAnsi="Times New Roman" w:eastAsia="宋体" w:cs="Times New Roman"/>
          <w:color w:val="auto"/>
          <w:kern w:val="0"/>
          <w:sz w:val="28"/>
          <w:szCs w:val="28"/>
          <w:highlight w:val="none"/>
          <w:lang w:val="en-US" w:eastAsia="zh-CN" w:bidi="ar"/>
        </w:rPr>
        <w:t>13</w:t>
      </w:r>
      <w:r>
        <w:rPr>
          <w:rFonts w:hint="default" w:ascii="Times New Roman" w:hAnsi="Times New Roman" w:eastAsia="宋体" w:cs="Times New Roman"/>
          <w:color w:val="auto"/>
          <w:kern w:val="0"/>
          <w:sz w:val="28"/>
          <w:szCs w:val="28"/>
          <w:highlight w:val="none"/>
          <w:lang w:val="en-US" w:eastAsia="zh-CN" w:bidi="ar"/>
        </w:rPr>
        <w:t>、图5</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和图5</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10</w:t>
      </w:r>
      <w:r>
        <w:rPr>
          <w:rFonts w:hint="default"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8</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eastAsia="zh-CN"/>
        </w:rPr>
        <w:t>油基泥浆</w:t>
      </w:r>
      <w:r>
        <w:rPr>
          <w:rFonts w:hint="default" w:ascii="Times New Roman" w:hAnsi="Times New Roman" w:cs="Times New Roman"/>
          <w:b/>
          <w:bCs/>
          <w:caps w:val="0"/>
          <w:smallCaps w:val="0"/>
          <w:color w:val="auto"/>
          <w:spacing w:val="0"/>
          <w:w w:val="100"/>
          <w:kern w:val="21"/>
          <w:sz w:val="24"/>
          <w:szCs w:val="24"/>
          <w:highlight w:val="none"/>
        </w:rPr>
        <w:t>泄漏100d</w:t>
      </w:r>
      <w:r>
        <w:rPr>
          <w:rFonts w:hint="eastAsia" w:ascii="Times New Roman" w:hAnsi="Times New Roman" w:cs="Times New Roman"/>
          <w:b/>
          <w:bCs/>
          <w:caps w:val="0"/>
          <w:smallCaps w:val="0"/>
          <w:color w:val="auto"/>
          <w:spacing w:val="0"/>
          <w:w w:val="100"/>
          <w:kern w:val="21"/>
          <w:sz w:val="24"/>
          <w:szCs w:val="24"/>
          <w:highlight w:val="none"/>
          <w:lang w:val="en-US" w:eastAsia="zh-CN"/>
        </w:rPr>
        <w:t>石油类</w:t>
      </w:r>
      <w:r>
        <w:rPr>
          <w:rFonts w:hint="default" w:ascii="Times New Roman" w:hAnsi="Times New Roman" w:cs="Times New Roman"/>
          <w:b/>
          <w:bCs/>
          <w:caps w:val="0"/>
          <w:smallCaps w:val="0"/>
          <w:color w:val="auto"/>
          <w:spacing w:val="0"/>
          <w:w w:val="100"/>
          <w:kern w:val="21"/>
          <w:sz w:val="24"/>
          <w:szCs w:val="24"/>
          <w:highlight w:val="none"/>
        </w:rPr>
        <w:t>预测结果表 单位：mg/L</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bottom w:val="single" w:color="auto" w:sz="6" w:space="0"/>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35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op w:val="single" w:color="auto" w:sz="6"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1.55E-59</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8.21E-58</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4.93E-57</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2.69E-57</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1.67E-58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4.17E-16</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2.21E-14</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1.32E-13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7.24E-14</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4.49E-15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1.25E-01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6.61E+00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3.97E+01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2.17E+01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1.34E+00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4.17E-16</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2.21E-14</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1.32E-13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7.24E-14</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4.49E-15</w:t>
            </w:r>
          </w:p>
        </w:tc>
      </w:tr>
    </w:tbl>
    <w:p>
      <w:pPr>
        <w:pStyle w:val="2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jc w:val="both"/>
        <w:textAlignment w:val="baseline"/>
        <w:rPr>
          <w:rFonts w:hint="eastAsia" w:ascii="Times New Roman" w:hAnsi="Times New Roman" w:eastAsia="宋体" w:cs="Times New Roman"/>
          <w:caps w:val="0"/>
          <w:smallCaps w:val="0"/>
          <w:color w:val="auto"/>
          <w:spacing w:val="0"/>
          <w:w w:val="100"/>
          <w:highlight w:val="none"/>
          <w:lang w:eastAsia="zh-CN"/>
        </w:rPr>
      </w:pPr>
      <w:r>
        <w:rPr>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3108325</wp:posOffset>
                </wp:positionH>
                <wp:positionV relativeFrom="paragraph">
                  <wp:posOffset>852805</wp:posOffset>
                </wp:positionV>
                <wp:extent cx="1123950" cy="400050"/>
                <wp:effectExtent l="0" t="0" r="0" b="0"/>
                <wp:wrapNone/>
                <wp:docPr id="45" name="文本框 45"/>
                <wp:cNvGraphicFramePr/>
                <a:graphic xmlns:a="http://schemas.openxmlformats.org/drawingml/2006/main">
                  <a:graphicData uri="http://schemas.microsoft.com/office/word/2010/wordprocessingShape">
                    <wps:wsp>
                      <wps:cNvSpPr txBox="1"/>
                      <wps:spPr>
                        <a:xfrm>
                          <a:off x="4253230" y="2510155"/>
                          <a:ext cx="1123950" cy="400050"/>
                        </a:xfrm>
                        <a:prstGeom prst="rect">
                          <a:avLst/>
                        </a:prstGeom>
                        <a:noFill/>
                        <a:ln w="6350">
                          <a:noFill/>
                        </a:ln>
                        <a:effectLst/>
                      </wps:spPr>
                      <wps:txbx>
                        <w:txbxContent>
                          <w:p>
                            <w:pPr>
                              <w:rPr>
                                <w:rFonts w:hint="eastAsia" w:ascii="黑体" w:hAnsi="黑体" w:eastAsia="黑体" w:cs="黑体"/>
                                <w:b/>
                                <w:bCs/>
                                <w:color w:val="0000FF"/>
                                <w:sz w:val="24"/>
                                <w:szCs w:val="24"/>
                                <w:lang w:val="en-US" w:eastAsia="zh-CN"/>
                              </w:rPr>
                            </w:pPr>
                            <w:r>
                              <w:rPr>
                                <w:rFonts w:hint="eastAsia" w:ascii="黑体" w:hAnsi="黑体" w:eastAsia="黑体" w:cs="黑体"/>
                                <w:b/>
                                <w:bCs/>
                                <w:color w:val="0000FF"/>
                                <w:sz w:val="24"/>
                                <w:szCs w:val="24"/>
                                <w:lang w:val="en-US"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67.15pt;height:31.5pt;width:88.5pt;z-index:251671552;mso-width-relative:page;mso-height-relative:page;" filled="f" stroked="f" coordsize="21600,21600" o:gfxdata="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hui6vcAAAACwEAAA8A&#10;AAAAAAAAAQAgAAAAIgAAAGRycy9kb3ducmV2LnhtbFBLAQIUABQAAAAIAIdO4kDG15LMTAIAAIIE&#10;AAAOAAAAAAAAAAEAIAAAACsBAABkcnMvZTJvRG9jLnhtbFBLBQYAAAAABgAGAFkBAADpBQAAAAA=&#10;">
                <v:fill on="f" focussize="0,0"/>
                <v:stroke on="f" weight="0.5pt"/>
                <v:imagedata o:title=""/>
                <o:lock v:ext="edit" aspectratio="f"/>
                <v:textbox>
                  <w:txbxContent>
                    <w:p>
                      <w:pPr>
                        <w:rPr>
                          <w:rFonts w:hint="eastAsia" w:ascii="黑体" w:hAnsi="黑体" w:eastAsia="黑体" w:cs="黑体"/>
                          <w:b/>
                          <w:bCs/>
                          <w:color w:val="0000FF"/>
                          <w:sz w:val="24"/>
                          <w:szCs w:val="24"/>
                          <w:lang w:val="en-US" w:eastAsia="zh-CN"/>
                        </w:rPr>
                      </w:pPr>
                      <w:r>
                        <w:rPr>
                          <w:rFonts w:hint="eastAsia" w:ascii="黑体" w:hAnsi="黑体" w:eastAsia="黑体" w:cs="黑体"/>
                          <w:b/>
                          <w:bCs/>
                          <w:color w:val="0000FF"/>
                          <w:sz w:val="24"/>
                          <w:szCs w:val="24"/>
                          <w:lang w:val="en-US" w:eastAsia="zh-CN"/>
                        </w:rPr>
                        <w:t>地下水流向</w:t>
                      </w:r>
                    </w:p>
                  </w:txbxContent>
                </v:textbox>
              </v:shape>
            </w:pict>
          </mc:Fallback>
        </mc:AlternateContent>
      </w:r>
      <w:r>
        <w:rPr>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3311525</wp:posOffset>
                </wp:positionH>
                <wp:positionV relativeFrom="paragraph">
                  <wp:posOffset>694055</wp:posOffset>
                </wp:positionV>
                <wp:extent cx="793750" cy="0"/>
                <wp:effectExtent l="0" t="38100" r="6350" b="38100"/>
                <wp:wrapNone/>
                <wp:docPr id="44" name="直接箭头连接符 44"/>
                <wp:cNvGraphicFramePr/>
                <a:graphic xmlns:a="http://schemas.openxmlformats.org/drawingml/2006/main">
                  <a:graphicData uri="http://schemas.microsoft.com/office/word/2010/wordprocessingShape">
                    <wps:wsp>
                      <wps:cNvCnPr/>
                      <wps:spPr>
                        <a:xfrm flipH="1">
                          <a:off x="4456430" y="2351405"/>
                          <a:ext cx="793750" cy="0"/>
                        </a:xfrm>
                        <a:prstGeom prst="straightConnector1">
                          <a:avLst/>
                        </a:prstGeom>
                        <a:noFill/>
                        <a:ln w="19050" cap="flat" cmpd="sng" algn="ctr">
                          <a:solidFill>
                            <a:srgbClr val="000000"/>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margin-left:260.75pt;margin-top:54.65pt;height:0pt;width:62.5pt;z-index:251670528;mso-width-relative:page;mso-height-relative:page;" filled="f" stroked="t" coordsize="21600,21600" o:gfxdata="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wNDhPWAAAACwEAAA8AAAAAAAAAAQAgAAAAIgAAAGRycy9kb3ducmV2Lnht&#10;bFBLAQIUABQAAAAIAIdO4kBjqq/dNAIAADEEAAAOAAAAAAAAAAEAIAAAACUBAABkcnMvZTJvRG9j&#10;LnhtbFBLBQYAAAAABgAGAFkBAADLBQAAAAA=&#10;">
                <v:fill on="f" focussize="0,0"/>
                <v:stroke weight="1.5pt" color="#000000" miterlimit="8" joinstyle="miter" endarrow="block"/>
                <v:imagedata o:title=""/>
                <o:lock v:ext="edit" aspectratio="f"/>
              </v:shape>
            </w:pict>
          </mc:Fallback>
        </mc:AlternateContent>
      </w:r>
      <w:r>
        <w:rPr>
          <w:rFonts w:hint="eastAsia" w:ascii="Times New Roman" w:hAnsi="Times New Roman" w:eastAsia="宋体" w:cs="Times New Roman"/>
          <w:caps w:val="0"/>
          <w:smallCaps w:val="0"/>
          <w:color w:val="auto"/>
          <w:spacing w:val="0"/>
          <w:w w:val="100"/>
          <w:highlight w:val="none"/>
          <w:lang w:eastAsia="zh-CN"/>
        </w:rPr>
        <w:drawing>
          <wp:inline distT="0" distB="0" distL="114300" distR="114300">
            <wp:extent cx="5269230" cy="4897755"/>
            <wp:effectExtent l="0" t="0" r="7620" b="17145"/>
            <wp:docPr id="33" name="图片 59" descr="1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9" descr="100d"/>
                    <pic:cNvPicPr>
                      <a:picLocks noChangeAspect="1"/>
                    </pic:cNvPicPr>
                  </pic:nvPicPr>
                  <pic:blipFill>
                    <a:blip r:embed="rId29"/>
                    <a:stretch>
                      <a:fillRect/>
                    </a:stretch>
                  </pic:blipFill>
                  <pic:spPr>
                    <a:xfrm>
                      <a:off x="0" y="0"/>
                      <a:ext cx="5269230" cy="4897755"/>
                    </a:xfrm>
                    <a:prstGeom prst="rect">
                      <a:avLst/>
                    </a:prstGeom>
                    <a:noFill/>
                    <a:ln>
                      <a:noFill/>
                    </a:ln>
                  </pic:spPr>
                </pic:pic>
              </a:graphicData>
            </a:graphic>
          </wp:inline>
        </w:drawing>
      </w:r>
    </w:p>
    <w:p>
      <w:pPr>
        <w:pageBreakBefore w:val="0"/>
        <w:widowControl/>
        <w:bidi w:val="0"/>
        <w:spacing w:line="360" w:lineRule="auto"/>
        <w:ind w:firstLine="0" w:firstLineChars="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图5</w:t>
      </w:r>
      <w:r>
        <w:rPr>
          <w:rFonts w:hint="default" w:ascii="Times New Roman" w:hAnsi="Times New Roman" w:cs="Times New Roman"/>
          <w:b/>
          <w:bCs/>
          <w:caps w:val="0"/>
          <w:smallCaps w:val="0"/>
          <w:color w:val="auto"/>
          <w:spacing w:val="0"/>
          <w:w w:val="100"/>
          <w:kern w:val="21"/>
          <w:sz w:val="24"/>
          <w:szCs w:val="24"/>
          <w:highlight w:val="none"/>
          <w:lang w:val="en-US" w:eastAsia="zh-CN"/>
        </w:rPr>
        <w:t>.3-</w:t>
      </w:r>
      <w:r>
        <w:rPr>
          <w:rFonts w:hint="eastAsia" w:ascii="Times New Roman" w:hAnsi="Times New Roman" w:cs="Times New Roman"/>
          <w:b/>
          <w:bCs/>
          <w:caps w:val="0"/>
          <w:smallCaps w:val="0"/>
          <w:color w:val="auto"/>
          <w:spacing w:val="0"/>
          <w:w w:val="100"/>
          <w:kern w:val="21"/>
          <w:sz w:val="24"/>
          <w:szCs w:val="24"/>
          <w:highlight w:val="none"/>
          <w:lang w:val="en-US" w:eastAsia="zh-CN"/>
        </w:rPr>
        <w:t>5</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val="en-US" w:eastAsia="zh-CN"/>
        </w:rPr>
        <w:t>油基泥浆</w:t>
      </w:r>
      <w:r>
        <w:rPr>
          <w:rFonts w:hint="default" w:ascii="Times New Roman" w:hAnsi="Times New Roman" w:cs="Times New Roman"/>
          <w:b/>
          <w:bCs/>
          <w:caps w:val="0"/>
          <w:smallCaps w:val="0"/>
          <w:color w:val="auto"/>
          <w:spacing w:val="0"/>
          <w:w w:val="100"/>
          <w:kern w:val="21"/>
          <w:sz w:val="24"/>
          <w:szCs w:val="24"/>
          <w:highlight w:val="none"/>
          <w:lang w:eastAsia="zh-CN"/>
        </w:rPr>
        <w:t>泄漏</w:t>
      </w:r>
      <w:r>
        <w:rPr>
          <w:rFonts w:hint="default" w:ascii="Times New Roman" w:hAnsi="Times New Roman" w:cs="Times New Roman"/>
          <w:b/>
          <w:bCs/>
          <w:caps w:val="0"/>
          <w:smallCaps w:val="0"/>
          <w:color w:val="auto"/>
          <w:spacing w:val="0"/>
          <w:w w:val="100"/>
          <w:kern w:val="21"/>
          <w:sz w:val="24"/>
          <w:szCs w:val="24"/>
          <w:highlight w:val="none"/>
        </w:rPr>
        <w:t>100d</w:t>
      </w:r>
      <w:r>
        <w:rPr>
          <w:rFonts w:hint="eastAsia" w:ascii="Times New Roman" w:hAnsi="Times New Roman" w:cs="Times New Roman"/>
          <w:b/>
          <w:bCs/>
          <w:caps w:val="0"/>
          <w:smallCaps w:val="0"/>
          <w:color w:val="auto"/>
          <w:spacing w:val="0"/>
          <w:w w:val="100"/>
          <w:kern w:val="21"/>
          <w:sz w:val="24"/>
          <w:szCs w:val="24"/>
          <w:highlight w:val="none"/>
          <w:lang w:val="en-US" w:eastAsia="zh-CN"/>
        </w:rPr>
        <w:t>石油类</w:t>
      </w:r>
      <w:r>
        <w:rPr>
          <w:rFonts w:hint="default" w:ascii="Times New Roman" w:hAnsi="Times New Roman" w:cs="Times New Roman"/>
          <w:b/>
          <w:bCs/>
          <w:caps w:val="0"/>
          <w:smallCaps w:val="0"/>
          <w:color w:val="auto"/>
          <w:spacing w:val="0"/>
          <w:w w:val="100"/>
          <w:kern w:val="21"/>
          <w:sz w:val="24"/>
          <w:szCs w:val="24"/>
          <w:highlight w:val="none"/>
        </w:rPr>
        <w:t>预测范围图</w:t>
      </w:r>
    </w:p>
    <w:p>
      <w:pPr>
        <w:keepNext w:val="0"/>
        <w:keepLines w:val="0"/>
        <w:widowControl/>
        <w:suppressLineNumbers w:val="0"/>
        <w:ind w:firstLine="560" w:firstLineChars="200"/>
        <w:jc w:val="both"/>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eastAsia="宋体" w:cs="Times New Roman"/>
          <w:color w:val="auto"/>
          <w:kern w:val="0"/>
          <w:sz w:val="28"/>
          <w:szCs w:val="28"/>
          <w:highlight w:val="none"/>
          <w:lang w:val="en-US" w:eastAsia="zh-CN" w:bidi="ar"/>
        </w:rPr>
        <w:t>根据预测结果可知，</w:t>
      </w:r>
      <w:r>
        <w:rPr>
          <w:rFonts w:hint="eastAsia" w:ascii="Times New Roman" w:hAnsi="Times New Roman" w:eastAsia="宋体" w:cs="Times New Roman"/>
          <w:color w:val="auto"/>
          <w:kern w:val="0"/>
          <w:sz w:val="28"/>
          <w:szCs w:val="28"/>
          <w:highlight w:val="none"/>
          <w:lang w:val="en-US" w:eastAsia="zh-CN" w:bidi="ar"/>
        </w:rPr>
        <w:t>油基泥浆泄露时，</w:t>
      </w:r>
      <w:r>
        <w:rPr>
          <w:rFonts w:hint="default" w:ascii="Times New Roman" w:hAnsi="Times New Roman" w:eastAsia="宋体" w:cs="Times New Roman"/>
          <w:color w:val="auto"/>
          <w:kern w:val="0"/>
          <w:sz w:val="28"/>
          <w:szCs w:val="28"/>
          <w:highlight w:val="none"/>
          <w:lang w:val="en-US" w:eastAsia="zh-CN" w:bidi="ar"/>
        </w:rPr>
        <w:t>预测时间100d时，</w:t>
      </w:r>
      <w:r>
        <w:rPr>
          <w:rFonts w:hint="eastAsia" w:ascii="Times New Roman" w:hAnsi="Times New Roman" w:eastAsia="宋体" w:cs="Times New Roman"/>
          <w:color w:val="auto"/>
          <w:kern w:val="0"/>
          <w:sz w:val="28"/>
          <w:szCs w:val="28"/>
          <w:highlight w:val="none"/>
          <w:lang w:val="en-US" w:eastAsia="zh-CN" w:bidi="ar"/>
        </w:rPr>
        <w:t>石油类</w:t>
      </w:r>
      <w:r>
        <w:rPr>
          <w:rFonts w:hint="default" w:ascii="Times New Roman" w:hAnsi="Times New Roman" w:eastAsia="宋体" w:cs="Times New Roman"/>
          <w:color w:val="auto"/>
          <w:kern w:val="0"/>
          <w:sz w:val="28"/>
          <w:szCs w:val="28"/>
          <w:highlight w:val="none"/>
          <w:lang w:val="en-US" w:eastAsia="zh-CN" w:bidi="ar"/>
        </w:rPr>
        <w:t>下游最大浓度为：</w:t>
      </w:r>
      <w:r>
        <w:rPr>
          <w:rFonts w:hint="eastAsia" w:ascii="Times New Roman" w:hAnsi="Times New Roman" w:eastAsia="宋体" w:cs="Times New Roman"/>
          <w:color w:val="auto"/>
          <w:kern w:val="0"/>
          <w:sz w:val="28"/>
          <w:szCs w:val="28"/>
          <w:highlight w:val="none"/>
          <w:lang w:val="en-US" w:eastAsia="zh-CN" w:bidi="ar"/>
        </w:rPr>
        <w:t>40</w:t>
      </w:r>
      <w:r>
        <w:rPr>
          <w:rFonts w:hint="default" w:ascii="Times New Roman" w:hAnsi="Times New Roman" w:eastAsia="宋体" w:cs="Times New Roman"/>
          <w:color w:val="auto"/>
          <w:kern w:val="0"/>
          <w:sz w:val="28"/>
          <w:szCs w:val="28"/>
          <w:highlight w:val="none"/>
          <w:lang w:val="en-US" w:eastAsia="zh-CN" w:bidi="ar"/>
        </w:rPr>
        <w:t>mg/l，超标距离最远为38.04m，预测范围内的超标面积为975m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，影响距离最远为下游42.04m，预测范围内的影响面积为1100m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9</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eastAsia="zh-CN"/>
        </w:rPr>
        <w:t>油基泥浆</w:t>
      </w:r>
      <w:r>
        <w:rPr>
          <w:rFonts w:hint="default" w:ascii="Times New Roman" w:hAnsi="Times New Roman" w:cs="Times New Roman"/>
          <w:b/>
          <w:bCs/>
          <w:caps w:val="0"/>
          <w:smallCaps w:val="0"/>
          <w:color w:val="auto"/>
          <w:spacing w:val="0"/>
          <w:w w:val="100"/>
          <w:kern w:val="21"/>
          <w:sz w:val="24"/>
          <w:szCs w:val="24"/>
          <w:highlight w:val="none"/>
        </w:rPr>
        <w:t>泄漏100</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d</w:t>
      </w:r>
      <w:r>
        <w:rPr>
          <w:rFonts w:hint="eastAsia" w:ascii="Times New Roman" w:hAnsi="Times New Roman" w:cs="Times New Roman"/>
          <w:b/>
          <w:bCs/>
          <w:caps w:val="0"/>
          <w:smallCaps w:val="0"/>
          <w:color w:val="auto"/>
          <w:spacing w:val="0"/>
          <w:w w:val="100"/>
          <w:kern w:val="21"/>
          <w:sz w:val="24"/>
          <w:szCs w:val="24"/>
          <w:highlight w:val="none"/>
          <w:lang w:val="en-US" w:eastAsia="zh-CN"/>
        </w:rPr>
        <w:t>石油类</w:t>
      </w:r>
      <w:r>
        <w:rPr>
          <w:rFonts w:hint="default" w:ascii="Times New Roman" w:hAnsi="Times New Roman" w:cs="Times New Roman"/>
          <w:b/>
          <w:bCs/>
          <w:caps w:val="0"/>
          <w:smallCaps w:val="0"/>
          <w:color w:val="auto"/>
          <w:spacing w:val="0"/>
          <w:w w:val="100"/>
          <w:kern w:val="21"/>
          <w:sz w:val="24"/>
          <w:szCs w:val="24"/>
          <w:highlight w:val="none"/>
        </w:rPr>
        <w:t>预测结果表 单位：mg/L</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bottom w:val="single" w:color="auto" w:sz="6" w:space="0"/>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op w:val="single" w:color="auto" w:sz="6"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1.36E-01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1.40E-01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1.35E-01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1.16E-01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1.03E-01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3.09E+00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3.19E+00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3.07E+00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2.63E+00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2.35E+00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3.81E+00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3.93E+00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3.78E+00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3.24E+00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2.89E+00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1.36E-01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1.40E-01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1.35E-01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1.16E-01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1.03E-01</w:t>
            </w:r>
          </w:p>
        </w:tc>
      </w:tr>
    </w:tbl>
    <w:p>
      <w:pPr>
        <w:pStyle w:val="22"/>
        <w:spacing w:line="240" w:lineRule="auto"/>
        <w:ind w:left="0" w:leftChars="0" w:firstLine="0" w:firstLineChars="0"/>
        <w:rPr>
          <w:rFonts w:hint="eastAsia" w:ascii="Times New Roman" w:hAnsi="Times New Roman" w:eastAsia="宋体" w:cs="Times New Roman"/>
          <w:b/>
          <w:bCs/>
          <w:caps w:val="0"/>
          <w:smallCaps w:val="0"/>
          <w:color w:val="auto"/>
          <w:spacing w:val="0"/>
          <w:w w:val="100"/>
          <w:kern w:val="21"/>
          <w:sz w:val="24"/>
          <w:szCs w:val="24"/>
          <w:highlight w:val="none"/>
          <w:lang w:eastAsia="zh-CN"/>
        </w:rPr>
      </w:pPr>
      <w:r>
        <w:rPr>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3095625</wp:posOffset>
                </wp:positionH>
                <wp:positionV relativeFrom="paragraph">
                  <wp:posOffset>750570</wp:posOffset>
                </wp:positionV>
                <wp:extent cx="1028700" cy="361950"/>
                <wp:effectExtent l="0" t="0" r="0" b="0"/>
                <wp:wrapNone/>
                <wp:docPr id="43" name="文本框 43"/>
                <wp:cNvGraphicFramePr/>
                <a:graphic xmlns:a="http://schemas.openxmlformats.org/drawingml/2006/main">
                  <a:graphicData uri="http://schemas.microsoft.com/office/word/2010/wordprocessingShape">
                    <wps:wsp>
                      <wps:cNvSpPr txBox="1"/>
                      <wps:spPr>
                        <a:xfrm>
                          <a:off x="4240530" y="2407920"/>
                          <a:ext cx="1028700" cy="361950"/>
                        </a:xfrm>
                        <a:prstGeom prst="rect">
                          <a:avLst/>
                        </a:prstGeom>
                        <a:noFill/>
                        <a:ln w="6350">
                          <a:noFill/>
                        </a:ln>
                        <a:effectLst/>
                      </wps:spPr>
                      <wps:txb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75pt;margin-top:59.1pt;height:28.5pt;width:81pt;z-index:251669504;mso-width-relative:page;mso-height-relative:page;" filled="f" stroked="f" coordsize="21600,21600" o:gfxdata="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vNt4dsAAAALAQAADwAA&#10;AAAAAAABACAAAAAiAAAAZHJzL2Rvd25yZXYueG1sUEsBAhQAFAAAAAgAh07iQJdhvalMAgAAggQA&#10;AA4AAAAAAAAAAQAgAAAAKgEAAGRycy9lMm9Eb2MueG1sUEsFBgAAAAAGAAYAWQEAAOgFAAAAAA==&#10;">
                <v:fill on="f" focussize="0,0"/>
                <v:stroke on="f" weight="0.5pt"/>
                <v:imagedata o:title=""/>
                <o:lock v:ext="edit" aspectratio="f"/>
                <v:textbo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v:textbox>
              </v:shape>
            </w:pict>
          </mc:Fallback>
        </mc:AlternateContent>
      </w:r>
      <w:r>
        <w:rPr>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2968625</wp:posOffset>
                </wp:positionH>
                <wp:positionV relativeFrom="paragraph">
                  <wp:posOffset>623570</wp:posOffset>
                </wp:positionV>
                <wp:extent cx="984250" cy="6350"/>
                <wp:effectExtent l="0" t="32385" r="6350" b="37465"/>
                <wp:wrapNone/>
                <wp:docPr id="42" name="直接箭头连接符 42"/>
                <wp:cNvGraphicFramePr/>
                <a:graphic xmlns:a="http://schemas.openxmlformats.org/drawingml/2006/main">
                  <a:graphicData uri="http://schemas.microsoft.com/office/word/2010/wordprocessingShape">
                    <wps:wsp>
                      <wps:cNvCnPr/>
                      <wps:spPr>
                        <a:xfrm flipH="1">
                          <a:off x="4113530" y="2280920"/>
                          <a:ext cx="984250" cy="6350"/>
                        </a:xfrm>
                        <a:prstGeom prst="straightConnector1">
                          <a:avLst/>
                        </a:prstGeom>
                        <a:noFill/>
                        <a:ln w="19050" cap="flat" cmpd="sng" algn="ctr">
                          <a:solidFill>
                            <a:srgbClr val="FFFFFF"/>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margin-left:233.75pt;margin-top:49.1pt;height:0.5pt;width:77.5pt;z-index:251668480;mso-width-relative:page;mso-height-relative:page;" filled="f" stroked="t" coordsize="21600,21600" o:gfxdata="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McylDXAAAACQEAAA8AAAAAAAAAAQAgAAAAIgAAAGRycy9kb3ducmV2&#10;LnhtbFBLAQIUABQAAAAIAIdO4kCG1ZQLNgIAADQEAAAOAAAAAAAAAAEAIAAAACYBAABkcnMvZTJv&#10;RG9jLnhtbFBLBQYAAAAABgAGAFkBAADOBQAAAAA=&#10;">
                <v:fill on="f" focussize="0,0"/>
                <v:stroke weight="1.5pt" color="#FFFFFF" miterlimit="8" joinstyle="miter" endarrow="block"/>
                <v:imagedata o:title=""/>
                <o:lock v:ext="edit" aspectratio="f"/>
              </v:shape>
            </w:pict>
          </mc:Fallback>
        </mc:AlternateContent>
      </w:r>
      <w:r>
        <w:rPr>
          <w:rFonts w:hint="eastAsia" w:ascii="Times New Roman" w:hAnsi="Times New Roman" w:eastAsia="宋体" w:cs="Times New Roman"/>
          <w:b/>
          <w:bCs/>
          <w:caps w:val="0"/>
          <w:smallCaps w:val="0"/>
          <w:color w:val="auto"/>
          <w:spacing w:val="0"/>
          <w:w w:val="100"/>
          <w:kern w:val="21"/>
          <w:sz w:val="24"/>
          <w:szCs w:val="24"/>
          <w:highlight w:val="none"/>
          <w:lang w:eastAsia="zh-CN"/>
        </w:rPr>
        <w:drawing>
          <wp:inline distT="0" distB="0" distL="114300" distR="114300">
            <wp:extent cx="5266055" cy="4642485"/>
            <wp:effectExtent l="0" t="0" r="10795" b="5715"/>
            <wp:docPr id="34" name="图片 35" descr="套管油基石油类10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套管油基石油类1000d"/>
                    <pic:cNvPicPr>
                      <a:picLocks noChangeAspect="1"/>
                    </pic:cNvPicPr>
                  </pic:nvPicPr>
                  <pic:blipFill>
                    <a:blip r:embed="rId30"/>
                    <a:stretch>
                      <a:fillRect/>
                    </a:stretch>
                  </pic:blipFill>
                  <pic:spPr>
                    <a:xfrm>
                      <a:off x="0" y="0"/>
                      <a:ext cx="5266055" cy="4642485"/>
                    </a:xfrm>
                    <a:prstGeom prst="rect">
                      <a:avLst/>
                    </a:prstGeom>
                    <a:noFill/>
                    <a:ln>
                      <a:noFill/>
                    </a:ln>
                  </pic:spPr>
                </pic:pic>
              </a:graphicData>
            </a:graphic>
          </wp:inline>
        </w:drawing>
      </w:r>
    </w:p>
    <w:p>
      <w:pPr>
        <w:pageBreakBefore w:val="0"/>
        <w:widowControl/>
        <w:bidi w:val="0"/>
        <w:spacing w:line="360" w:lineRule="auto"/>
        <w:ind w:firstLine="0" w:firstLineChars="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图5</w:t>
      </w:r>
      <w:r>
        <w:rPr>
          <w:rFonts w:hint="default" w:ascii="Times New Roman" w:hAnsi="Times New Roman" w:cs="Times New Roman"/>
          <w:b/>
          <w:bCs/>
          <w:caps w:val="0"/>
          <w:smallCaps w:val="0"/>
          <w:color w:val="auto"/>
          <w:spacing w:val="0"/>
          <w:w w:val="100"/>
          <w:kern w:val="21"/>
          <w:sz w:val="24"/>
          <w:szCs w:val="24"/>
          <w:highlight w:val="none"/>
          <w:lang w:val="en-US" w:eastAsia="zh-CN"/>
        </w:rPr>
        <w:t>.3-</w:t>
      </w:r>
      <w:r>
        <w:rPr>
          <w:rFonts w:hint="eastAsia" w:ascii="Times New Roman" w:hAnsi="Times New Roman" w:cs="Times New Roman"/>
          <w:b/>
          <w:bCs/>
          <w:caps w:val="0"/>
          <w:smallCaps w:val="0"/>
          <w:color w:val="auto"/>
          <w:spacing w:val="0"/>
          <w:w w:val="100"/>
          <w:kern w:val="21"/>
          <w:sz w:val="24"/>
          <w:szCs w:val="24"/>
          <w:highlight w:val="none"/>
          <w:lang w:val="en-US" w:eastAsia="zh-CN"/>
        </w:rPr>
        <w:t>6</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val="en-US" w:eastAsia="zh-CN"/>
        </w:rPr>
        <w:t>油基泥浆</w:t>
      </w:r>
      <w:r>
        <w:rPr>
          <w:rFonts w:hint="default" w:ascii="Times New Roman" w:hAnsi="Times New Roman" w:cs="Times New Roman"/>
          <w:b/>
          <w:bCs/>
          <w:caps w:val="0"/>
          <w:smallCaps w:val="0"/>
          <w:color w:val="auto"/>
          <w:spacing w:val="0"/>
          <w:w w:val="100"/>
          <w:kern w:val="21"/>
          <w:sz w:val="24"/>
          <w:szCs w:val="24"/>
          <w:highlight w:val="none"/>
          <w:lang w:eastAsia="zh-CN"/>
        </w:rPr>
        <w:t>泄漏</w:t>
      </w:r>
      <w:r>
        <w:rPr>
          <w:rFonts w:hint="default" w:ascii="Times New Roman" w:hAnsi="Times New Roman" w:cs="Times New Roman"/>
          <w:b/>
          <w:bCs/>
          <w:caps w:val="0"/>
          <w:smallCaps w:val="0"/>
          <w:color w:val="auto"/>
          <w:spacing w:val="0"/>
          <w:w w:val="100"/>
          <w:kern w:val="21"/>
          <w:sz w:val="24"/>
          <w:szCs w:val="24"/>
          <w:highlight w:val="none"/>
        </w:rPr>
        <w:t>100</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d</w:t>
      </w:r>
      <w:r>
        <w:rPr>
          <w:rFonts w:hint="eastAsia" w:ascii="Times New Roman" w:hAnsi="Times New Roman" w:cs="Times New Roman"/>
          <w:b/>
          <w:bCs/>
          <w:caps w:val="0"/>
          <w:smallCaps w:val="0"/>
          <w:color w:val="auto"/>
          <w:spacing w:val="0"/>
          <w:w w:val="100"/>
          <w:kern w:val="21"/>
          <w:sz w:val="24"/>
          <w:szCs w:val="24"/>
          <w:highlight w:val="none"/>
          <w:lang w:val="en-US" w:eastAsia="zh-CN"/>
        </w:rPr>
        <w:t>石油类</w:t>
      </w:r>
      <w:r>
        <w:rPr>
          <w:rFonts w:hint="default" w:ascii="Times New Roman" w:hAnsi="Times New Roman" w:cs="Times New Roman"/>
          <w:b/>
          <w:bCs/>
          <w:caps w:val="0"/>
          <w:smallCaps w:val="0"/>
          <w:color w:val="auto"/>
          <w:spacing w:val="0"/>
          <w:w w:val="100"/>
          <w:kern w:val="21"/>
          <w:sz w:val="24"/>
          <w:szCs w:val="24"/>
          <w:highlight w:val="none"/>
        </w:rPr>
        <w:t>预测范围图</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根据预测结果可知，</w:t>
      </w:r>
      <w:r>
        <w:rPr>
          <w:rFonts w:hint="eastAsia" w:ascii="Times New Roman" w:hAnsi="Times New Roman" w:eastAsia="宋体" w:cs="Times New Roman"/>
          <w:color w:val="auto"/>
          <w:kern w:val="0"/>
          <w:sz w:val="28"/>
          <w:szCs w:val="28"/>
          <w:highlight w:val="none"/>
          <w:lang w:val="en-US" w:eastAsia="zh-CN" w:bidi="ar"/>
        </w:rPr>
        <w:t>油基泥浆泄露时，</w:t>
      </w:r>
      <w:r>
        <w:rPr>
          <w:rFonts w:hint="default" w:ascii="Times New Roman" w:hAnsi="Times New Roman" w:eastAsia="宋体" w:cs="Times New Roman"/>
          <w:color w:val="auto"/>
          <w:kern w:val="0"/>
          <w:sz w:val="28"/>
          <w:szCs w:val="28"/>
          <w:highlight w:val="none"/>
          <w:lang w:val="en-US" w:eastAsia="zh-CN" w:bidi="ar"/>
        </w:rPr>
        <w:t>预测时间100</w:t>
      </w:r>
      <w:r>
        <w:rPr>
          <w:rFonts w:hint="eastAsia" w:ascii="Times New Roman" w:hAnsi="Times New Roman" w:eastAsia="宋体" w:cs="Times New Roman"/>
          <w:color w:val="auto"/>
          <w:kern w:val="0"/>
          <w:sz w:val="28"/>
          <w:szCs w:val="28"/>
          <w:highlight w:val="none"/>
          <w:lang w:val="en-US" w:eastAsia="zh-CN" w:bidi="ar"/>
        </w:rPr>
        <w:t>0</w:t>
      </w:r>
      <w:r>
        <w:rPr>
          <w:rFonts w:hint="default" w:ascii="Times New Roman" w:hAnsi="Times New Roman" w:eastAsia="宋体" w:cs="Times New Roman"/>
          <w:color w:val="auto"/>
          <w:kern w:val="0"/>
          <w:sz w:val="28"/>
          <w:szCs w:val="28"/>
          <w:highlight w:val="none"/>
          <w:lang w:val="en-US" w:eastAsia="zh-CN" w:bidi="ar"/>
        </w:rPr>
        <w:t>d时，</w:t>
      </w:r>
      <w:r>
        <w:rPr>
          <w:rFonts w:hint="eastAsia" w:ascii="Times New Roman" w:hAnsi="Times New Roman" w:eastAsia="宋体" w:cs="Times New Roman"/>
          <w:color w:val="auto"/>
          <w:kern w:val="0"/>
          <w:sz w:val="28"/>
          <w:szCs w:val="28"/>
          <w:highlight w:val="none"/>
          <w:lang w:val="en-US" w:eastAsia="zh-CN" w:bidi="ar"/>
        </w:rPr>
        <w:t>石油类</w:t>
      </w:r>
      <w:r>
        <w:rPr>
          <w:rFonts w:hint="default" w:ascii="Times New Roman" w:hAnsi="Times New Roman" w:eastAsia="宋体" w:cs="Times New Roman"/>
          <w:color w:val="auto"/>
          <w:kern w:val="0"/>
          <w:sz w:val="28"/>
          <w:szCs w:val="28"/>
          <w:highlight w:val="none"/>
          <w:lang w:val="en-US" w:eastAsia="zh-CN" w:bidi="ar"/>
        </w:rPr>
        <w:t>下游最大浓度为：</w:t>
      </w: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mg/l，超标距离最远为104.4m，预测范围内的超标面积为6825m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，影响距离最远为下游120.4m，预测范围内的影响面积为9250m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10</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eastAsia="zh-CN"/>
        </w:rPr>
        <w:t>油基泥浆</w:t>
      </w:r>
      <w:r>
        <w:rPr>
          <w:rFonts w:hint="default" w:ascii="Times New Roman" w:hAnsi="Times New Roman" w:cs="Times New Roman"/>
          <w:b/>
          <w:bCs/>
          <w:caps w:val="0"/>
          <w:smallCaps w:val="0"/>
          <w:color w:val="auto"/>
          <w:spacing w:val="0"/>
          <w:w w:val="100"/>
          <w:kern w:val="21"/>
          <w:sz w:val="24"/>
          <w:szCs w:val="24"/>
          <w:highlight w:val="none"/>
        </w:rPr>
        <w:t>泄漏100d</w:t>
      </w:r>
      <w:r>
        <w:rPr>
          <w:rFonts w:hint="eastAsia"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预测结果表 单位：mg/L</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bottom w:val="single" w:color="auto" w:sz="6" w:space="0"/>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op w:val="single" w:color="auto" w:sz="6"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8.08E-44</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3.95E-31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4.25E-31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2.32E-31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1.18E-31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3.29E+00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1.84E+01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1.98E+01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1.08E+01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5.49E+00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2.64E+01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1.48E+02</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1.59E+02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8.68E+01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4.41E+01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6.36E-03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3.55E-02</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3.82E-02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2.09E-02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1.06E-02</w:t>
            </w:r>
          </w:p>
        </w:tc>
      </w:tr>
    </w:tbl>
    <w:p>
      <w:pPr>
        <w:pageBreakBefore w:val="0"/>
        <w:widowControl/>
        <w:bidi w:val="0"/>
        <w:spacing w:line="360" w:lineRule="auto"/>
        <w:ind w:firstLine="0" w:firstLineChars="0"/>
        <w:jc w:val="both"/>
        <w:rPr>
          <w:rFonts w:hint="default" w:ascii="Times New Roman" w:hAnsi="Times New Roman" w:cs="Times New Roman"/>
          <w:b/>
          <w:bCs/>
          <w:caps w:val="0"/>
          <w:smallCaps w:val="0"/>
          <w:color w:val="auto"/>
          <w:spacing w:val="0"/>
          <w:w w:val="100"/>
          <w:kern w:val="21"/>
          <w:sz w:val="24"/>
          <w:szCs w:val="24"/>
          <w:highlight w:val="none"/>
        </w:rPr>
      </w:pPr>
      <w:r>
        <w:rPr>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3108325</wp:posOffset>
                </wp:positionH>
                <wp:positionV relativeFrom="paragraph">
                  <wp:posOffset>926465</wp:posOffset>
                </wp:positionV>
                <wp:extent cx="1035050" cy="450850"/>
                <wp:effectExtent l="0" t="0" r="0" b="0"/>
                <wp:wrapNone/>
                <wp:docPr id="41" name="文本框 41"/>
                <wp:cNvGraphicFramePr/>
                <a:graphic xmlns:a="http://schemas.openxmlformats.org/drawingml/2006/main">
                  <a:graphicData uri="http://schemas.microsoft.com/office/word/2010/wordprocessingShape">
                    <wps:wsp>
                      <wps:cNvSpPr txBox="1"/>
                      <wps:spPr>
                        <a:xfrm>
                          <a:off x="4373880" y="2345690"/>
                          <a:ext cx="1035050" cy="450850"/>
                        </a:xfrm>
                        <a:prstGeom prst="rect">
                          <a:avLst/>
                        </a:prstGeom>
                        <a:noFill/>
                        <a:ln w="6350">
                          <a:noFill/>
                        </a:ln>
                        <a:effectLst/>
                      </wps:spPr>
                      <wps:txb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72.95pt;height:35.5pt;width:81.5pt;z-index:251667456;mso-width-relative:page;mso-height-relative:page;" filled="f" stroked="f" coordsize="21600,21600" o:gfxdata="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OHNBdsAAAALAQAADwAA&#10;AAAAAAABACAAAAAiAAAAZHJzL2Rvd25yZXYueG1sUEsBAhQAFAAAAAgAh07iQL7mZrtMAgAAggQA&#10;AA4AAAAAAAAAAQAgAAAAKgEAAGRycy9lMm9Eb2MueG1sUEsFBgAAAAAGAAYAWQEAAOgFAAAAAA==&#10;">
                <v:fill on="f" focussize="0,0"/>
                <v:stroke on="f" weight="0.5pt"/>
                <v:imagedata o:title=""/>
                <o:lock v:ext="edit" aspectratio="f"/>
                <v:textbo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v:textbox>
              </v:shape>
            </w:pict>
          </mc:Fallback>
        </mc:AlternateContent>
      </w:r>
      <w:r>
        <w:rPr>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3375025</wp:posOffset>
                </wp:positionH>
                <wp:positionV relativeFrom="paragraph">
                  <wp:posOffset>803910</wp:posOffset>
                </wp:positionV>
                <wp:extent cx="641350" cy="6350"/>
                <wp:effectExtent l="0" t="32385" r="6350" b="37465"/>
                <wp:wrapNone/>
                <wp:docPr id="40" name="直接箭头连接符 40"/>
                <wp:cNvGraphicFramePr/>
                <a:graphic xmlns:a="http://schemas.openxmlformats.org/drawingml/2006/main">
                  <a:graphicData uri="http://schemas.microsoft.com/office/word/2010/wordprocessingShape">
                    <wps:wsp>
                      <wps:cNvCnPr/>
                      <wps:spPr>
                        <a:xfrm flipH="1">
                          <a:off x="4519930" y="2223135"/>
                          <a:ext cx="641350" cy="6350"/>
                        </a:xfrm>
                        <a:prstGeom prst="straightConnector1">
                          <a:avLst/>
                        </a:prstGeom>
                        <a:noFill/>
                        <a:ln w="19050" cap="flat" cmpd="sng" algn="ctr">
                          <a:solidFill>
                            <a:srgbClr val="FFFFFF"/>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margin-left:265.75pt;margin-top:63.3pt;height:0.5pt;width:50.5pt;z-index:251666432;mso-width-relative:page;mso-height-relative:page;" filled="f" stroked="t" coordsize="21600,21600" o:gfxdata="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y4KGNgAAAALAQAADwAAAAAAAAABACAAAAAiAAAAZHJzL2Rvd25yZXYu&#10;eG1sUEsBAhQAFAAAAAgAh07iQPQCB1g0AgAANAQAAA4AAAAAAAAAAQAgAAAAJwEAAGRycy9lMm9E&#10;b2MueG1sUEsFBgAAAAAGAAYAWQEAAM0FAAAAAA==&#10;">
                <v:fill on="f" focussize="0,0"/>
                <v:stroke weight="1.5pt" color="#FFFFFF" miterlimit="8" joinstyle="miter" endarrow="block"/>
                <v:imagedata o:title=""/>
                <o:lock v:ext="edit" aspectratio="f"/>
              </v:shape>
            </w:pict>
          </mc:Fallback>
        </mc:AlternateContent>
      </w:r>
      <w:r>
        <w:rPr>
          <w:rFonts w:hint="eastAsia" w:ascii="Times New Roman" w:hAnsi="Times New Roman" w:eastAsia="宋体" w:cs="Times New Roman"/>
          <w:b/>
          <w:bCs/>
          <w:caps w:val="0"/>
          <w:smallCaps w:val="0"/>
          <w:color w:val="auto"/>
          <w:spacing w:val="0"/>
          <w:w w:val="100"/>
          <w:kern w:val="21"/>
          <w:sz w:val="24"/>
          <w:szCs w:val="24"/>
          <w:highlight w:val="none"/>
          <w:lang w:eastAsia="zh-CN"/>
        </w:rPr>
        <w:drawing>
          <wp:inline distT="0" distB="0" distL="114300" distR="114300">
            <wp:extent cx="5264785" cy="4690745"/>
            <wp:effectExtent l="0" t="0" r="12065" b="14605"/>
            <wp:docPr id="35" name="图片 31" descr="套管油基COD1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套管油基COD100d"/>
                    <pic:cNvPicPr>
                      <a:picLocks noChangeAspect="1"/>
                    </pic:cNvPicPr>
                  </pic:nvPicPr>
                  <pic:blipFill>
                    <a:blip r:embed="rId31"/>
                    <a:stretch>
                      <a:fillRect/>
                    </a:stretch>
                  </pic:blipFill>
                  <pic:spPr>
                    <a:xfrm>
                      <a:off x="0" y="0"/>
                      <a:ext cx="5264785" cy="4690745"/>
                    </a:xfrm>
                    <a:prstGeom prst="rect">
                      <a:avLst/>
                    </a:prstGeom>
                    <a:noFill/>
                    <a:ln>
                      <a:noFill/>
                    </a:ln>
                  </pic:spPr>
                </pic:pic>
              </a:graphicData>
            </a:graphic>
          </wp:inline>
        </w:drawing>
      </w:r>
    </w:p>
    <w:p>
      <w:pPr>
        <w:pageBreakBefore w:val="0"/>
        <w:widowControl/>
        <w:bidi w:val="0"/>
        <w:spacing w:line="360" w:lineRule="auto"/>
        <w:ind w:firstLine="0" w:firstLineChars="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图5</w:t>
      </w:r>
      <w:r>
        <w:rPr>
          <w:rFonts w:hint="default" w:ascii="Times New Roman" w:hAnsi="Times New Roman" w:cs="Times New Roman"/>
          <w:b/>
          <w:bCs/>
          <w:caps w:val="0"/>
          <w:smallCaps w:val="0"/>
          <w:color w:val="auto"/>
          <w:spacing w:val="0"/>
          <w:w w:val="100"/>
          <w:kern w:val="21"/>
          <w:sz w:val="24"/>
          <w:szCs w:val="24"/>
          <w:highlight w:val="none"/>
          <w:lang w:val="en-US" w:eastAsia="zh-CN"/>
        </w:rPr>
        <w:t>.3-</w:t>
      </w:r>
      <w:r>
        <w:rPr>
          <w:rFonts w:hint="eastAsia" w:ascii="Times New Roman" w:hAnsi="Times New Roman" w:cs="Times New Roman"/>
          <w:b/>
          <w:bCs/>
          <w:caps w:val="0"/>
          <w:smallCaps w:val="0"/>
          <w:color w:val="auto"/>
          <w:spacing w:val="0"/>
          <w:w w:val="100"/>
          <w:kern w:val="21"/>
          <w:sz w:val="24"/>
          <w:szCs w:val="24"/>
          <w:highlight w:val="none"/>
          <w:lang w:val="en-US" w:eastAsia="zh-CN"/>
        </w:rPr>
        <w:t>7</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val="en-US" w:eastAsia="zh-CN"/>
        </w:rPr>
        <w:t>油基泥浆</w:t>
      </w:r>
      <w:r>
        <w:rPr>
          <w:rFonts w:hint="default" w:ascii="Times New Roman" w:hAnsi="Times New Roman" w:cs="Times New Roman"/>
          <w:b/>
          <w:bCs/>
          <w:caps w:val="0"/>
          <w:smallCaps w:val="0"/>
          <w:color w:val="auto"/>
          <w:spacing w:val="0"/>
          <w:w w:val="100"/>
          <w:kern w:val="21"/>
          <w:sz w:val="24"/>
          <w:szCs w:val="24"/>
          <w:highlight w:val="none"/>
          <w:lang w:eastAsia="zh-CN"/>
        </w:rPr>
        <w:t>泄漏</w:t>
      </w:r>
      <w:r>
        <w:rPr>
          <w:rFonts w:hint="default" w:ascii="Times New Roman" w:hAnsi="Times New Roman" w:cs="Times New Roman"/>
          <w:b/>
          <w:bCs/>
          <w:caps w:val="0"/>
          <w:smallCaps w:val="0"/>
          <w:color w:val="auto"/>
          <w:spacing w:val="0"/>
          <w:w w:val="100"/>
          <w:kern w:val="21"/>
          <w:sz w:val="24"/>
          <w:szCs w:val="24"/>
          <w:highlight w:val="none"/>
        </w:rPr>
        <w:t>1</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0d</w:t>
      </w:r>
      <w:r>
        <w:rPr>
          <w:rFonts w:hint="default"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预测范围图</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根据预测结果可知，</w:t>
      </w:r>
      <w:r>
        <w:rPr>
          <w:rFonts w:hint="eastAsia" w:ascii="Times New Roman" w:hAnsi="Times New Roman" w:eastAsia="宋体" w:cs="Times New Roman"/>
          <w:color w:val="auto"/>
          <w:kern w:val="0"/>
          <w:sz w:val="28"/>
          <w:szCs w:val="28"/>
          <w:highlight w:val="none"/>
          <w:lang w:val="en-US" w:eastAsia="zh-CN" w:bidi="ar"/>
        </w:rPr>
        <w:t>油基泥浆泄露时，</w:t>
      </w:r>
      <w:r>
        <w:rPr>
          <w:rFonts w:hint="default" w:ascii="Times New Roman" w:hAnsi="Times New Roman" w:eastAsia="宋体" w:cs="Times New Roman"/>
          <w:color w:val="auto"/>
          <w:kern w:val="0"/>
          <w:sz w:val="28"/>
          <w:szCs w:val="28"/>
          <w:highlight w:val="none"/>
          <w:lang w:val="en-US" w:eastAsia="zh-CN" w:bidi="ar"/>
        </w:rPr>
        <w:t>预测时间100d时，</w:t>
      </w:r>
      <w:r>
        <w:rPr>
          <w:rFonts w:hint="eastAsia" w:ascii="Times New Roman" w:hAnsi="Times New Roman" w:eastAsia="宋体" w:cs="Times New Roman"/>
          <w:color w:val="auto"/>
          <w:kern w:val="0"/>
          <w:sz w:val="28"/>
          <w:szCs w:val="28"/>
          <w:highlight w:val="none"/>
          <w:lang w:val="en-US" w:eastAsia="zh-CN" w:bidi="ar"/>
        </w:rPr>
        <w:t>COD</w:t>
      </w:r>
      <w:r>
        <w:rPr>
          <w:rFonts w:hint="default" w:ascii="Times New Roman" w:hAnsi="Times New Roman" w:eastAsia="宋体" w:cs="Times New Roman"/>
          <w:color w:val="auto"/>
          <w:kern w:val="0"/>
          <w:sz w:val="28"/>
          <w:szCs w:val="28"/>
          <w:highlight w:val="none"/>
          <w:lang w:val="en-US" w:eastAsia="zh-CN" w:bidi="ar"/>
        </w:rPr>
        <w:t>下游最大浓度为：1</w:t>
      </w:r>
      <w:r>
        <w:rPr>
          <w:rFonts w:hint="eastAsia" w:ascii="Times New Roman" w:hAnsi="Times New Roman" w:eastAsia="宋体" w:cs="Times New Roman"/>
          <w:color w:val="auto"/>
          <w:kern w:val="0"/>
          <w:sz w:val="28"/>
          <w:szCs w:val="28"/>
          <w:highlight w:val="none"/>
          <w:lang w:val="en-US" w:eastAsia="zh-CN" w:bidi="ar"/>
        </w:rPr>
        <w:t>60</w:t>
      </w:r>
      <w:r>
        <w:rPr>
          <w:rFonts w:hint="default" w:ascii="Times New Roman" w:hAnsi="Times New Roman" w:eastAsia="宋体" w:cs="Times New Roman"/>
          <w:color w:val="auto"/>
          <w:kern w:val="0"/>
          <w:sz w:val="28"/>
          <w:szCs w:val="28"/>
          <w:highlight w:val="none"/>
          <w:lang w:val="en-US" w:eastAsia="zh-CN" w:bidi="ar"/>
        </w:rPr>
        <w:t>mg/l，超标距离最远为30m，预测范围内的超标面积为675m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，影响距离最远为下游35m，预测范围内的影响面积为875m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11</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eastAsia="zh-CN"/>
        </w:rPr>
        <w:t>油基泥浆</w:t>
      </w:r>
      <w:r>
        <w:rPr>
          <w:rFonts w:hint="default" w:ascii="Times New Roman" w:hAnsi="Times New Roman" w:cs="Times New Roman"/>
          <w:b/>
          <w:bCs/>
          <w:caps w:val="0"/>
          <w:smallCaps w:val="0"/>
          <w:color w:val="auto"/>
          <w:spacing w:val="0"/>
          <w:w w:val="100"/>
          <w:kern w:val="21"/>
          <w:sz w:val="24"/>
          <w:szCs w:val="24"/>
          <w:highlight w:val="none"/>
        </w:rPr>
        <w:t>泄漏10</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0d</w:t>
      </w:r>
      <w:r>
        <w:rPr>
          <w:rFonts w:hint="eastAsia"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预测结果表 单位：mg/L</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bottom w:val="single" w:color="auto" w:sz="6" w:space="0"/>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op w:val="single" w:color="auto" w:sz="6"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8.43E-03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8.70E-03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8.36E-03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7.17E-03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6.39E-03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1.24E+01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1.28E+01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1.23E+01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1.05E+01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9.39E+00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1.52E+01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1.57E+01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1.51E+01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1.30E+01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1.16E+01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6.62E+00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6.84E+00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6.57E+00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5.63E+00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5.02E+00</w:t>
            </w:r>
          </w:p>
        </w:tc>
      </w:tr>
    </w:tbl>
    <w:p>
      <w:pPr>
        <w:pageBreakBefore w:val="0"/>
        <w:widowControl/>
        <w:bidi w:val="0"/>
        <w:spacing w:line="360" w:lineRule="auto"/>
        <w:ind w:firstLine="0" w:firstLineChars="0"/>
        <w:jc w:val="both"/>
        <w:rPr>
          <w:rFonts w:hint="default" w:ascii="Times New Roman" w:hAnsi="Times New Roman" w:cs="Times New Roman"/>
          <w:b/>
          <w:bCs/>
          <w:caps w:val="0"/>
          <w:smallCaps w:val="0"/>
          <w:color w:val="auto"/>
          <w:spacing w:val="0"/>
          <w:w w:val="100"/>
          <w:kern w:val="21"/>
          <w:sz w:val="24"/>
          <w:szCs w:val="24"/>
          <w:highlight w:val="none"/>
        </w:rPr>
      </w:pPr>
      <w:r>
        <w:rPr>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2988310</wp:posOffset>
                </wp:positionH>
                <wp:positionV relativeFrom="paragraph">
                  <wp:posOffset>631190</wp:posOffset>
                </wp:positionV>
                <wp:extent cx="1701165" cy="28575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701165" cy="285750"/>
                        </a:xfrm>
                        <a:prstGeom prst="rect">
                          <a:avLst/>
                        </a:prstGeom>
                        <a:noFill/>
                        <a:ln w="6350">
                          <a:noFill/>
                        </a:ln>
                        <a:effectLst/>
                      </wps:spPr>
                      <wps:txbx>
                        <w:txbxContent>
                          <w:p>
                            <w:pPr>
                              <w:jc w:val="cente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r>
                              <w:rPr>
                                <w:rFonts w:hint="eastAsia" w:ascii="Times New Roman" w:hAnsi="Times New Roman" w:eastAsia="宋体" w:cs="Times New Roman"/>
                                <w:b/>
                                <w:bCs/>
                                <w:caps w:val="0"/>
                                <w:smallCaps w:val="0"/>
                                <w:color w:val="auto"/>
                                <w:spacing w:val="0"/>
                                <w:w w:val="100"/>
                                <w:kern w:val="21"/>
                                <w:sz w:val="24"/>
                                <w:szCs w:val="24"/>
                                <w:highlight w:val="none"/>
                                <w:lang w:eastAsia="zh-CN"/>
                              </w:rPr>
                              <w:drawing>
                                <wp:inline distT="0" distB="0" distL="114300" distR="114300">
                                  <wp:extent cx="5269865" cy="4575175"/>
                                  <wp:effectExtent l="0" t="0" r="6985" b="15875"/>
                                  <wp:docPr id="36" name="图片 29" descr="套管水基100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套管水基100COD"/>
                                          <pic:cNvPicPr>
                                            <a:picLocks noChangeAspect="1"/>
                                          </pic:cNvPicPr>
                                        </pic:nvPicPr>
                                        <pic:blipFill>
                                          <a:blip r:embed="rId32"/>
                                          <a:stretch>
                                            <a:fillRect/>
                                          </a:stretch>
                                        </pic:blipFill>
                                        <pic:spPr>
                                          <a:xfrm>
                                            <a:off x="0" y="0"/>
                                            <a:ext cx="5269865" cy="4575175"/>
                                          </a:xfrm>
                                          <a:prstGeom prst="rect">
                                            <a:avLst/>
                                          </a:prstGeom>
                                          <a:noFill/>
                                          <a:ln>
                                            <a:noFill/>
                                          </a:ln>
                                        </pic:spPr>
                                      </pic:pic>
                                    </a:graphicData>
                                  </a:graphic>
                                </wp:inline>
                              </w:drawing>
                            </w:r>
                            <w:r>
                              <w:rPr>
                                <w:rFonts w:hint="eastAsia" w:ascii="黑体" w:hAnsi="黑体" w:eastAsia="黑体" w:cs="黑体"/>
                                <w:b/>
                                <w:bCs/>
                                <w:color w:val="FFFFFF"/>
                                <w:sz w:val="24"/>
                                <w:szCs w:val="24"/>
                                <w:lang w:val="en-US" w:eastAsia="zh-CN"/>
                              </w:rPr>
                              <w:t>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3pt;margin-top:49.7pt;height:22.5pt;width:133.95pt;z-index:251665408;mso-width-relative:page;mso-height-relative:page;" filled="f" stroked="f" coordsize="21600,21600" o:gfxdata="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71Ufr2wAAAAoBAAAPAAAAAAAAAAEAIAAA&#10;ACIAAABkcnMvZG93bnJldi54bWxQSwECFAAUAAAACACHTuJANcARhUICAAB2BAAADgAAAAAAAAAB&#10;ACAAAAAqAQAAZHJzL2Uyb0RvYy54bWxQSwUGAAAAAAYABgBZAQAA3gUAAAAA&#10;">
                <v:fill on="f" focussize="0,0"/>
                <v:stroke on="f" weight="0.5pt"/>
                <v:imagedata o:title=""/>
                <o:lock v:ext="edit" aspectratio="f"/>
                <v:textbox>
                  <w:txbxContent>
                    <w:p>
                      <w:pPr>
                        <w:jc w:val="cente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r>
                        <w:rPr>
                          <w:rFonts w:hint="eastAsia" w:ascii="Times New Roman" w:hAnsi="Times New Roman" w:eastAsia="宋体" w:cs="Times New Roman"/>
                          <w:b/>
                          <w:bCs/>
                          <w:caps w:val="0"/>
                          <w:smallCaps w:val="0"/>
                          <w:color w:val="auto"/>
                          <w:spacing w:val="0"/>
                          <w:w w:val="100"/>
                          <w:kern w:val="21"/>
                          <w:sz w:val="24"/>
                          <w:szCs w:val="24"/>
                          <w:highlight w:val="none"/>
                          <w:lang w:eastAsia="zh-CN"/>
                        </w:rPr>
                        <w:drawing>
                          <wp:inline distT="0" distB="0" distL="114300" distR="114300">
                            <wp:extent cx="5269865" cy="4575175"/>
                            <wp:effectExtent l="0" t="0" r="6985" b="15875"/>
                            <wp:docPr id="36" name="图片 29" descr="套管水基100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套管水基100COD"/>
                                    <pic:cNvPicPr>
                                      <a:picLocks noChangeAspect="1"/>
                                    </pic:cNvPicPr>
                                  </pic:nvPicPr>
                                  <pic:blipFill>
                                    <a:blip r:embed="rId32"/>
                                    <a:stretch>
                                      <a:fillRect/>
                                    </a:stretch>
                                  </pic:blipFill>
                                  <pic:spPr>
                                    <a:xfrm>
                                      <a:off x="0" y="0"/>
                                      <a:ext cx="5269865" cy="4575175"/>
                                    </a:xfrm>
                                    <a:prstGeom prst="rect">
                                      <a:avLst/>
                                    </a:prstGeom>
                                    <a:noFill/>
                                    <a:ln>
                                      <a:noFill/>
                                    </a:ln>
                                  </pic:spPr>
                                </pic:pic>
                              </a:graphicData>
                            </a:graphic>
                          </wp:inline>
                        </w:drawing>
                      </w:r>
                      <w:r>
                        <w:rPr>
                          <w:rFonts w:hint="eastAsia" w:ascii="黑体" w:hAnsi="黑体" w:eastAsia="黑体" w:cs="黑体"/>
                          <w:b/>
                          <w:bCs/>
                          <w:color w:val="FFFFFF"/>
                          <w:sz w:val="24"/>
                          <w:szCs w:val="24"/>
                          <w:lang w:val="en-US" w:eastAsia="zh-CN"/>
                        </w:rPr>
                        <w:t>水流向</w:t>
                      </w:r>
                    </w:p>
                  </w:txbxContent>
                </v:textbox>
              </v:shape>
            </w:pict>
          </mc:Fallback>
        </mc:AlternateContent>
      </w:r>
      <w:r>
        <w:rPr>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3571875</wp:posOffset>
                </wp:positionH>
                <wp:positionV relativeFrom="paragraph">
                  <wp:posOffset>504190</wp:posOffset>
                </wp:positionV>
                <wp:extent cx="673100" cy="3810"/>
                <wp:effectExtent l="0" t="37465" r="12700" b="34925"/>
                <wp:wrapNone/>
                <wp:docPr id="7" name="直接箭头连接符 7"/>
                <wp:cNvGraphicFramePr/>
                <a:graphic xmlns:a="http://schemas.openxmlformats.org/drawingml/2006/main">
                  <a:graphicData uri="http://schemas.microsoft.com/office/word/2010/wordprocessingShape">
                    <wps:wsp>
                      <wps:cNvCnPr/>
                      <wps:spPr>
                        <a:xfrm flipH="1" flipV="1">
                          <a:off x="0" y="0"/>
                          <a:ext cx="673100" cy="3810"/>
                        </a:xfrm>
                        <a:prstGeom prst="straightConnector1">
                          <a:avLst/>
                        </a:prstGeom>
                        <a:noFill/>
                        <a:ln w="19050" cap="flat" cmpd="sng" algn="ctr">
                          <a:solidFill>
                            <a:srgbClr val="FFFFFF"/>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 y;margin-left:281.25pt;margin-top:39.7pt;height:0.3pt;width:53pt;z-index:251664384;mso-width-relative:page;mso-height-relative:page;" filled="f" stroked="t" coordsize="21600,21600" o:gfxdata="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a7WvzZAAAACQEAAA8AAAAAAAAAAQAgAAAAIgAAAGRycy9kb3ducmV2LnhtbFBL&#10;AQIUABQAAAAIAIdO4kBTEd+sLgIAADAEAAAOAAAAAAAAAAEAIAAAACgBAABkcnMvZTJvRG9jLnht&#10;bFBLBQYAAAAABgAGAFkBAADIBQAAAAA=&#10;">
                <v:fill on="f" focussize="0,0"/>
                <v:stroke weight="1.5pt" color="#FFFFFF" miterlimit="8" joinstyle="miter" endarrow="block"/>
                <v:imagedata o:title=""/>
                <o:lock v:ext="edit" aspectratio="f"/>
              </v:shape>
            </w:pict>
          </mc:Fallback>
        </mc:AlternateContent>
      </w:r>
      <w:r>
        <w:rPr>
          <w:rFonts w:hint="eastAsia" w:ascii="Times New Roman" w:hAnsi="Times New Roman" w:eastAsia="宋体" w:cs="Times New Roman"/>
          <w:b/>
          <w:bCs/>
          <w:caps w:val="0"/>
          <w:smallCaps w:val="0"/>
          <w:color w:val="auto"/>
          <w:spacing w:val="0"/>
          <w:w w:val="100"/>
          <w:kern w:val="21"/>
          <w:sz w:val="24"/>
          <w:szCs w:val="24"/>
          <w:highlight w:val="none"/>
          <w:lang w:eastAsia="zh-CN"/>
        </w:rPr>
        <w:drawing>
          <wp:inline distT="0" distB="0" distL="114300" distR="114300">
            <wp:extent cx="5266055" cy="4613275"/>
            <wp:effectExtent l="0" t="0" r="10795" b="15875"/>
            <wp:docPr id="37" name="图片 34" descr="套管油基COD10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套管油基COD1000d"/>
                    <pic:cNvPicPr>
                      <a:picLocks noChangeAspect="1"/>
                    </pic:cNvPicPr>
                  </pic:nvPicPr>
                  <pic:blipFill>
                    <a:blip r:embed="rId33"/>
                    <a:stretch>
                      <a:fillRect/>
                    </a:stretch>
                  </pic:blipFill>
                  <pic:spPr>
                    <a:xfrm>
                      <a:off x="0" y="0"/>
                      <a:ext cx="5266055" cy="4613275"/>
                    </a:xfrm>
                    <a:prstGeom prst="rect">
                      <a:avLst/>
                    </a:prstGeom>
                    <a:noFill/>
                    <a:ln>
                      <a:noFill/>
                    </a:ln>
                  </pic:spPr>
                </pic:pic>
              </a:graphicData>
            </a:graphic>
          </wp:inline>
        </w:drawing>
      </w:r>
    </w:p>
    <w:p>
      <w:pPr>
        <w:pageBreakBefore w:val="0"/>
        <w:widowControl/>
        <w:bidi w:val="0"/>
        <w:spacing w:line="360" w:lineRule="auto"/>
        <w:ind w:firstLine="0" w:firstLineChars="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图5</w:t>
      </w:r>
      <w:r>
        <w:rPr>
          <w:rFonts w:hint="default" w:ascii="Times New Roman" w:hAnsi="Times New Roman" w:cs="Times New Roman"/>
          <w:b/>
          <w:bCs/>
          <w:caps w:val="0"/>
          <w:smallCaps w:val="0"/>
          <w:color w:val="auto"/>
          <w:spacing w:val="0"/>
          <w:w w:val="100"/>
          <w:kern w:val="21"/>
          <w:sz w:val="24"/>
          <w:szCs w:val="24"/>
          <w:highlight w:val="none"/>
          <w:lang w:val="en-US" w:eastAsia="zh-CN"/>
        </w:rPr>
        <w:t>.3-</w:t>
      </w:r>
      <w:r>
        <w:rPr>
          <w:rFonts w:hint="eastAsia" w:ascii="Times New Roman" w:hAnsi="Times New Roman" w:cs="Times New Roman"/>
          <w:b/>
          <w:bCs/>
          <w:caps w:val="0"/>
          <w:smallCaps w:val="0"/>
          <w:color w:val="auto"/>
          <w:spacing w:val="0"/>
          <w:w w:val="100"/>
          <w:kern w:val="21"/>
          <w:sz w:val="24"/>
          <w:szCs w:val="24"/>
          <w:highlight w:val="none"/>
          <w:lang w:val="en-US" w:eastAsia="zh-CN"/>
        </w:rPr>
        <w:t>8</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val="en-US" w:eastAsia="zh-CN"/>
        </w:rPr>
        <w:t>油基泥浆</w:t>
      </w:r>
      <w:r>
        <w:rPr>
          <w:rFonts w:hint="default" w:ascii="Times New Roman" w:hAnsi="Times New Roman" w:cs="Times New Roman"/>
          <w:b/>
          <w:bCs/>
          <w:caps w:val="0"/>
          <w:smallCaps w:val="0"/>
          <w:color w:val="auto"/>
          <w:spacing w:val="0"/>
          <w:w w:val="100"/>
          <w:kern w:val="21"/>
          <w:sz w:val="24"/>
          <w:szCs w:val="24"/>
          <w:highlight w:val="none"/>
          <w:lang w:eastAsia="zh-CN"/>
        </w:rPr>
        <w:t>泄漏</w:t>
      </w:r>
      <w:r>
        <w:rPr>
          <w:rFonts w:hint="default" w:ascii="Times New Roman" w:hAnsi="Times New Roman" w:cs="Times New Roman"/>
          <w:b/>
          <w:bCs/>
          <w:caps w:val="0"/>
          <w:smallCaps w:val="0"/>
          <w:color w:val="auto"/>
          <w:spacing w:val="0"/>
          <w:w w:val="100"/>
          <w:kern w:val="21"/>
          <w:sz w:val="24"/>
          <w:szCs w:val="24"/>
          <w:highlight w:val="none"/>
        </w:rPr>
        <w:t>1</w:t>
      </w:r>
      <w:r>
        <w:rPr>
          <w:rFonts w:hint="eastAsia" w:ascii="Times New Roman" w:hAnsi="Times New Roman" w:cs="Times New Roman"/>
          <w:b/>
          <w:bCs/>
          <w:caps w:val="0"/>
          <w:smallCaps w:val="0"/>
          <w:color w:val="auto"/>
          <w:spacing w:val="0"/>
          <w:w w:val="100"/>
          <w:kern w:val="21"/>
          <w:sz w:val="24"/>
          <w:szCs w:val="24"/>
          <w:highlight w:val="none"/>
          <w:lang w:val="en-US" w:eastAsia="zh-CN"/>
        </w:rPr>
        <w:t>00</w:t>
      </w:r>
      <w:r>
        <w:rPr>
          <w:rFonts w:hint="default" w:ascii="Times New Roman" w:hAnsi="Times New Roman" w:cs="Times New Roman"/>
          <w:b/>
          <w:bCs/>
          <w:caps w:val="0"/>
          <w:smallCaps w:val="0"/>
          <w:color w:val="auto"/>
          <w:spacing w:val="0"/>
          <w:w w:val="100"/>
          <w:kern w:val="21"/>
          <w:sz w:val="24"/>
          <w:szCs w:val="24"/>
          <w:highlight w:val="none"/>
        </w:rPr>
        <w:t>0d</w:t>
      </w:r>
      <w:r>
        <w:rPr>
          <w:rFonts w:hint="default"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预测范围图</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根据预测结果可知，</w:t>
      </w:r>
      <w:r>
        <w:rPr>
          <w:rFonts w:hint="eastAsia" w:ascii="Times New Roman" w:hAnsi="Times New Roman" w:eastAsia="宋体" w:cs="Times New Roman"/>
          <w:color w:val="auto"/>
          <w:kern w:val="0"/>
          <w:sz w:val="28"/>
          <w:szCs w:val="28"/>
          <w:highlight w:val="none"/>
          <w:lang w:val="en-US" w:eastAsia="zh-CN" w:bidi="ar"/>
        </w:rPr>
        <w:t>油基泥浆泄露时，</w:t>
      </w:r>
      <w:r>
        <w:rPr>
          <w:rFonts w:hint="default" w:ascii="Times New Roman" w:hAnsi="Times New Roman" w:eastAsia="宋体" w:cs="Times New Roman"/>
          <w:color w:val="auto"/>
          <w:kern w:val="0"/>
          <w:sz w:val="28"/>
          <w:szCs w:val="28"/>
          <w:highlight w:val="none"/>
          <w:lang w:val="en-US" w:eastAsia="zh-CN" w:bidi="ar"/>
        </w:rPr>
        <w:t>预测时间10</w:t>
      </w:r>
      <w:r>
        <w:rPr>
          <w:rFonts w:hint="eastAsia" w:ascii="Times New Roman" w:hAnsi="Times New Roman" w:eastAsia="宋体" w:cs="Times New Roman"/>
          <w:color w:val="auto"/>
          <w:kern w:val="0"/>
          <w:sz w:val="28"/>
          <w:szCs w:val="28"/>
          <w:highlight w:val="none"/>
          <w:lang w:val="en-US" w:eastAsia="zh-CN" w:bidi="ar"/>
        </w:rPr>
        <w:t>0</w:t>
      </w:r>
      <w:r>
        <w:rPr>
          <w:rFonts w:hint="default" w:ascii="Times New Roman" w:hAnsi="Times New Roman" w:eastAsia="宋体" w:cs="Times New Roman"/>
          <w:color w:val="auto"/>
          <w:kern w:val="0"/>
          <w:sz w:val="28"/>
          <w:szCs w:val="28"/>
          <w:highlight w:val="none"/>
          <w:lang w:val="en-US" w:eastAsia="zh-CN" w:bidi="ar"/>
        </w:rPr>
        <w:t>0d时，</w:t>
      </w:r>
      <w:r>
        <w:rPr>
          <w:rFonts w:hint="eastAsia" w:ascii="Times New Roman" w:hAnsi="Times New Roman" w:eastAsia="宋体" w:cs="Times New Roman"/>
          <w:color w:val="auto"/>
          <w:kern w:val="0"/>
          <w:sz w:val="28"/>
          <w:szCs w:val="28"/>
          <w:highlight w:val="none"/>
          <w:lang w:val="en-US" w:eastAsia="zh-CN" w:bidi="ar"/>
        </w:rPr>
        <w:t>COD</w:t>
      </w:r>
      <w:r>
        <w:rPr>
          <w:rFonts w:hint="default" w:ascii="Times New Roman" w:hAnsi="Times New Roman" w:eastAsia="宋体" w:cs="Times New Roman"/>
          <w:color w:val="auto"/>
          <w:kern w:val="0"/>
          <w:sz w:val="28"/>
          <w:szCs w:val="28"/>
          <w:highlight w:val="none"/>
          <w:lang w:val="en-US" w:eastAsia="zh-CN" w:bidi="ar"/>
        </w:rPr>
        <w:t>下游最大浓度为：1</w:t>
      </w:r>
      <w:r>
        <w:rPr>
          <w:rFonts w:hint="eastAsia" w:ascii="Times New Roman" w:hAnsi="Times New Roman" w:eastAsia="宋体" w:cs="Times New Roman"/>
          <w:color w:val="auto"/>
          <w:kern w:val="0"/>
          <w:sz w:val="28"/>
          <w:szCs w:val="28"/>
          <w:highlight w:val="none"/>
          <w:lang w:val="en-US" w:eastAsia="zh-CN" w:bidi="ar"/>
        </w:rPr>
        <w:t>6</w:t>
      </w:r>
      <w:r>
        <w:rPr>
          <w:rFonts w:hint="default" w:ascii="Times New Roman" w:hAnsi="Times New Roman" w:eastAsia="宋体" w:cs="Times New Roman"/>
          <w:color w:val="auto"/>
          <w:kern w:val="0"/>
          <w:sz w:val="28"/>
          <w:szCs w:val="28"/>
          <w:highlight w:val="none"/>
          <w:lang w:val="en-US" w:eastAsia="zh-CN" w:bidi="ar"/>
        </w:rPr>
        <w:t>mg/l，超标距离最远为68.4m，预测范围内的超标面积为2300m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，影响距离最远为下游94.4m，预测范围内的影响面积为3975m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12</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eastAsia="zh-CN"/>
        </w:rPr>
        <w:t>水基泥浆</w:t>
      </w:r>
      <w:r>
        <w:rPr>
          <w:rFonts w:hint="default" w:ascii="Times New Roman" w:hAnsi="Times New Roman" w:cs="Times New Roman"/>
          <w:b/>
          <w:bCs/>
          <w:caps w:val="0"/>
          <w:smallCaps w:val="0"/>
          <w:color w:val="auto"/>
          <w:spacing w:val="0"/>
          <w:w w:val="100"/>
          <w:kern w:val="21"/>
          <w:sz w:val="24"/>
          <w:szCs w:val="24"/>
          <w:highlight w:val="none"/>
        </w:rPr>
        <w:t>泄漏100d</w:t>
      </w:r>
      <w:r>
        <w:rPr>
          <w:rFonts w:hint="eastAsia"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预测结果表 单位：mg/L</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bottom w:val="single" w:color="auto" w:sz="6" w:space="0"/>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op w:val="single" w:color="auto" w:sz="6"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2.10E-43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1.17E-42</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1.26E-42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6.89E-43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3.50E-43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5.65E+00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3.15E+01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3.39E+01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1.85E+01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9.42E+00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4.54E+01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2.53E+02</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2.72E+02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1.49E+02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7.56E+01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1.09E-02</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6.08E-02</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6.54E-02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3.58E-02</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1.82E-02</w:t>
            </w:r>
          </w:p>
        </w:tc>
      </w:tr>
    </w:tbl>
    <w:p>
      <w:pPr>
        <w:pageBreakBefore w:val="0"/>
        <w:widowControl/>
        <w:bidi w:val="0"/>
        <w:spacing w:line="360" w:lineRule="auto"/>
        <w:ind w:firstLine="0" w:firstLineChars="0"/>
        <w:jc w:val="both"/>
        <w:rPr>
          <w:rFonts w:hint="default" w:ascii="Times New Roman" w:hAnsi="Times New Roman" w:cs="Times New Roman"/>
          <w:b/>
          <w:bCs/>
          <w:caps w:val="0"/>
          <w:smallCaps w:val="0"/>
          <w:color w:val="auto"/>
          <w:spacing w:val="0"/>
          <w:w w:val="100"/>
          <w:kern w:val="21"/>
          <w:sz w:val="24"/>
          <w:szCs w:val="24"/>
          <w:highlight w:val="none"/>
        </w:rPr>
      </w:pPr>
    </w:p>
    <w:p>
      <w:pPr>
        <w:pageBreakBefore w:val="0"/>
        <w:widowControl/>
        <w:bidi w:val="0"/>
        <w:spacing w:line="360" w:lineRule="auto"/>
        <w:ind w:firstLine="0" w:firstLineChars="0"/>
        <w:jc w:val="center"/>
        <w:rPr>
          <w:rFonts w:hint="default" w:ascii="Times New Roman" w:hAnsi="Times New Roman" w:cs="Times New Roman"/>
          <w:b/>
          <w:bCs/>
          <w:caps w:val="0"/>
          <w:smallCaps w:val="0"/>
          <w:color w:val="auto"/>
          <w:spacing w:val="0"/>
          <w:w w:val="100"/>
          <w:kern w:val="21"/>
          <w:sz w:val="24"/>
          <w:szCs w:val="24"/>
          <w:highlight w:val="none"/>
        </w:rPr>
      </w:pPr>
      <w:r>
        <w:rPr>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2988945</wp:posOffset>
                </wp:positionH>
                <wp:positionV relativeFrom="paragraph">
                  <wp:posOffset>721360</wp:posOffset>
                </wp:positionV>
                <wp:extent cx="1079500" cy="28575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079500" cy="285750"/>
                        </a:xfrm>
                        <a:prstGeom prst="rect">
                          <a:avLst/>
                        </a:prstGeom>
                        <a:noFill/>
                        <a:ln w="6350">
                          <a:noFill/>
                        </a:ln>
                        <a:effectLst/>
                      </wps:spPr>
                      <wps:txb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35pt;margin-top:56.8pt;height:22.5pt;width:85pt;z-index:251681792;mso-width-relative:page;mso-height-relative:page;" filled="f" stroked="f" coordsize="21600,21600" o:gfxdata="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1ScvNsAAAALAQAADwAAAAAAAAABACAA&#10;AAAiAAAAZHJzL2Rvd25yZXYueG1sUEsBAhQAFAAAAAgAh07iQGg/kltDAgAAdgQAAA4AAAAAAAAA&#10;AQAgAAAAKgEAAGRycy9lMm9Eb2MueG1sUEsFBgAAAAAGAAYAWQEAAN8FAAAAAA==&#10;">
                <v:fill on="f" focussize="0,0"/>
                <v:stroke on="f" weight="0.5pt"/>
                <v:imagedata o:title=""/>
                <o:lock v:ext="edit" aspectratio="f"/>
                <v:textbo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v:textbox>
              </v:shape>
            </w:pict>
          </mc:Fallback>
        </mc:AlternateContent>
      </w:r>
      <w:r>
        <w:rPr>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3080385</wp:posOffset>
                </wp:positionH>
                <wp:positionV relativeFrom="paragraph">
                  <wp:posOffset>619760</wp:posOffset>
                </wp:positionV>
                <wp:extent cx="935355" cy="0"/>
                <wp:effectExtent l="0" t="38100" r="17145" b="38100"/>
                <wp:wrapNone/>
                <wp:docPr id="3" name="直接箭头连接符 3"/>
                <wp:cNvGraphicFramePr/>
                <a:graphic xmlns:a="http://schemas.openxmlformats.org/drawingml/2006/main">
                  <a:graphicData uri="http://schemas.microsoft.com/office/word/2010/wordprocessingShape">
                    <wps:wsp>
                      <wps:cNvCnPr/>
                      <wps:spPr>
                        <a:xfrm flipH="1">
                          <a:off x="4225290" y="1534160"/>
                          <a:ext cx="935355" cy="0"/>
                        </a:xfrm>
                        <a:prstGeom prst="straightConnector1">
                          <a:avLst/>
                        </a:prstGeom>
                        <a:noFill/>
                        <a:ln w="19050" cap="flat" cmpd="sng" algn="ctr">
                          <a:solidFill>
                            <a:srgbClr val="FFFFFF"/>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margin-left:242.55pt;margin-top:48.8pt;height:0pt;width:73.65pt;z-index:251680768;mso-width-relative:page;mso-height-relative:page;" filled="f" stroked="t" coordsize="21600,21600" o:gfxdata="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U8gtrXAAAACQEAAA8AAAAAAAAAAQAgAAAAIgAAAGRycy9kb3ducmV2&#10;LnhtbFBLAQIUABQAAAAIAIdO4kB+hmJrNgIAAC8EAAAOAAAAAAAAAAEAIAAAACYBAABkcnMvZTJv&#10;RG9jLnhtbFBLBQYAAAAABgAGAFkBAADOBQAAAAA=&#10;">
                <v:fill on="f" focussize="0,0"/>
                <v:stroke weight="1.5pt" color="#FFFFFF" miterlimit="8" joinstyle="miter" endarrow="block"/>
                <v:imagedata o:title=""/>
                <o:lock v:ext="edit" aspectratio="f"/>
              </v:shape>
            </w:pict>
          </mc:Fallback>
        </mc:AlternateContent>
      </w:r>
      <w:r>
        <w:rPr>
          <w:rFonts w:hint="eastAsia" w:ascii="Times New Roman" w:hAnsi="Times New Roman" w:eastAsia="宋体" w:cs="Times New Roman"/>
          <w:b/>
          <w:bCs/>
          <w:caps w:val="0"/>
          <w:smallCaps w:val="0"/>
          <w:color w:val="auto"/>
          <w:spacing w:val="0"/>
          <w:w w:val="100"/>
          <w:kern w:val="21"/>
          <w:sz w:val="24"/>
          <w:szCs w:val="24"/>
          <w:highlight w:val="none"/>
          <w:lang w:eastAsia="zh-CN"/>
        </w:rPr>
        <w:drawing>
          <wp:inline distT="0" distB="0" distL="114300" distR="114300">
            <wp:extent cx="5269865" cy="4575175"/>
            <wp:effectExtent l="0" t="0" r="6985" b="15875"/>
            <wp:docPr id="54" name="图片 54" descr="套管水基100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套管水基100COD"/>
                    <pic:cNvPicPr>
                      <a:picLocks noChangeAspect="1"/>
                    </pic:cNvPicPr>
                  </pic:nvPicPr>
                  <pic:blipFill>
                    <a:blip r:embed="rId32"/>
                    <a:stretch>
                      <a:fillRect/>
                    </a:stretch>
                  </pic:blipFill>
                  <pic:spPr>
                    <a:xfrm>
                      <a:off x="0" y="0"/>
                      <a:ext cx="5269865" cy="4575175"/>
                    </a:xfrm>
                    <a:prstGeom prst="rect">
                      <a:avLst/>
                    </a:prstGeom>
                    <a:noFill/>
                    <a:ln>
                      <a:noFill/>
                    </a:ln>
                  </pic:spPr>
                </pic:pic>
              </a:graphicData>
            </a:graphic>
          </wp:inline>
        </w:drawing>
      </w:r>
    </w:p>
    <w:p>
      <w:pPr>
        <w:pageBreakBefore w:val="0"/>
        <w:widowControl/>
        <w:bidi w:val="0"/>
        <w:spacing w:line="360" w:lineRule="auto"/>
        <w:ind w:firstLine="0" w:firstLineChars="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图5</w:t>
      </w:r>
      <w:r>
        <w:rPr>
          <w:rFonts w:hint="default" w:ascii="Times New Roman" w:hAnsi="Times New Roman" w:cs="Times New Roman"/>
          <w:b/>
          <w:bCs/>
          <w:caps w:val="0"/>
          <w:smallCaps w:val="0"/>
          <w:color w:val="auto"/>
          <w:spacing w:val="0"/>
          <w:w w:val="100"/>
          <w:kern w:val="21"/>
          <w:sz w:val="24"/>
          <w:szCs w:val="24"/>
          <w:highlight w:val="none"/>
          <w:lang w:val="en-US" w:eastAsia="zh-CN"/>
        </w:rPr>
        <w:t>.3-</w:t>
      </w:r>
      <w:r>
        <w:rPr>
          <w:rFonts w:hint="eastAsia" w:ascii="Times New Roman" w:hAnsi="Times New Roman" w:cs="Times New Roman"/>
          <w:b/>
          <w:bCs/>
          <w:caps w:val="0"/>
          <w:smallCaps w:val="0"/>
          <w:color w:val="auto"/>
          <w:spacing w:val="0"/>
          <w:w w:val="100"/>
          <w:kern w:val="21"/>
          <w:sz w:val="24"/>
          <w:szCs w:val="24"/>
          <w:highlight w:val="none"/>
          <w:lang w:val="en-US" w:eastAsia="zh-CN"/>
        </w:rPr>
        <w:t>9</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val="en-US" w:eastAsia="zh-CN"/>
        </w:rPr>
        <w:t>水基泥浆</w:t>
      </w:r>
      <w:r>
        <w:rPr>
          <w:rFonts w:hint="default" w:ascii="Times New Roman" w:hAnsi="Times New Roman" w:cs="Times New Roman"/>
          <w:b/>
          <w:bCs/>
          <w:caps w:val="0"/>
          <w:smallCaps w:val="0"/>
          <w:color w:val="auto"/>
          <w:spacing w:val="0"/>
          <w:w w:val="100"/>
          <w:kern w:val="21"/>
          <w:sz w:val="24"/>
          <w:szCs w:val="24"/>
          <w:highlight w:val="none"/>
          <w:lang w:eastAsia="zh-CN"/>
        </w:rPr>
        <w:t>泄漏</w:t>
      </w:r>
      <w:r>
        <w:rPr>
          <w:rFonts w:hint="default" w:ascii="Times New Roman" w:hAnsi="Times New Roman" w:cs="Times New Roman"/>
          <w:b/>
          <w:bCs/>
          <w:caps w:val="0"/>
          <w:smallCaps w:val="0"/>
          <w:color w:val="auto"/>
          <w:spacing w:val="0"/>
          <w:w w:val="100"/>
          <w:kern w:val="21"/>
          <w:sz w:val="24"/>
          <w:szCs w:val="24"/>
          <w:highlight w:val="none"/>
        </w:rPr>
        <w:t>1</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0d</w:t>
      </w:r>
      <w:r>
        <w:rPr>
          <w:rFonts w:hint="default"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预测范围图</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根据预测结果可知，</w:t>
      </w:r>
      <w:r>
        <w:rPr>
          <w:rFonts w:hint="eastAsia" w:ascii="Times New Roman" w:hAnsi="Times New Roman" w:eastAsia="宋体" w:cs="Times New Roman"/>
          <w:color w:val="auto"/>
          <w:kern w:val="0"/>
          <w:sz w:val="28"/>
          <w:szCs w:val="28"/>
          <w:highlight w:val="none"/>
          <w:lang w:val="en-US" w:eastAsia="zh-CN" w:bidi="ar"/>
        </w:rPr>
        <w:t>水基泥浆泄露时，</w:t>
      </w:r>
      <w:r>
        <w:rPr>
          <w:rFonts w:hint="default" w:ascii="Times New Roman" w:hAnsi="Times New Roman" w:eastAsia="宋体" w:cs="Times New Roman"/>
          <w:color w:val="auto"/>
          <w:kern w:val="0"/>
          <w:sz w:val="28"/>
          <w:szCs w:val="28"/>
          <w:highlight w:val="none"/>
          <w:lang w:val="en-US" w:eastAsia="zh-CN" w:bidi="ar"/>
        </w:rPr>
        <w:t>预测时间100d时，</w:t>
      </w:r>
      <w:r>
        <w:rPr>
          <w:rFonts w:hint="eastAsia" w:ascii="Times New Roman" w:hAnsi="Times New Roman" w:eastAsia="宋体" w:cs="Times New Roman"/>
          <w:color w:val="auto"/>
          <w:kern w:val="0"/>
          <w:sz w:val="28"/>
          <w:szCs w:val="28"/>
          <w:highlight w:val="none"/>
          <w:lang w:val="en-US" w:eastAsia="zh-CN" w:bidi="ar"/>
        </w:rPr>
        <w:t>COD</w:t>
      </w:r>
      <w:r>
        <w:rPr>
          <w:rFonts w:hint="default" w:ascii="Times New Roman" w:hAnsi="Times New Roman" w:eastAsia="宋体" w:cs="Times New Roman"/>
          <w:color w:val="auto"/>
          <w:kern w:val="0"/>
          <w:sz w:val="28"/>
          <w:szCs w:val="28"/>
          <w:highlight w:val="none"/>
          <w:lang w:val="en-US" w:eastAsia="zh-CN" w:bidi="ar"/>
        </w:rPr>
        <w:t>下游最大浓度为：27</w:t>
      </w: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mg/l，超标距离最远为32.04m，预测范围内的超标面积为750m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，影响距离最远为下游37.04m，预测范围内的影响面积为950m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pageBreakBefore w:val="0"/>
        <w:widowControl/>
        <w:bidi w:val="0"/>
        <w:spacing w:line="360" w:lineRule="auto"/>
        <w:ind w:firstLine="482" w:firstLineChars="20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表</w:t>
      </w:r>
      <w:r>
        <w:rPr>
          <w:rFonts w:hint="default" w:ascii="Times New Roman" w:hAnsi="Times New Roman" w:cs="Times New Roman"/>
          <w:b/>
          <w:bCs/>
          <w:caps w:val="0"/>
          <w:smallCaps w:val="0"/>
          <w:color w:val="auto"/>
          <w:spacing w:val="0"/>
          <w:w w:val="100"/>
          <w:kern w:val="21"/>
          <w:sz w:val="24"/>
          <w:szCs w:val="24"/>
          <w:highlight w:val="none"/>
          <w:lang w:eastAsia="zh-CN"/>
        </w:rPr>
        <w:t>5.3</w:t>
      </w:r>
      <w:r>
        <w:rPr>
          <w:rFonts w:hint="default" w:ascii="Times New Roman" w:hAnsi="Times New Roman" w:cs="Times New Roman"/>
          <w:b/>
          <w:bCs/>
          <w:caps w:val="0"/>
          <w:smallCaps w:val="0"/>
          <w:color w:val="auto"/>
          <w:spacing w:val="0"/>
          <w:w w:val="100"/>
          <w:kern w:val="21"/>
          <w:sz w:val="24"/>
          <w:szCs w:val="24"/>
          <w:highlight w:val="none"/>
        </w:rPr>
        <w:t>-</w:t>
      </w:r>
      <w:r>
        <w:rPr>
          <w:rFonts w:hint="eastAsia" w:ascii="Times New Roman" w:hAnsi="Times New Roman" w:cs="Times New Roman"/>
          <w:b/>
          <w:bCs/>
          <w:caps w:val="0"/>
          <w:smallCaps w:val="0"/>
          <w:color w:val="auto"/>
          <w:spacing w:val="0"/>
          <w:w w:val="100"/>
          <w:kern w:val="21"/>
          <w:sz w:val="24"/>
          <w:szCs w:val="24"/>
          <w:highlight w:val="none"/>
          <w:lang w:val="en-US" w:eastAsia="zh-CN"/>
        </w:rPr>
        <w:t>13</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eastAsia="zh-CN"/>
        </w:rPr>
        <w:t>水基泥浆</w:t>
      </w:r>
      <w:r>
        <w:rPr>
          <w:rFonts w:hint="default" w:ascii="Times New Roman" w:hAnsi="Times New Roman" w:cs="Times New Roman"/>
          <w:b/>
          <w:bCs/>
          <w:caps w:val="0"/>
          <w:smallCaps w:val="0"/>
          <w:color w:val="auto"/>
          <w:spacing w:val="0"/>
          <w:w w:val="100"/>
          <w:kern w:val="21"/>
          <w:sz w:val="24"/>
          <w:szCs w:val="24"/>
          <w:highlight w:val="none"/>
        </w:rPr>
        <w:t>泄漏10</w:t>
      </w:r>
      <w:r>
        <w:rPr>
          <w:rFonts w:hint="eastAsia" w:ascii="Times New Roman" w:hAnsi="Times New Roman" w:cs="Times New Roman"/>
          <w:b/>
          <w:bCs/>
          <w:caps w:val="0"/>
          <w:smallCaps w:val="0"/>
          <w:color w:val="auto"/>
          <w:spacing w:val="0"/>
          <w:w w:val="100"/>
          <w:kern w:val="21"/>
          <w:sz w:val="24"/>
          <w:szCs w:val="24"/>
          <w:highlight w:val="none"/>
          <w:lang w:val="en-US" w:eastAsia="zh-CN"/>
        </w:rPr>
        <w:t>00</w:t>
      </w:r>
      <w:r>
        <w:rPr>
          <w:rFonts w:hint="default" w:ascii="Times New Roman" w:hAnsi="Times New Roman" w:cs="Times New Roman"/>
          <w:b/>
          <w:bCs/>
          <w:caps w:val="0"/>
          <w:smallCaps w:val="0"/>
          <w:color w:val="auto"/>
          <w:spacing w:val="0"/>
          <w:w w:val="100"/>
          <w:kern w:val="21"/>
          <w:sz w:val="24"/>
          <w:szCs w:val="24"/>
          <w:highlight w:val="none"/>
        </w:rPr>
        <w:t>d</w:t>
      </w:r>
      <w:r>
        <w:rPr>
          <w:rFonts w:hint="eastAsia"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预测结果表 单位：mg/L</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bottom w:val="single" w:color="auto" w:sz="6" w:space="0"/>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x轴</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y轴</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w:t>
            </w:r>
            <w:r>
              <w:rPr>
                <w:rFonts w:hint="default" w:ascii="Times New Roman" w:hAnsi="Times New Roman" w:cs="Times New Roman"/>
                <w:color w:val="auto"/>
                <w:sz w:val="24"/>
                <w:szCs w:val="24"/>
                <w:highlight w:val="none"/>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op w:val="single" w:color="auto" w:sz="6"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5.14E-03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5.31E-03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5.05E-03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4.38E-03</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3.80E-03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2.12E+01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2.19E+01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2.08E+01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1.81E+01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1.57E+01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2.59E+01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2.68E+01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2.54E+01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2.20E+01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1.92E+01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1.14E+01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1.17E+01</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1.11E+01</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9.66E+00</w:t>
            </w:r>
          </w:p>
        </w:tc>
        <w:tc>
          <w:tcPr>
            <w:tcW w:w="14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8.40E+00</w:t>
            </w:r>
          </w:p>
        </w:tc>
      </w:tr>
    </w:tbl>
    <w:p>
      <w:pPr>
        <w:pageBreakBefore w:val="0"/>
        <w:widowControl/>
        <w:bidi w:val="0"/>
        <w:spacing w:line="360" w:lineRule="auto"/>
        <w:ind w:firstLine="0" w:firstLineChars="0"/>
        <w:jc w:val="both"/>
        <w:rPr>
          <w:rFonts w:hint="default" w:ascii="Times New Roman" w:hAnsi="Times New Roman" w:cs="Times New Roman"/>
          <w:b/>
          <w:bCs/>
          <w:caps w:val="0"/>
          <w:smallCaps w:val="0"/>
          <w:color w:val="auto"/>
          <w:spacing w:val="0"/>
          <w:w w:val="100"/>
          <w:kern w:val="21"/>
          <w:sz w:val="24"/>
          <w:szCs w:val="24"/>
          <w:highlight w:val="none"/>
        </w:rPr>
      </w:pP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3400425</wp:posOffset>
                </wp:positionH>
                <wp:positionV relativeFrom="paragraph">
                  <wp:posOffset>855980</wp:posOffset>
                </wp:positionV>
                <wp:extent cx="673100" cy="3810"/>
                <wp:effectExtent l="0" t="37465" r="12700" b="34925"/>
                <wp:wrapNone/>
                <wp:docPr id="5" name="直接箭头连接符 5"/>
                <wp:cNvGraphicFramePr/>
                <a:graphic xmlns:a="http://schemas.openxmlformats.org/drawingml/2006/main">
                  <a:graphicData uri="http://schemas.microsoft.com/office/word/2010/wordprocessingShape">
                    <wps:wsp>
                      <wps:cNvCnPr/>
                      <wps:spPr>
                        <a:xfrm flipH="1" flipV="1">
                          <a:off x="4570730" y="1780540"/>
                          <a:ext cx="673100" cy="3810"/>
                        </a:xfrm>
                        <a:prstGeom prst="straightConnector1">
                          <a:avLst/>
                        </a:prstGeom>
                        <a:noFill/>
                        <a:ln w="19050" cap="flat" cmpd="sng" algn="ctr">
                          <a:solidFill>
                            <a:srgbClr val="FFFFFF"/>
                          </a:solidFill>
                          <a:prstDash val="solid"/>
                          <a:miter lim="800000"/>
                          <a:headEnd type="none"/>
                          <a:tailEnd type="triangle" w="med" len="med"/>
                        </a:ln>
                        <a:effectLst/>
                      </wps:spPr>
                      <wps:bodyPr/>
                    </wps:wsp>
                  </a:graphicData>
                </a:graphic>
              </wp:anchor>
            </w:drawing>
          </mc:Choice>
          <mc:Fallback>
            <w:pict>
              <v:shape id="_x0000_s1026" o:spid="_x0000_s1026" o:spt="32" type="#_x0000_t32" style="position:absolute;left:0pt;flip:x y;margin-left:267.75pt;margin-top:67.4pt;height:0.3pt;width:53pt;z-index:251662336;mso-width-relative:page;mso-height-relative:page;" filled="f" stroked="t" coordsize="21600,21600" o:gfxdata="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9bjAbYAAAACwEAAA8AAAAAAAAAAQAgAAAAIgAAAGRycy9k&#10;b3ducmV2LnhtbFBLAQIUABQAAAAIAIdO4kB+w8W0OwIAADwEAAAOAAAAAAAAAAEAIAAAACcBAABk&#10;cnMvZTJvRG9jLnhtbFBLBQYAAAAABgAGAFkBAADUBQAAAAA=&#10;">
                <v:fill on="f" focussize="0,0"/>
                <v:stroke weight="1.5pt" color="#FFFFFF" miterlimit="8" joinstyle="miter" endarrow="block"/>
                <v:imagedata o:title=""/>
                <o:lock v:ext="edit" aspectratio="f"/>
              </v:shape>
            </w:pict>
          </mc:Fallback>
        </mc:AlternateContent>
      </w: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3209925</wp:posOffset>
                </wp:positionH>
                <wp:positionV relativeFrom="paragraph">
                  <wp:posOffset>906780</wp:posOffset>
                </wp:positionV>
                <wp:extent cx="1079500" cy="285750"/>
                <wp:effectExtent l="0" t="0" r="0" b="0"/>
                <wp:wrapNone/>
                <wp:docPr id="6" name="文本框 6"/>
                <wp:cNvGraphicFramePr/>
                <a:graphic xmlns:a="http://schemas.openxmlformats.org/drawingml/2006/main">
                  <a:graphicData uri="http://schemas.microsoft.com/office/word/2010/wordprocessingShape">
                    <wps:wsp>
                      <wps:cNvSpPr txBox="1"/>
                      <wps:spPr>
                        <a:xfrm>
                          <a:off x="4259580" y="1929130"/>
                          <a:ext cx="1079500" cy="285750"/>
                        </a:xfrm>
                        <a:prstGeom prst="rect">
                          <a:avLst/>
                        </a:prstGeom>
                        <a:noFill/>
                        <a:ln w="6350">
                          <a:noFill/>
                        </a:ln>
                        <a:effectLst/>
                      </wps:spPr>
                      <wps:txb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75pt;margin-top:71.4pt;height:22.5pt;width:85pt;z-index:251663360;mso-width-relative:page;mso-height-relative:page;" filled="f" stroked="f" coordsize="21600,21600" o:gfxdata="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1rDhLaAAAACwEAAA8AAAAA&#10;AAAAAQAgAAAAIgAAAGRycy9kb3ducmV2LnhtbFBLAQIUABQAAAAIAIdO4kCA9asBSwIAAIAEAAAO&#10;AAAAAAAAAAEAIAAAACkBAABkcnMvZTJvRG9jLnhtbFBLBQYAAAAABgAGAFkBAADmBQAAAAA=&#10;">
                <v:fill on="f" focussize="0,0"/>
                <v:stroke on="f" weight="0.5pt"/>
                <v:imagedata o:title=""/>
                <o:lock v:ext="edit" aspectratio="f"/>
                <v:textbox>
                  <w:txbxContent>
                    <w:p>
                      <w:pPr>
                        <w:rPr>
                          <w:rFonts w:hint="eastAsia" w:ascii="黑体" w:hAnsi="黑体" w:eastAsia="黑体" w:cs="黑体"/>
                          <w:b/>
                          <w:bCs/>
                          <w:color w:val="FFFFFF"/>
                          <w:sz w:val="24"/>
                          <w:szCs w:val="24"/>
                          <w:lang w:val="en-US" w:eastAsia="zh-CN"/>
                        </w:rPr>
                      </w:pPr>
                      <w:r>
                        <w:rPr>
                          <w:rFonts w:hint="eastAsia" w:ascii="黑体" w:hAnsi="黑体" w:eastAsia="黑体" w:cs="黑体"/>
                          <w:b/>
                          <w:bCs/>
                          <w:color w:val="FFFFFF"/>
                          <w:sz w:val="24"/>
                          <w:szCs w:val="24"/>
                          <w:lang w:val="en-US" w:eastAsia="zh-CN"/>
                        </w:rPr>
                        <w:t>地下水流向</w:t>
                      </w:r>
                    </w:p>
                  </w:txbxContent>
                </v:textbox>
              </v:shape>
            </w:pict>
          </mc:Fallback>
        </mc:AlternateContent>
      </w:r>
      <w:r>
        <w:rPr>
          <w:rFonts w:hint="eastAsia" w:ascii="Times New Roman" w:hAnsi="Times New Roman" w:eastAsia="宋体" w:cs="Times New Roman"/>
          <w:b/>
          <w:bCs/>
          <w:caps w:val="0"/>
          <w:smallCaps w:val="0"/>
          <w:color w:val="auto"/>
          <w:spacing w:val="0"/>
          <w:w w:val="100"/>
          <w:kern w:val="21"/>
          <w:sz w:val="24"/>
          <w:szCs w:val="24"/>
          <w:highlight w:val="none"/>
          <w:lang w:eastAsia="zh-CN"/>
        </w:rPr>
        <w:drawing>
          <wp:inline distT="0" distB="0" distL="114300" distR="114300">
            <wp:extent cx="5267960" cy="4652010"/>
            <wp:effectExtent l="0" t="0" r="8890" b="15240"/>
            <wp:docPr id="55" name="图片 30" descr="套管水基1000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descr="套管水基1000COD"/>
                    <pic:cNvPicPr>
                      <a:picLocks noChangeAspect="1"/>
                    </pic:cNvPicPr>
                  </pic:nvPicPr>
                  <pic:blipFill>
                    <a:blip r:embed="rId34"/>
                    <a:stretch>
                      <a:fillRect/>
                    </a:stretch>
                  </pic:blipFill>
                  <pic:spPr>
                    <a:xfrm>
                      <a:off x="0" y="0"/>
                      <a:ext cx="5267960" cy="4652010"/>
                    </a:xfrm>
                    <a:prstGeom prst="rect">
                      <a:avLst/>
                    </a:prstGeom>
                    <a:noFill/>
                    <a:ln>
                      <a:noFill/>
                    </a:ln>
                  </pic:spPr>
                </pic:pic>
              </a:graphicData>
            </a:graphic>
          </wp:inline>
        </w:drawing>
      </w:r>
    </w:p>
    <w:p>
      <w:pPr>
        <w:pageBreakBefore w:val="0"/>
        <w:widowControl/>
        <w:bidi w:val="0"/>
        <w:spacing w:line="360" w:lineRule="auto"/>
        <w:ind w:firstLine="0" w:firstLineChars="0"/>
        <w:jc w:val="center"/>
        <w:rPr>
          <w:rFonts w:hint="default" w:ascii="Times New Roman" w:hAnsi="Times New Roman" w:cs="Times New Roman"/>
          <w:b/>
          <w:bCs/>
          <w:caps w:val="0"/>
          <w:smallCaps w:val="0"/>
          <w:color w:val="auto"/>
          <w:spacing w:val="0"/>
          <w:w w:val="100"/>
          <w:kern w:val="21"/>
          <w:sz w:val="24"/>
          <w:szCs w:val="24"/>
          <w:highlight w:val="none"/>
        </w:rPr>
      </w:pPr>
      <w:r>
        <w:rPr>
          <w:rFonts w:hint="default" w:ascii="Times New Roman" w:hAnsi="Times New Roman" w:cs="Times New Roman"/>
          <w:b/>
          <w:bCs/>
          <w:caps w:val="0"/>
          <w:smallCaps w:val="0"/>
          <w:color w:val="auto"/>
          <w:spacing w:val="0"/>
          <w:w w:val="100"/>
          <w:kern w:val="21"/>
          <w:sz w:val="24"/>
          <w:szCs w:val="24"/>
          <w:highlight w:val="none"/>
        </w:rPr>
        <w:t>图5</w:t>
      </w:r>
      <w:r>
        <w:rPr>
          <w:rFonts w:hint="default" w:ascii="Times New Roman" w:hAnsi="Times New Roman" w:cs="Times New Roman"/>
          <w:b/>
          <w:bCs/>
          <w:caps w:val="0"/>
          <w:smallCaps w:val="0"/>
          <w:color w:val="auto"/>
          <w:spacing w:val="0"/>
          <w:w w:val="100"/>
          <w:kern w:val="21"/>
          <w:sz w:val="24"/>
          <w:szCs w:val="24"/>
          <w:highlight w:val="none"/>
          <w:lang w:val="en-US" w:eastAsia="zh-CN"/>
        </w:rPr>
        <w:t>.3-</w:t>
      </w:r>
      <w:r>
        <w:rPr>
          <w:rFonts w:hint="eastAsia" w:ascii="Times New Roman" w:hAnsi="Times New Roman" w:cs="Times New Roman"/>
          <w:b/>
          <w:bCs/>
          <w:caps w:val="0"/>
          <w:smallCaps w:val="0"/>
          <w:color w:val="auto"/>
          <w:spacing w:val="0"/>
          <w:w w:val="100"/>
          <w:kern w:val="21"/>
          <w:sz w:val="24"/>
          <w:szCs w:val="24"/>
          <w:highlight w:val="none"/>
          <w:lang w:val="en-US" w:eastAsia="zh-CN"/>
        </w:rPr>
        <w:t>10</w:t>
      </w:r>
      <w:r>
        <w:rPr>
          <w:rFonts w:hint="default" w:ascii="Times New Roman" w:hAnsi="Times New Roman" w:cs="Times New Roman"/>
          <w:b/>
          <w:bCs/>
          <w:caps w:val="0"/>
          <w:smallCaps w:val="0"/>
          <w:color w:val="auto"/>
          <w:spacing w:val="0"/>
          <w:w w:val="100"/>
          <w:kern w:val="21"/>
          <w:sz w:val="24"/>
          <w:szCs w:val="24"/>
          <w:highlight w:val="none"/>
        </w:rPr>
        <w:t>套管连接点</w:t>
      </w:r>
      <w:r>
        <w:rPr>
          <w:rFonts w:hint="eastAsia" w:ascii="Times New Roman" w:hAnsi="Times New Roman" w:cs="Times New Roman"/>
          <w:b/>
          <w:bCs/>
          <w:caps w:val="0"/>
          <w:smallCaps w:val="0"/>
          <w:color w:val="auto"/>
          <w:spacing w:val="0"/>
          <w:w w:val="100"/>
          <w:kern w:val="21"/>
          <w:sz w:val="24"/>
          <w:szCs w:val="24"/>
          <w:highlight w:val="none"/>
          <w:lang w:val="en-US" w:eastAsia="zh-CN"/>
        </w:rPr>
        <w:t>水基泥浆</w:t>
      </w:r>
      <w:r>
        <w:rPr>
          <w:rFonts w:hint="default" w:ascii="Times New Roman" w:hAnsi="Times New Roman" w:cs="Times New Roman"/>
          <w:b/>
          <w:bCs/>
          <w:caps w:val="0"/>
          <w:smallCaps w:val="0"/>
          <w:color w:val="auto"/>
          <w:spacing w:val="0"/>
          <w:w w:val="100"/>
          <w:kern w:val="21"/>
          <w:sz w:val="24"/>
          <w:szCs w:val="24"/>
          <w:highlight w:val="none"/>
          <w:lang w:eastAsia="zh-CN"/>
        </w:rPr>
        <w:t>泄漏</w:t>
      </w:r>
      <w:r>
        <w:rPr>
          <w:rFonts w:hint="default" w:ascii="Times New Roman" w:hAnsi="Times New Roman" w:cs="Times New Roman"/>
          <w:b/>
          <w:bCs/>
          <w:caps w:val="0"/>
          <w:smallCaps w:val="0"/>
          <w:color w:val="auto"/>
          <w:spacing w:val="0"/>
          <w:w w:val="100"/>
          <w:kern w:val="21"/>
          <w:sz w:val="24"/>
          <w:szCs w:val="24"/>
          <w:highlight w:val="none"/>
        </w:rPr>
        <w:t>1</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0</w:t>
      </w:r>
      <w:r>
        <w:rPr>
          <w:rFonts w:hint="eastAsia" w:ascii="Times New Roman" w:hAnsi="Times New Roman" w:cs="Times New Roman"/>
          <w:b/>
          <w:bCs/>
          <w:caps w:val="0"/>
          <w:smallCaps w:val="0"/>
          <w:color w:val="auto"/>
          <w:spacing w:val="0"/>
          <w:w w:val="100"/>
          <w:kern w:val="21"/>
          <w:sz w:val="24"/>
          <w:szCs w:val="24"/>
          <w:highlight w:val="none"/>
          <w:lang w:val="en-US" w:eastAsia="zh-CN"/>
        </w:rPr>
        <w:t>0</w:t>
      </w:r>
      <w:r>
        <w:rPr>
          <w:rFonts w:hint="default" w:ascii="Times New Roman" w:hAnsi="Times New Roman" w:cs="Times New Roman"/>
          <w:b/>
          <w:bCs/>
          <w:caps w:val="0"/>
          <w:smallCaps w:val="0"/>
          <w:color w:val="auto"/>
          <w:spacing w:val="0"/>
          <w:w w:val="100"/>
          <w:kern w:val="21"/>
          <w:sz w:val="24"/>
          <w:szCs w:val="24"/>
          <w:highlight w:val="none"/>
        </w:rPr>
        <w:t>d</w:t>
      </w:r>
      <w:r>
        <w:rPr>
          <w:rFonts w:hint="default" w:ascii="Times New Roman" w:hAnsi="Times New Roman" w:cs="Times New Roman"/>
          <w:b/>
          <w:bCs/>
          <w:caps w:val="0"/>
          <w:smallCaps w:val="0"/>
          <w:color w:val="auto"/>
          <w:spacing w:val="0"/>
          <w:w w:val="100"/>
          <w:kern w:val="21"/>
          <w:sz w:val="24"/>
          <w:szCs w:val="24"/>
          <w:highlight w:val="none"/>
          <w:lang w:val="en-US" w:eastAsia="zh-CN"/>
        </w:rPr>
        <w:t>COD</w:t>
      </w:r>
      <w:r>
        <w:rPr>
          <w:rFonts w:hint="default" w:ascii="Times New Roman" w:hAnsi="Times New Roman" w:cs="Times New Roman"/>
          <w:b/>
          <w:bCs/>
          <w:caps w:val="0"/>
          <w:smallCaps w:val="0"/>
          <w:color w:val="auto"/>
          <w:spacing w:val="0"/>
          <w:w w:val="100"/>
          <w:kern w:val="21"/>
          <w:sz w:val="24"/>
          <w:szCs w:val="24"/>
          <w:highlight w:val="none"/>
        </w:rPr>
        <w:t>预测范围图</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根据预测结果可知，预测时间1000天时，</w:t>
      </w:r>
      <w:r>
        <w:rPr>
          <w:rFonts w:hint="eastAsia" w:ascii="Times New Roman" w:hAnsi="Times New Roman" w:eastAsia="宋体" w:cs="Times New Roman"/>
          <w:color w:val="auto"/>
          <w:kern w:val="0"/>
          <w:sz w:val="28"/>
          <w:szCs w:val="28"/>
          <w:highlight w:val="none"/>
          <w:lang w:val="en-US" w:eastAsia="zh-CN" w:bidi="ar"/>
        </w:rPr>
        <w:t>COD</w:t>
      </w:r>
      <w:r>
        <w:rPr>
          <w:rFonts w:hint="default" w:ascii="Times New Roman" w:hAnsi="Times New Roman" w:eastAsia="宋体" w:cs="Times New Roman"/>
          <w:color w:val="auto"/>
          <w:kern w:val="0"/>
          <w:sz w:val="28"/>
          <w:szCs w:val="28"/>
          <w:highlight w:val="none"/>
          <w:lang w:val="en-US" w:eastAsia="zh-CN" w:bidi="ar"/>
        </w:rPr>
        <w:t>下游最大浓度为：27mg/l，超标距离最远为77.4m，预测范围内的超标面积为2125m</w:t>
      </w:r>
      <w:r>
        <w:rPr>
          <w:rFonts w:hint="default" w:ascii="Times New Roman" w:hAnsi="Times New Roman" w:eastAsia="宋体" w:cs="Times New Roman"/>
          <w:color w:val="auto"/>
          <w:kern w:val="0"/>
          <w:sz w:val="28"/>
          <w:szCs w:val="28"/>
          <w:highlight w:val="none"/>
          <w:vertAlign w:val="super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，影响距离最远为下游100.4m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bookmarkStart w:id="147" w:name="_Toc15503_WPSOffice_Level2"/>
      <w:bookmarkStart w:id="148" w:name="_Toc13816"/>
      <w:r>
        <w:rPr>
          <w:rFonts w:hint="default" w:ascii="Times New Roman" w:hAnsi="Times New Roman" w:eastAsia="宋体" w:cs="Times New Roman"/>
          <w:color w:val="auto"/>
          <w:kern w:val="0"/>
          <w:sz w:val="28"/>
          <w:szCs w:val="28"/>
          <w:highlight w:val="none"/>
          <w:lang w:val="en-US" w:eastAsia="zh-CN" w:bidi="ar"/>
        </w:rPr>
        <w:t>5.3.3地下水环境预测影响评价结论</w:t>
      </w:r>
      <w:bookmarkEnd w:id="147"/>
      <w:bookmarkEnd w:id="148"/>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在正常</w:t>
      </w:r>
      <w:r>
        <w:rPr>
          <w:rFonts w:hint="eastAsia" w:ascii="Times New Roman" w:hAnsi="Times New Roman" w:eastAsia="宋体" w:cs="Times New Roman"/>
          <w:color w:val="auto"/>
          <w:kern w:val="0"/>
          <w:sz w:val="28"/>
          <w:szCs w:val="28"/>
          <w:highlight w:val="none"/>
          <w:lang w:val="en-US" w:eastAsia="zh-CN" w:bidi="ar"/>
        </w:rPr>
        <w:t>工况，</w:t>
      </w:r>
      <w:r>
        <w:rPr>
          <w:rFonts w:hint="default" w:ascii="Times New Roman" w:hAnsi="Times New Roman" w:eastAsia="宋体" w:cs="Times New Roman"/>
          <w:color w:val="auto"/>
          <w:kern w:val="0"/>
          <w:sz w:val="28"/>
          <w:szCs w:val="28"/>
          <w:highlight w:val="none"/>
          <w:lang w:val="en-US" w:eastAsia="zh-CN" w:bidi="ar"/>
        </w:rPr>
        <w:t>且各项环境保护措施落实到位情况下</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对地下水环境无影响，但在事故状态下可能对地下水环境造成影响，</w:t>
      </w:r>
      <w:r>
        <w:rPr>
          <w:rFonts w:hint="eastAsia" w:ascii="Times New Roman" w:hAnsi="Times New Roman" w:eastAsia="宋体" w:cs="Times New Roman"/>
          <w:color w:val="auto"/>
          <w:kern w:val="0"/>
          <w:sz w:val="28"/>
          <w:szCs w:val="28"/>
          <w:highlight w:val="none"/>
          <w:lang w:val="en-US" w:eastAsia="zh-CN" w:bidi="ar"/>
        </w:rPr>
        <w:t>本项目每座井场采取分区防渗措施，且加强固井质量，禁止出现气水穿层的现象，若发生泥浆槽或者套管发生破损，COD超标最远距离为18m，石油类最远距离为61m，套管发生泥浆泄露时，COD超标最远距离为77.4m，石油类最远距离为104m。</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距离本项目拟建的分散式引用水井为李珍窝棚水井，位于拟建井场上游方向，距离拟建肇深19-平3井西北侧276m；距离本项目拟建井场下游最近水井为三门董家水井，位于拟建肇深19-平3井西南侧610m，不会对下游地下水环境保护目标造成污染。</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在各项地下水污染防控措施及应急措施落实到位的情况下，</w:t>
      </w:r>
      <w:r>
        <w:rPr>
          <w:rFonts w:hint="eastAsia" w:ascii="Times New Roman" w:hAnsi="Times New Roman" w:eastAsia="宋体" w:cs="Times New Roman"/>
          <w:color w:val="auto"/>
          <w:kern w:val="0"/>
          <w:sz w:val="28"/>
          <w:szCs w:val="28"/>
          <w:highlight w:val="none"/>
          <w:lang w:val="en-US" w:eastAsia="zh-CN" w:bidi="ar"/>
        </w:rPr>
        <w:t>本项目施工对</w:t>
      </w:r>
      <w:r>
        <w:rPr>
          <w:rFonts w:hint="default" w:ascii="Times New Roman" w:hAnsi="Times New Roman" w:eastAsia="宋体" w:cs="Times New Roman"/>
          <w:color w:val="auto"/>
          <w:kern w:val="0"/>
          <w:sz w:val="28"/>
          <w:szCs w:val="28"/>
          <w:highlight w:val="none"/>
          <w:lang w:val="en-US" w:eastAsia="zh-CN" w:bidi="ar"/>
        </w:rPr>
        <w:t>地下水环境影响可接受</w:t>
      </w:r>
      <w:r>
        <w:rPr>
          <w:rFonts w:hint="eastAsia" w:ascii="Times New Roman" w:hAnsi="Times New Roman" w:eastAsia="宋体" w:cs="Times New Roman"/>
          <w:color w:val="auto"/>
          <w:kern w:val="0"/>
          <w:sz w:val="28"/>
          <w:szCs w:val="28"/>
          <w:highlight w:val="none"/>
          <w:lang w:val="en-US" w:eastAsia="zh-CN" w:bidi="ar"/>
        </w:rPr>
        <w:t>，建议建设单位定期地下水监测。</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49" w:name="_Toc7169"/>
      <w:bookmarkStart w:id="150" w:name="_Toc31420"/>
      <w:bookmarkStart w:id="151" w:name="_Toc1152"/>
      <w:bookmarkStart w:id="152" w:name="_Toc49175021"/>
      <w:bookmarkStart w:id="153" w:name="_Toc49174728"/>
      <w:bookmarkStart w:id="154" w:name="_Toc49174619"/>
      <w:bookmarkStart w:id="155" w:name="_Toc17508"/>
      <w:bookmarkStart w:id="156" w:name="_Toc49174409"/>
      <w:bookmarkStart w:id="157" w:name="_Toc16207"/>
      <w:bookmarkStart w:id="158" w:name="_Toc24963"/>
      <w:bookmarkStart w:id="159" w:name="_Toc49174846"/>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5.4声环境影响</w:t>
      </w:r>
      <w:bookmarkEnd w:id="149"/>
      <w:bookmarkEnd w:id="150"/>
      <w:bookmarkEnd w:id="151"/>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预测与评价</w:t>
      </w:r>
      <w:bookmarkEnd w:id="152"/>
      <w:bookmarkEnd w:id="153"/>
      <w:bookmarkEnd w:id="154"/>
      <w:bookmarkEnd w:id="155"/>
      <w:bookmarkEnd w:id="156"/>
      <w:bookmarkEnd w:id="157"/>
      <w:bookmarkEnd w:id="158"/>
      <w:bookmarkEnd w:id="159"/>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施工对噪声环境的影响中主要是由施工机械、车辆造成的，主要噪声源包括钻机、发电机等。</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）预测模式</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各施工阶段不同施工机械产生的噪声，各声源在某一时刻的传播可以按点声源分析其影响范围和影响程度，利用噪声衰减公式对各种施工机械产生的噪声衰减情况进行计算，根据计算结果，论述施工噪声对周围环境的影响，噪声衰减公式如下：</w:t>
      </w:r>
    </w:p>
    <w:p>
      <w:pPr>
        <w:pageBreakBefore w:val="0"/>
        <w:widowControl w:val="0"/>
        <w:bidi w:val="0"/>
        <w:spacing w:line="360" w:lineRule="auto"/>
        <w:ind w:firstLine="0" w:firstLineChars="0"/>
        <w:jc w:val="both"/>
        <w:rPr>
          <w:rFonts w:hint="default" w:ascii="Times New Roman" w:hAnsi="Times New Roman" w:eastAsia="宋体" w:cs="Times New Roman"/>
          <w:caps w:val="0"/>
          <w:smallCaps w:val="0"/>
          <w:color w:val="auto"/>
          <w:spacing w:val="0"/>
          <w:w w:val="100"/>
          <w:kern w:val="2"/>
          <w:sz w:val="28"/>
          <w:szCs w:val="28"/>
          <w:highlight w:val="none"/>
        </w:rPr>
      </w:pPr>
      <w:r>
        <w:rPr>
          <w:rFonts w:hint="default" w:ascii="Times New Roman" w:hAnsi="Times New Roman" w:eastAsia="宋体" w:cs="Times New Roman"/>
          <w:caps w:val="0"/>
          <w:smallCaps w:val="0"/>
          <w:color w:val="auto"/>
          <w:spacing w:val="0"/>
          <w:w w:val="100"/>
          <w:kern w:val="2"/>
          <w:sz w:val="28"/>
          <w:szCs w:val="28"/>
          <w:highlight w:val="none"/>
        </w:rPr>
        <w:object>
          <v:shape id="_x0000_i1058" o:spt="75" type="#_x0000_t75" style="height:36.75pt;width:114.7pt;" o:ole="t" filled="f" o:preferrelative="t" stroked="f" coordsize="21600,21600">
            <v:path/>
            <v:fill on="f" focussize="0,0"/>
            <v:stroke on="f" joinstyle="miter"/>
            <v:imagedata r:id="rId36" croptop="175f" o:title=""/>
            <o:lock v:ext="edit" aspectratio="t"/>
            <w10:wrap type="none"/>
            <w10:anchorlock/>
          </v:shape>
          <o:OLEObject Type="Embed" ProgID="Equation.3" ShapeID="_x0000_i1058" DrawAspect="Content" ObjectID="_1468075725" r:id="rId35">
            <o:LockedField>false</o:LockedField>
          </o:OLEObject>
        </w:objec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式中：L</w:t>
      </w:r>
      <w:r>
        <w:rPr>
          <w:rFonts w:hint="default" w:ascii="Times New Roman" w:hAnsi="Times New Roman" w:eastAsia="宋体" w:cs="Times New Roman"/>
          <w:color w:val="auto"/>
          <w:kern w:val="0"/>
          <w:sz w:val="28"/>
          <w:szCs w:val="28"/>
          <w:highlight w:val="none"/>
          <w:vertAlign w:val="subscript"/>
          <w:lang w:val="en-US" w:eastAsia="zh-CN" w:bidi="ar"/>
        </w:rPr>
        <w:t>PA</w:t>
      </w:r>
      <w:r>
        <w:rPr>
          <w:rFonts w:hint="default" w:ascii="Times New Roman" w:hAnsi="Times New Roman" w:eastAsia="宋体" w:cs="Times New Roman"/>
          <w:color w:val="auto"/>
          <w:kern w:val="0"/>
          <w:sz w:val="28"/>
          <w:szCs w:val="28"/>
          <w:highlight w:val="none"/>
          <w:lang w:val="en-US" w:eastAsia="zh-CN" w:bidi="ar"/>
        </w:rPr>
        <w:t>-预测点距声源A处的声压级，dB(A)；</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L</w:t>
      </w:r>
      <w:r>
        <w:rPr>
          <w:rFonts w:hint="default" w:ascii="Times New Roman" w:hAnsi="Times New Roman" w:eastAsia="宋体" w:cs="Times New Roman"/>
          <w:color w:val="auto"/>
          <w:kern w:val="0"/>
          <w:sz w:val="28"/>
          <w:szCs w:val="28"/>
          <w:highlight w:val="none"/>
          <w:vertAlign w:val="subscript"/>
          <w:lang w:val="en-US" w:eastAsia="zh-CN" w:bidi="ar"/>
        </w:rPr>
        <w:t>PB</w:t>
      </w:r>
      <w:r>
        <w:rPr>
          <w:rFonts w:hint="default" w:ascii="Times New Roman" w:hAnsi="Times New Roman" w:eastAsia="宋体" w:cs="Times New Roman"/>
          <w:color w:val="auto"/>
          <w:kern w:val="0"/>
          <w:sz w:val="28"/>
          <w:szCs w:val="28"/>
          <w:highlight w:val="none"/>
          <w:lang w:val="en-US" w:eastAsia="zh-CN" w:bidi="ar"/>
        </w:rPr>
        <w:t>-声源B处的声压级，dB(A)；</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ra-预测点距声源A处的距离，m；</w:t>
      </w:r>
    </w:p>
    <w:p>
      <w:pPr>
        <w:keepNext w:val="0"/>
        <w:keepLines w:val="0"/>
        <w:widowControl/>
        <w:suppressLineNumbers w:val="0"/>
        <w:ind w:firstLine="1400" w:firstLineChars="5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rb-测点距声源B处的距离，m；</w:t>
      </w:r>
    </w:p>
    <w:p>
      <w:pPr>
        <w:keepNext w:val="0"/>
        <w:keepLines w:val="0"/>
        <w:widowControl/>
        <w:suppressLineNumbers w:val="0"/>
        <w:ind w:firstLine="2240" w:firstLineChars="8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Ae-环境衰减值，dB(A)。</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Ae取值受地面吸收、空气温度、物体阻挡的屏蔽等环境因素影响。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②多声源理论叠加公式</w:t>
      </w:r>
    </w:p>
    <w:p>
      <w:pPr>
        <w:pageBreakBefore w:val="0"/>
        <w:widowControl w:val="0"/>
        <w:bidi w:val="0"/>
        <w:spacing w:line="360" w:lineRule="auto"/>
        <w:ind w:firstLine="482" w:firstLineChars="0"/>
        <w:jc w:val="both"/>
        <w:rPr>
          <w:rFonts w:hint="default" w:ascii="Times New Roman" w:hAnsi="Times New Roman" w:eastAsia="宋体" w:cs="Times New Roman"/>
          <w:caps w:val="0"/>
          <w:smallCaps w:val="0"/>
          <w:color w:val="auto"/>
          <w:spacing w:val="0"/>
          <w:w w:val="100"/>
          <w:kern w:val="2"/>
          <w:sz w:val="28"/>
          <w:szCs w:val="28"/>
          <w:highlight w:val="none"/>
        </w:rPr>
      </w:pPr>
      <w:r>
        <w:rPr>
          <w:rFonts w:hint="default" w:ascii="Times New Roman" w:hAnsi="Times New Roman" w:eastAsia="宋体" w:cs="Times New Roman"/>
          <w:caps w:val="0"/>
          <w:smallCaps w:val="0"/>
          <w:color w:val="auto"/>
          <w:spacing w:val="0"/>
          <w:w w:val="100"/>
          <w:kern w:val="2"/>
          <w:sz w:val="28"/>
          <w:szCs w:val="28"/>
          <w:highlight w:val="none"/>
        </w:rPr>
        <w:object>
          <v:shape id="_x0000_i1026" o:spt="75" type="#_x0000_t75" style="height:36.75pt;width:101.2pt;" o:ole="t" filled="f" o:preferrelative="t" stroked="f" coordsize="21600,21600">
            <v:path/>
            <v:fill on="f" focussize="0,0"/>
            <v:stroke on="f" joinstyle="miter"/>
            <v:imagedata r:id="rId38" o:title=""/>
            <o:lock v:ext="edit" aspectratio="t"/>
            <w10:wrap type="none"/>
            <w10:anchorlock/>
          </v:shape>
          <o:OLEObject Type="Embed" ProgID="Equation.3" ShapeID="_x0000_i1026" DrawAspect="Content" ObjectID="_1468075726" r:id="rId37">
            <o:LockedField>false</o:LockedField>
          </o:OLEObject>
        </w:object>
      </w:r>
    </w:p>
    <w:p>
      <w:pPr>
        <w:keepNext w:val="0"/>
        <w:keepLines w:val="0"/>
        <w:widowControl/>
        <w:suppressLineNumbers w:val="0"/>
        <w:ind w:firstLine="1120" w:firstLineChars="4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式中：LP-n个声源叠加后的总声源级，dB(A)；</w:t>
      </w:r>
    </w:p>
    <w:p>
      <w:pPr>
        <w:keepNext w:val="0"/>
        <w:keepLines w:val="0"/>
        <w:widowControl/>
        <w:suppressLineNumbers w:val="0"/>
        <w:ind w:firstLine="1960" w:firstLineChars="7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Li-第个声源对某点的声压级，dB(A)；</w:t>
      </w:r>
    </w:p>
    <w:p>
      <w:pPr>
        <w:keepNext w:val="0"/>
        <w:keepLines w:val="0"/>
        <w:widowControl/>
        <w:suppressLineNumbers w:val="0"/>
        <w:ind w:firstLine="1960" w:firstLineChars="7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n-声源个数。</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对于多台施工机械对某个预测点的影响，应进行声级迭加。</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（2）预测结果</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根据噪声源情况和预测模式，参照《环境噪声与振动控制工程技术导则》（HJ 2034-2013）中表A.2常见施工设备噪声源不同距离声压级，本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施工机械噪声预测结果见下表。</w:t>
      </w:r>
    </w:p>
    <w:p>
      <w:pPr>
        <w:keepNext w:val="0"/>
        <w:keepLines w:val="0"/>
        <w:widowControl/>
        <w:suppressLineNumbers w:val="0"/>
        <w:ind w:firstLine="482" w:firstLineChars="200"/>
        <w:jc w:val="center"/>
        <w:rPr>
          <w:rStyle w:val="48"/>
          <w:rFonts w:hint="default" w:ascii="Times New Roman" w:hAnsi="Times New Roman" w:cs="Times New Roman"/>
          <w:b/>
          <w:bCs/>
          <w:caps w:val="0"/>
          <w:smallCaps w:val="0"/>
          <w:color w:val="auto"/>
          <w:spacing w:val="0"/>
          <w:w w:val="100"/>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5.4-1</w:t>
      </w:r>
      <w:r>
        <w:rPr>
          <w:rFonts w:hint="eastAsia" w:ascii="Times New Roman" w:hAnsi="Times New Roman" w:eastAsia="宋体" w:cs="Times New Roman"/>
          <w:b/>
          <w:bCs/>
          <w:color w:val="auto"/>
          <w:kern w:val="0"/>
          <w:sz w:val="24"/>
          <w:szCs w:val="24"/>
          <w:highlight w:val="none"/>
          <w:lang w:val="en-US" w:eastAsia="zh-CN" w:bidi="ar"/>
        </w:rPr>
        <w:t>施工期施工机械噪声统计表 单位：</w:t>
      </w:r>
      <w:r>
        <w:rPr>
          <w:rFonts w:hint="default" w:ascii="Times New Roman" w:hAnsi="Times New Roman" w:eastAsia="宋体" w:cs="Times New Roman"/>
          <w:b/>
          <w:bCs/>
          <w:color w:val="auto"/>
          <w:kern w:val="0"/>
          <w:sz w:val="24"/>
          <w:szCs w:val="24"/>
          <w:highlight w:val="none"/>
          <w:lang w:val="en-US" w:eastAsia="zh-CN" w:bidi="ar"/>
        </w:rPr>
        <w:t>dB</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A</w:t>
      </w:r>
      <w:r>
        <w:rPr>
          <w:rFonts w:hint="eastAsia" w:ascii="Times New Roman" w:hAnsi="Times New Roman" w:eastAsia="宋体" w:cs="Times New Roman"/>
          <w:b/>
          <w:bCs/>
          <w:color w:val="auto"/>
          <w:kern w:val="0"/>
          <w:sz w:val="24"/>
          <w:szCs w:val="24"/>
          <w:highlight w:val="none"/>
          <w:lang w:val="en-US" w:eastAsia="zh-CN" w:bidi="ar"/>
        </w:rPr>
        <w:t>）</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4"/>
        <w:gridCol w:w="1064"/>
        <w:gridCol w:w="1064"/>
        <w:gridCol w:w="1064"/>
        <w:gridCol w:w="1065"/>
        <w:gridCol w:w="1065"/>
        <w:gridCol w:w="1065"/>
        <w:gridCol w:w="1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064"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设备名称</w:t>
            </w:r>
          </w:p>
        </w:tc>
        <w:tc>
          <w:tcPr>
            <w:tcW w:w="7452" w:type="dxa"/>
            <w:gridSpan w:val="7"/>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离施工点不同距离处的噪声值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10m</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20m</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40m</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60m</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80m</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150m</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tabs>
                <w:tab w:val="left" w:pos="352"/>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柴油发电机</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83</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77</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63</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53</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钻机</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68</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62</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55</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48</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38</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泥浆泵</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63</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57</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43</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振动筛</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63</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57</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43</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挖掘机</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63</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57</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43</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推土机</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70</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64</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57</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47</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轮式装载机</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70</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64</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57</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47</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压裂</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设备</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83</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77</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63</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53</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放喷</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测试</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74</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68</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64.4</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61.9</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56.5</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运输</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车辆</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58</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52</w:t>
            </w:r>
          </w:p>
        </w:tc>
        <w:tc>
          <w:tcPr>
            <w:tcW w:w="10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38</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55</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30</w:t>
            </w:r>
          </w:p>
        </w:tc>
        <w:tc>
          <w:tcPr>
            <w:tcW w:w="10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w:t>
            </w:r>
          </w:p>
        </w:tc>
      </w:tr>
    </w:tbl>
    <w:p>
      <w:pPr>
        <w:keepNext w:val="0"/>
        <w:keepLines w:val="0"/>
        <w:widowControl/>
        <w:suppressLineNumbers w:val="0"/>
        <w:jc w:val="left"/>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drawing>
          <wp:inline distT="0" distB="0" distL="114300" distR="114300">
            <wp:extent cx="5266690" cy="4368800"/>
            <wp:effectExtent l="0" t="0" r="10160" b="12700"/>
            <wp:docPr id="56" name="图片 37" descr="井场造成等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7" descr="井场造成等线图"/>
                    <pic:cNvPicPr>
                      <a:picLocks noChangeAspect="1"/>
                    </pic:cNvPicPr>
                  </pic:nvPicPr>
                  <pic:blipFill>
                    <a:blip r:embed="rId39"/>
                    <a:stretch>
                      <a:fillRect/>
                    </a:stretch>
                  </pic:blipFill>
                  <pic:spPr>
                    <a:xfrm>
                      <a:off x="0" y="0"/>
                      <a:ext cx="5266690" cy="4368800"/>
                    </a:xfrm>
                    <a:prstGeom prst="rect">
                      <a:avLst/>
                    </a:prstGeom>
                    <a:noFill/>
                    <a:ln>
                      <a:noFill/>
                    </a:ln>
                  </pic:spPr>
                </pic:pic>
              </a:graphicData>
            </a:graphic>
          </wp:inline>
        </w:drawing>
      </w:r>
    </w:p>
    <w:p>
      <w:pPr>
        <w:pageBreakBefore w:val="0"/>
        <w:widowControl/>
        <w:bidi w:val="0"/>
        <w:spacing w:line="360" w:lineRule="auto"/>
        <w:ind w:firstLine="0" w:firstLineChars="0"/>
        <w:jc w:val="center"/>
        <w:rPr>
          <w:rFonts w:hint="eastAsia"/>
          <w:color w:val="auto"/>
          <w:highlight w:val="none"/>
          <w:lang w:val="en-US" w:eastAsia="zh-CN"/>
        </w:rPr>
      </w:pPr>
      <w:r>
        <w:rPr>
          <w:rFonts w:hint="default" w:ascii="Times New Roman" w:hAnsi="Times New Roman" w:cs="Times New Roman"/>
          <w:b/>
          <w:bCs/>
          <w:caps w:val="0"/>
          <w:smallCaps w:val="0"/>
          <w:color w:val="auto"/>
          <w:spacing w:val="0"/>
          <w:w w:val="100"/>
          <w:kern w:val="21"/>
          <w:sz w:val="24"/>
          <w:szCs w:val="24"/>
          <w:highlight w:val="none"/>
        </w:rPr>
        <w:t>图5</w:t>
      </w:r>
      <w:r>
        <w:rPr>
          <w:rFonts w:hint="default" w:ascii="Times New Roman" w:hAnsi="Times New Roman" w:cs="Times New Roman"/>
          <w:b/>
          <w:bCs/>
          <w:caps w:val="0"/>
          <w:smallCaps w:val="0"/>
          <w:color w:val="auto"/>
          <w:spacing w:val="0"/>
          <w:w w:val="100"/>
          <w:kern w:val="21"/>
          <w:sz w:val="24"/>
          <w:szCs w:val="24"/>
          <w:highlight w:val="none"/>
          <w:lang w:val="en-US" w:eastAsia="zh-CN"/>
        </w:rPr>
        <w:t>.3-</w:t>
      </w:r>
      <w:r>
        <w:rPr>
          <w:rFonts w:hint="eastAsia" w:ascii="Times New Roman" w:hAnsi="Times New Roman" w:cs="Times New Roman"/>
          <w:b/>
          <w:bCs/>
          <w:caps w:val="0"/>
          <w:smallCaps w:val="0"/>
          <w:color w:val="auto"/>
          <w:spacing w:val="0"/>
          <w:w w:val="100"/>
          <w:kern w:val="21"/>
          <w:sz w:val="24"/>
          <w:szCs w:val="24"/>
          <w:highlight w:val="none"/>
          <w:lang w:val="en-US" w:eastAsia="zh-CN"/>
        </w:rPr>
        <w:t>11井场施工噪声</w:t>
      </w:r>
      <w:r>
        <w:rPr>
          <w:rFonts w:hint="default" w:ascii="Times New Roman" w:hAnsi="Times New Roman" w:cs="Times New Roman"/>
          <w:b/>
          <w:bCs/>
          <w:caps w:val="0"/>
          <w:smallCaps w:val="0"/>
          <w:color w:val="auto"/>
          <w:spacing w:val="0"/>
          <w:w w:val="100"/>
          <w:kern w:val="21"/>
          <w:sz w:val="24"/>
          <w:szCs w:val="24"/>
          <w:highlight w:val="none"/>
        </w:rPr>
        <w:t>预测图</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）声环境影响分析</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由上表及预测图可以看出，在施工场界外50m处，施工噪声能够达到《建筑施工场界环境噪声排放标准》（</w:t>
      </w:r>
      <w:r>
        <w:rPr>
          <w:rFonts w:hint="default" w:ascii="Times New Roman" w:hAnsi="Times New Roman" w:eastAsia="宋体" w:cs="Times New Roman"/>
          <w:color w:val="auto"/>
          <w:kern w:val="0"/>
          <w:sz w:val="28"/>
          <w:szCs w:val="28"/>
          <w:highlight w:val="none"/>
          <w:lang w:val="en-US" w:eastAsia="zh-CN" w:bidi="ar"/>
        </w:rPr>
        <w:t>GB12523-2011</w:t>
      </w:r>
      <w:r>
        <w:rPr>
          <w:rFonts w:hint="eastAsia" w:ascii="Times New Roman" w:hAnsi="Times New Roman" w:eastAsia="宋体" w:cs="Times New Roman"/>
          <w:color w:val="auto"/>
          <w:kern w:val="0"/>
          <w:sz w:val="28"/>
          <w:szCs w:val="28"/>
          <w:highlight w:val="none"/>
          <w:lang w:val="en-US" w:eastAsia="zh-CN" w:bidi="ar"/>
        </w:rPr>
        <w:t>）中昼间不超过</w:t>
      </w:r>
      <w:r>
        <w:rPr>
          <w:rFonts w:hint="default" w:ascii="Times New Roman" w:hAnsi="Times New Roman" w:eastAsia="宋体" w:cs="Times New Roman"/>
          <w:color w:val="auto"/>
          <w:kern w:val="0"/>
          <w:sz w:val="28"/>
          <w:szCs w:val="28"/>
          <w:highlight w:val="none"/>
          <w:lang w:val="en-US" w:eastAsia="zh-CN" w:bidi="ar"/>
        </w:rPr>
        <w:t>70dB(A)</w:t>
      </w:r>
      <w:r>
        <w:rPr>
          <w:rFonts w:hint="eastAsia" w:ascii="Times New Roman" w:hAnsi="Times New Roman" w:eastAsia="宋体" w:cs="Times New Roman"/>
          <w:color w:val="auto"/>
          <w:kern w:val="0"/>
          <w:sz w:val="28"/>
          <w:szCs w:val="28"/>
          <w:highlight w:val="none"/>
          <w:lang w:val="en-US" w:eastAsia="zh-CN" w:bidi="ar"/>
        </w:rPr>
        <w:t>的要求，夜间不超过</w:t>
      </w:r>
      <w:r>
        <w:rPr>
          <w:rFonts w:hint="default" w:ascii="Times New Roman" w:hAnsi="Times New Roman" w:eastAsia="宋体" w:cs="Times New Roman"/>
          <w:color w:val="auto"/>
          <w:kern w:val="0"/>
          <w:sz w:val="28"/>
          <w:szCs w:val="28"/>
          <w:highlight w:val="none"/>
          <w:lang w:val="en-US" w:eastAsia="zh-CN" w:bidi="ar"/>
        </w:rPr>
        <w:t>55dB(A)</w:t>
      </w:r>
      <w:r>
        <w:rPr>
          <w:rFonts w:hint="eastAsia" w:ascii="Times New Roman" w:hAnsi="Times New Roman" w:eastAsia="宋体" w:cs="Times New Roman"/>
          <w:color w:val="auto"/>
          <w:kern w:val="0"/>
          <w:sz w:val="28"/>
          <w:szCs w:val="28"/>
          <w:highlight w:val="none"/>
          <w:lang w:val="en-US" w:eastAsia="zh-CN" w:bidi="ar"/>
        </w:rPr>
        <w:t>的要求。本项目距最近声环境保护目标李珍窝棚276m，钻井和压裂试气期间施工噪声对周围声环境保护目标影响很小。</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根据《钻前工程及井场布置技术要求》（SY/T5466-2013），气井井口距民宅不小于100m。因此，气井在钻井过程中，对周围敏感点噪声影响有限。</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（4）结论</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本项目建设施工噪声对周围环境的影响是可以接受的，在采取适当的降噪措施后，工程施工期场界噪声可以满足《建筑施工场界环境噪声排放标准》（</w:t>
      </w:r>
      <w:r>
        <w:rPr>
          <w:rFonts w:hint="default" w:ascii="Times New Roman" w:hAnsi="Times New Roman" w:eastAsia="宋体" w:cs="Times New Roman"/>
          <w:color w:val="auto"/>
          <w:kern w:val="0"/>
          <w:sz w:val="28"/>
          <w:szCs w:val="28"/>
          <w:highlight w:val="none"/>
          <w:lang w:val="en-US" w:eastAsia="zh-CN" w:bidi="ar"/>
        </w:rPr>
        <w:t>GB12523-2011</w:t>
      </w:r>
      <w:r>
        <w:rPr>
          <w:rFonts w:hint="eastAsia" w:ascii="Times New Roman" w:hAnsi="Times New Roman" w:eastAsia="宋体" w:cs="Times New Roman"/>
          <w:color w:val="auto"/>
          <w:kern w:val="0"/>
          <w:sz w:val="28"/>
          <w:szCs w:val="28"/>
          <w:highlight w:val="none"/>
          <w:lang w:val="en-US" w:eastAsia="zh-CN" w:bidi="ar"/>
        </w:rPr>
        <w:t>）标准的要求，对区域声环境影响不大。</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60" w:name="_Toc11880"/>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5.5</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固体废物环境影响分析</w:t>
      </w:r>
      <w:bookmarkEnd w:id="160"/>
    </w:p>
    <w:p>
      <w:pPr>
        <w:keepNext w:val="0"/>
        <w:keepLines w:val="0"/>
        <w:widowControl/>
        <w:suppressLineNumbers w:val="0"/>
        <w:jc w:val="left"/>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5.5.1</w:t>
      </w:r>
      <w:r>
        <w:rPr>
          <w:rFonts w:hint="eastAsia" w:ascii="Times New Roman" w:hAnsi="Times New Roman" w:eastAsia="宋体" w:cs="Times New Roman"/>
          <w:color w:val="auto"/>
          <w:kern w:val="0"/>
          <w:sz w:val="28"/>
          <w:szCs w:val="28"/>
          <w:highlight w:val="none"/>
          <w:lang w:val="en-US" w:eastAsia="zh-CN" w:bidi="ar"/>
        </w:rPr>
        <w:t>一般固体废物</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（1）废钻井液、岩屑、废射孔液的处理</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本项目产生的废钻井液、岩屑、废射孔液在施工过程中不落地，暂存于井场内钢制泥浆槽中，随产随清。水基岩屑、废弃水基钻井液及废射孔液由罐车密闭拉运到黑龙江</w:t>
      </w:r>
      <w:r>
        <w:rPr>
          <w:rFonts w:hint="default" w:ascii="Times New Roman" w:hAnsi="Times New Roman" w:eastAsia="宋体" w:cs="Times New Roman"/>
          <w:color w:val="auto"/>
          <w:kern w:val="0"/>
          <w:sz w:val="28"/>
          <w:szCs w:val="28"/>
          <w:highlight w:val="none"/>
          <w:lang w:val="en-US" w:eastAsia="zh-CN" w:bidi="ar"/>
        </w:rPr>
        <w:t>龙之润五厂处理站</w:t>
      </w:r>
      <w:r>
        <w:rPr>
          <w:rFonts w:hint="eastAsia" w:ascii="Times New Roman" w:hAnsi="Times New Roman" w:eastAsia="宋体" w:cs="Times New Roman"/>
          <w:color w:val="auto"/>
          <w:kern w:val="0"/>
          <w:sz w:val="28"/>
          <w:szCs w:val="28"/>
          <w:highlight w:val="none"/>
          <w:lang w:val="en-US" w:eastAsia="zh-CN" w:bidi="ar"/>
        </w:rPr>
        <w:t>处理进行处理，水基岩屑产生量222m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，废弃水基钻井液879t，废射孔液产生量为108m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油基岩屑、废弃油基钻井液由罐车拉运至大庆市云泰石化产品有限公司建设的废弃泥浆无害化处理油基泥浆站处理。油基岩屑产生量为81m3，废弃油基钻井液4484t。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处理后废渣满足</w:t>
      </w:r>
      <w:r>
        <w:rPr>
          <w:rFonts w:hint="default" w:ascii="Times New Roman" w:hAnsi="Times New Roman" w:eastAsia="宋体" w:cs="Times New Roman"/>
          <w:color w:val="auto"/>
          <w:kern w:val="0"/>
          <w:sz w:val="28"/>
          <w:szCs w:val="28"/>
          <w:highlight w:val="none"/>
          <w:lang w:val="en-US" w:eastAsia="zh-CN" w:bidi="ar"/>
        </w:rPr>
        <w:t>饼满足《废弃钻井液处理规范》（DB23/T693-2000）和《一般工业固体废物贮存和填埋污染控制标准》（GB18599-2020）</w:t>
      </w:r>
      <w:r>
        <w:rPr>
          <w:rFonts w:hint="eastAsia" w:ascii="Times New Roman" w:hAnsi="Times New Roman" w:eastAsia="宋体" w:cs="Times New Roman"/>
          <w:color w:val="auto"/>
          <w:kern w:val="0"/>
          <w:sz w:val="28"/>
          <w:szCs w:val="28"/>
          <w:highlight w:val="none"/>
          <w:lang w:val="en-US" w:eastAsia="zh-CN" w:bidi="ar"/>
        </w:rPr>
        <w:t>中第Ⅰ类一般工业固体废物标准要求</w:t>
      </w:r>
      <w:r>
        <w:rPr>
          <w:rFonts w:hint="default" w:ascii="Times New Roman" w:hAnsi="Times New Roman" w:eastAsia="宋体" w:cs="Times New Roman"/>
          <w:color w:val="auto"/>
          <w:kern w:val="0"/>
          <w:sz w:val="28"/>
          <w:szCs w:val="28"/>
          <w:highlight w:val="none"/>
          <w:lang w:val="en-US" w:eastAsia="zh-CN" w:bidi="ar"/>
        </w:rPr>
        <w:t>，由油田统一调配用于井场平整及道路建设等综合利用。</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（2）一般废弃包装袋和一般废弃防渗布</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本项目共产生一般废弃防渗布</w:t>
      </w:r>
      <w:r>
        <w:rPr>
          <w:rFonts w:hint="default" w:ascii="Times New Roman" w:hAnsi="Times New Roman" w:eastAsia="宋体" w:cs="Times New Roman"/>
          <w:color w:val="auto"/>
          <w:kern w:val="0"/>
          <w:sz w:val="28"/>
          <w:szCs w:val="28"/>
          <w:highlight w:val="none"/>
          <w:lang w:val="en-US" w:eastAsia="zh-CN" w:bidi="ar"/>
        </w:rPr>
        <w:t>0.</w:t>
      </w:r>
      <w:r>
        <w:rPr>
          <w:rFonts w:hint="eastAsia" w:ascii="Times New Roman" w:hAnsi="Times New Roman" w:eastAsia="宋体" w:cs="Times New Roman"/>
          <w:color w:val="auto"/>
          <w:kern w:val="0"/>
          <w:sz w:val="28"/>
          <w:szCs w:val="28"/>
          <w:highlight w:val="none"/>
          <w:lang w:val="en-US" w:eastAsia="zh-CN" w:bidi="ar"/>
        </w:rPr>
        <w:t>025</w:t>
      </w:r>
      <w:r>
        <w:rPr>
          <w:rFonts w:hint="default" w:ascii="Times New Roman" w:hAnsi="Times New Roman" w:eastAsia="宋体" w:cs="Times New Roman"/>
          <w:color w:val="auto"/>
          <w:kern w:val="0"/>
          <w:sz w:val="28"/>
          <w:szCs w:val="28"/>
          <w:highlight w:val="none"/>
          <w:lang w:val="en-US" w:eastAsia="zh-CN" w:bidi="ar"/>
        </w:rPr>
        <w:t>t</w:t>
      </w:r>
      <w:r>
        <w:rPr>
          <w:rFonts w:hint="eastAsia" w:ascii="Times New Roman" w:hAnsi="Times New Roman" w:eastAsia="宋体" w:cs="Times New Roman"/>
          <w:color w:val="auto"/>
          <w:kern w:val="0"/>
          <w:sz w:val="28"/>
          <w:szCs w:val="28"/>
          <w:highlight w:val="none"/>
          <w:lang w:val="en-US" w:eastAsia="zh-CN" w:bidi="ar"/>
        </w:rPr>
        <w:t>。一般废弃包装袋产生量为</w:t>
      </w:r>
      <w:r>
        <w:rPr>
          <w:rFonts w:hint="default" w:ascii="Times New Roman" w:hAnsi="Times New Roman" w:eastAsia="宋体" w:cs="Times New Roman"/>
          <w:color w:val="auto"/>
          <w:kern w:val="0"/>
          <w:sz w:val="28"/>
          <w:szCs w:val="28"/>
          <w:highlight w:val="none"/>
          <w:lang w:val="en-US" w:eastAsia="zh-CN" w:bidi="ar"/>
        </w:rPr>
        <w:t>0.</w:t>
      </w:r>
      <w:r>
        <w:rPr>
          <w:rFonts w:hint="eastAsia" w:ascii="Times New Roman" w:hAnsi="Times New Roman" w:eastAsia="宋体" w:cs="Times New Roman"/>
          <w:color w:val="auto"/>
          <w:kern w:val="0"/>
          <w:sz w:val="28"/>
          <w:szCs w:val="28"/>
          <w:highlight w:val="none"/>
          <w:lang w:val="en-US" w:eastAsia="zh-CN" w:bidi="ar"/>
        </w:rPr>
        <w:t>45</w:t>
      </w:r>
      <w:r>
        <w:rPr>
          <w:rFonts w:hint="default" w:ascii="Times New Roman" w:hAnsi="Times New Roman" w:eastAsia="宋体" w:cs="Times New Roman"/>
          <w:color w:val="auto"/>
          <w:kern w:val="0"/>
          <w:sz w:val="28"/>
          <w:szCs w:val="28"/>
          <w:highlight w:val="none"/>
          <w:lang w:val="en-US" w:eastAsia="zh-CN" w:bidi="ar"/>
        </w:rPr>
        <w:t>t</w:t>
      </w:r>
      <w:r>
        <w:rPr>
          <w:rFonts w:hint="eastAsia" w:ascii="Times New Roman" w:hAnsi="Times New Roman" w:eastAsia="宋体" w:cs="Times New Roman"/>
          <w:color w:val="auto"/>
          <w:kern w:val="0"/>
          <w:sz w:val="28"/>
          <w:szCs w:val="28"/>
          <w:highlight w:val="none"/>
          <w:lang w:val="en-US" w:eastAsia="zh-CN" w:bidi="ar"/>
        </w:rPr>
        <w:t>，主要为纯碱、重晶石粉及膨润土等原料包装袋，统一收集后与废弃防渗布送至大庆市岗源环保科技有限责任公司工业废弃物处置中心处置。</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5.5.</w:t>
      </w:r>
      <w:r>
        <w:rPr>
          <w:rFonts w:hint="eastAsia" w:ascii="Times New Roman" w:hAnsi="Times New Roman" w:eastAsia="宋体" w:cs="Times New Roman"/>
          <w:color w:val="auto"/>
          <w:kern w:val="0"/>
          <w:sz w:val="28"/>
          <w:szCs w:val="28"/>
          <w:highlight w:val="none"/>
          <w:lang w:val="en-US" w:eastAsia="zh-CN" w:bidi="ar"/>
        </w:rPr>
        <w:t>2危险废物</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本项目产生的危险废物为废弃过硫酸钾和氢氧化钾包装袋及含油废弃防渗布，危险废弃包装袋产生量共0.131t，属于</w:t>
      </w:r>
      <w:r>
        <w:rPr>
          <w:rFonts w:hint="default" w:ascii="Times New Roman" w:hAnsi="Times New Roman" w:eastAsia="宋体" w:cs="Times New Roman"/>
          <w:color w:val="auto"/>
          <w:kern w:val="0"/>
          <w:sz w:val="28"/>
          <w:szCs w:val="28"/>
          <w:highlight w:val="none"/>
          <w:lang w:val="en-US" w:eastAsia="zh-CN" w:bidi="ar"/>
        </w:rPr>
        <w:t>危险废物，危险废物类别为HW49其他废物，危险废物代码为900-041-49，应集中收集，均暂存于钻井液材料房专用钢制桶内，施工结束后统一委托有资质的单位进行处置。</w:t>
      </w:r>
    </w:p>
    <w:p>
      <w:pPr>
        <w:pStyle w:val="2"/>
        <w:rPr>
          <w:rFonts w:hint="default"/>
          <w:color w:val="auto"/>
          <w:highlight w:val="none"/>
          <w:lang w:val="en-US" w:eastAsia="zh-CN"/>
        </w:rPr>
      </w:pPr>
      <w:r>
        <w:rPr>
          <w:rFonts w:hint="eastAsia" w:ascii="Times New Roman" w:hAnsi="Times New Roman" w:eastAsia="宋体" w:cs="Times New Roman"/>
          <w:color w:val="auto"/>
          <w:kern w:val="0"/>
          <w:sz w:val="28"/>
          <w:szCs w:val="28"/>
          <w:highlight w:val="none"/>
          <w:lang w:val="en-US" w:eastAsia="zh-CN" w:bidi="ar"/>
        </w:rPr>
        <w:t>含油废弃防渗布产生量为0.05t，废物类别为：HW08废矿物油与含矿物油废物，废物代码为：900-249-08。施工结束后，设备搬离井场时产生，直接暂存于指定容器中，交由有资质单位处置。</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5.5.</w:t>
      </w:r>
      <w:r>
        <w:rPr>
          <w:rFonts w:hint="eastAsia" w:ascii="Times New Roman" w:hAnsi="Times New Roman" w:eastAsia="宋体" w:cs="Times New Roman"/>
          <w:color w:val="auto"/>
          <w:kern w:val="0"/>
          <w:sz w:val="28"/>
          <w:szCs w:val="28"/>
          <w:highlight w:val="none"/>
          <w:lang w:val="en-US" w:eastAsia="zh-CN" w:bidi="ar"/>
        </w:rPr>
        <w:t>3生活垃圾</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本项目施工期间共产生1.5t生活垃圾，统一收集后。委托大庆三联实业有限公司拉运处置。</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5.5.3</w:t>
      </w:r>
      <w:r>
        <w:rPr>
          <w:rFonts w:hint="eastAsia" w:ascii="Times New Roman" w:hAnsi="Times New Roman" w:eastAsia="宋体" w:cs="Times New Roman"/>
          <w:color w:val="auto"/>
          <w:kern w:val="0"/>
          <w:sz w:val="28"/>
          <w:szCs w:val="28"/>
          <w:highlight w:val="none"/>
          <w:lang w:val="en-US" w:eastAsia="zh-CN" w:bidi="ar"/>
        </w:rPr>
        <w:t>结论及建议</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由上述分析可知，本项目对施工期的各类固体废弃物均进行了合理的处置，能够实现固废的减量化、资源化和无害化，对环境影响较小。</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61" w:name="_Toc10507"/>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5.</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6土壤环境影响预测与评价</w:t>
      </w:r>
      <w:bookmarkEnd w:id="161"/>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6</w:t>
      </w:r>
      <w:r>
        <w:rPr>
          <w:rFonts w:hint="default" w:ascii="Times New Roman" w:hAnsi="Times New Roman" w:eastAsia="宋体" w:cs="Times New Roman"/>
          <w:color w:val="auto"/>
          <w:kern w:val="0"/>
          <w:sz w:val="28"/>
          <w:szCs w:val="28"/>
          <w:highlight w:val="none"/>
          <w:lang w:val="en-US" w:eastAsia="zh-CN" w:bidi="ar"/>
        </w:rPr>
        <w:t>.1土壤影响途径</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本项目对土壤环境的影响主要表现在钻井过程发生井喷钻井液及泥浆中的COD和无机盐可能对土壤环境造成污染；柴油罐泄漏时，柴油中的</w:t>
      </w:r>
      <w:r>
        <w:rPr>
          <w:rFonts w:hint="default" w:ascii="Times New Roman" w:hAnsi="Times New Roman" w:eastAsia="宋体" w:cs="Times New Roman"/>
          <w:color w:val="auto"/>
          <w:kern w:val="0"/>
          <w:sz w:val="28"/>
          <w:szCs w:val="28"/>
          <w:highlight w:val="none"/>
          <w:lang w:val="en-US" w:eastAsia="zh-CN" w:bidi="ar"/>
        </w:rPr>
        <w:t>饱和烃及芳香烃成分</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沥青质和胶质</w:t>
      </w:r>
      <w:r>
        <w:rPr>
          <w:rFonts w:hint="eastAsia" w:ascii="Times New Roman" w:hAnsi="Times New Roman" w:eastAsia="宋体" w:cs="Times New Roman"/>
          <w:color w:val="auto"/>
          <w:kern w:val="0"/>
          <w:sz w:val="28"/>
          <w:szCs w:val="28"/>
          <w:highlight w:val="none"/>
          <w:lang w:val="en-US" w:eastAsia="zh-CN" w:bidi="ar"/>
        </w:rPr>
        <w:t>对土壤环境造成污染。</w:t>
      </w:r>
      <w:r>
        <w:rPr>
          <w:rFonts w:hint="default" w:ascii="Times New Roman" w:hAnsi="Times New Roman" w:eastAsia="宋体" w:cs="Times New Roman"/>
          <w:color w:val="auto"/>
          <w:kern w:val="0"/>
          <w:sz w:val="28"/>
          <w:szCs w:val="28"/>
          <w:highlight w:val="none"/>
          <w:lang w:val="en-US" w:eastAsia="zh-CN" w:bidi="ar"/>
        </w:rPr>
        <w:t>改变土壤中有机质的组成及结构</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使土壤硬化结块，改变土壤的理化性质</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钻井工程对土壤环境的影响</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项目建设对土壤的影响主要体现在施工期的开挖、填埋行为对土壤结构的破坏。对井场施工剥离的表层土集中临时堆放，钻井结束后用于临时占地植被恢复。对耕植土堆放场进行苫盖防止水土流失。</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钻井期间井场地面均铺设防渗布保护占地原表层土壤，钻井废水和钻井泥浆均排入井场泥浆槽，不会对土壤产生影响。</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施工占地对土壤的影响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钻井施工期间，大型、重型机械设备的碾压，施工人员的践踏等都会破坏地表植被，使土壤紧实度增高，造成局部大片裸地出现，容易引起土壤风蚀和水土流失，特别是风蚀。因此，钻井施工取土时要先将表土单独堆放留存，取土后再覆盖于取土处表面，并在完井后及时进行植被恢复，尽量减小对土壤结构的影响和破坏。</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柴油对土壤的影响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正常工况条件下，柴油储罐不会污染土壤，但是一旦发生泄漏风险事故时会对井场的土壤产生一定的污染。</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柴油罐为地上罐，且罐区采取</w:t>
      </w:r>
      <w:r>
        <w:rPr>
          <w:rFonts w:hint="eastAsia" w:ascii="Times New Roman" w:hAnsi="Times New Roman" w:eastAsia="宋体" w:cs="Times New Roman"/>
          <w:color w:val="auto"/>
          <w:kern w:val="0"/>
          <w:sz w:val="28"/>
          <w:szCs w:val="28"/>
          <w:highlight w:val="none"/>
          <w:lang w:val="en-US" w:eastAsia="zh-CN" w:bidi="ar"/>
        </w:rPr>
        <w:t>重点防渗</w:t>
      </w:r>
      <w:r>
        <w:rPr>
          <w:rFonts w:hint="default" w:ascii="Times New Roman" w:hAnsi="Times New Roman" w:eastAsia="宋体" w:cs="Times New Roman"/>
          <w:color w:val="auto"/>
          <w:kern w:val="0"/>
          <w:sz w:val="28"/>
          <w:szCs w:val="28"/>
          <w:highlight w:val="none"/>
          <w:lang w:val="en-US" w:eastAsia="zh-CN" w:bidi="ar"/>
        </w:rPr>
        <w:t>及围堰等措施</w:t>
      </w:r>
      <w:r>
        <w:rPr>
          <w:rFonts w:hint="eastAsia" w:ascii="Times New Roman" w:hAnsi="Times New Roman" w:eastAsia="宋体" w:cs="Times New Roman"/>
          <w:color w:val="auto"/>
          <w:kern w:val="0"/>
          <w:sz w:val="28"/>
          <w:szCs w:val="28"/>
          <w:highlight w:val="none"/>
          <w:lang w:val="en-US" w:eastAsia="zh-CN" w:bidi="ar"/>
        </w:rPr>
        <w:t>；当柴油发生泄露时，泄露的柴油可全部截留在围堰内，可及时进行回收，转移至另一个柴油储罐中暂存，两个储罐同时发生泄露的概率较小，</w:t>
      </w:r>
      <w:r>
        <w:rPr>
          <w:rFonts w:hint="default" w:ascii="Times New Roman" w:hAnsi="Times New Roman" w:eastAsia="宋体" w:cs="Times New Roman"/>
          <w:color w:val="auto"/>
          <w:kern w:val="0"/>
          <w:sz w:val="28"/>
          <w:szCs w:val="28"/>
          <w:highlight w:val="none"/>
          <w:lang w:val="en-US" w:eastAsia="zh-CN" w:bidi="ar"/>
        </w:rPr>
        <w:t>不会对周围土壤环境产生影响</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若施工结束后，柴油储罐及钻井设备搬离井场，导致残留在设备及储罐上的原油掉落在土壤上，</w:t>
      </w:r>
      <w:r>
        <w:rPr>
          <w:rFonts w:hint="default" w:ascii="Times New Roman" w:hAnsi="Times New Roman" w:eastAsia="宋体" w:cs="Times New Roman"/>
          <w:color w:val="auto"/>
          <w:kern w:val="0"/>
          <w:sz w:val="28"/>
          <w:szCs w:val="28"/>
          <w:highlight w:val="none"/>
          <w:lang w:val="en-US" w:eastAsia="zh-CN" w:bidi="ar"/>
        </w:rPr>
        <w:t>原油覆于地表会使土壤透气性下降，降低土壤肥力</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原油在土壤中下渗至一定深度，随泄漏历时的延长，下渗深度增加不大，落地原油一般在土壤内部50cm以上深度内积聚，在土壤中的迁移深度较浅。</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（4）试气期间天然气泄露</w:t>
      </w:r>
      <w:r>
        <w:rPr>
          <w:rFonts w:hint="default" w:ascii="Times New Roman" w:hAnsi="Times New Roman" w:eastAsia="宋体" w:cs="Times New Roman"/>
          <w:color w:val="auto"/>
          <w:kern w:val="0"/>
          <w:sz w:val="28"/>
          <w:szCs w:val="28"/>
          <w:highlight w:val="none"/>
          <w:lang w:val="en-US" w:eastAsia="zh-CN" w:bidi="ar"/>
        </w:rPr>
        <w:t>对土壤的影响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本区域气田不属于高含硫气田，天然气中硫化氢含量极低，若试气期间天然气泄露，不会造成土壤酸化；</w:t>
      </w:r>
      <w:r>
        <w:rPr>
          <w:rFonts w:hint="eastAsia" w:ascii="Times New Roman" w:hAnsi="Times New Roman" w:eastAsia="宋体" w:cs="Times New Roman"/>
          <w:color w:val="auto"/>
          <w:kern w:val="0"/>
          <w:sz w:val="28"/>
          <w:szCs w:val="28"/>
          <w:highlight w:val="none"/>
          <w:lang w:val="en-US" w:eastAsia="zh-CN" w:bidi="ar"/>
        </w:rPr>
        <w:t>但天然气遇到明火或静电会发生爆炸，产生大量浓烟及有毒有害物质，浓烟中颗粒物通过大气沉降的方式，落在土壤中，造成土壤污染；有毒有害气体进入土壤孔隙，导致土壤中有害成分增加，造成土壤污染。</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6</w:t>
      </w:r>
      <w:r>
        <w:rPr>
          <w:rFonts w:hint="default" w:ascii="Times New Roman" w:hAnsi="Times New Roman" w:eastAsia="宋体" w:cs="Times New Roman"/>
          <w:color w:val="auto"/>
          <w:kern w:val="0"/>
          <w:sz w:val="28"/>
          <w:szCs w:val="28"/>
          <w:highlight w:val="none"/>
          <w:lang w:val="en-US" w:eastAsia="zh-CN" w:bidi="ar"/>
        </w:rPr>
        <w:t>.2土壤环境影响类比分析</w:t>
      </w:r>
    </w:p>
    <w:p>
      <w:pPr>
        <w:pageBreakBefore w:val="0"/>
        <w:widowControl/>
        <w:bidi w:val="0"/>
        <w:spacing w:line="360" w:lineRule="auto"/>
        <w:ind w:firstLine="560" w:firstLineChars="200"/>
        <w:jc w:val="both"/>
        <w:rPr>
          <w:rFonts w:hint="default" w:ascii="Times New Roman" w:hAnsi="Times New Roman" w:eastAsia="宋体" w:cs="Times New Roman"/>
          <w:caps w:val="0"/>
          <w:smallCaps w:val="0"/>
          <w:color w:val="auto"/>
          <w:spacing w:val="0"/>
          <w:w w:val="100"/>
          <w:kern w:val="21"/>
          <w:sz w:val="28"/>
          <w:szCs w:val="28"/>
          <w:highlight w:val="none"/>
        </w:rPr>
      </w:pPr>
      <w:r>
        <w:rPr>
          <w:rFonts w:hint="default" w:ascii="Times New Roman" w:hAnsi="Times New Roman" w:eastAsia="宋体" w:cs="Times New Roman"/>
          <w:caps w:val="0"/>
          <w:smallCaps w:val="0"/>
          <w:color w:val="auto"/>
          <w:spacing w:val="0"/>
          <w:w w:val="100"/>
          <w:kern w:val="21"/>
          <w:sz w:val="28"/>
          <w:szCs w:val="28"/>
          <w:highlight w:val="none"/>
        </w:rPr>
        <w:t>本次土壤评价通过类比</w:t>
      </w:r>
      <w:r>
        <w:rPr>
          <w:rFonts w:hint="eastAsia" w:ascii="Times New Roman" w:hAnsi="Times New Roman" w:eastAsia="宋体" w:cs="Times New Roman"/>
          <w:caps w:val="0"/>
          <w:smallCaps w:val="0"/>
          <w:color w:val="auto"/>
          <w:spacing w:val="0"/>
          <w:w w:val="100"/>
          <w:kern w:val="21"/>
          <w:sz w:val="28"/>
          <w:szCs w:val="28"/>
          <w:highlight w:val="none"/>
          <w:lang w:val="en-US" w:eastAsia="zh-CN"/>
        </w:rPr>
        <w:t>已开发气田区块。</w:t>
      </w:r>
      <w:r>
        <w:rPr>
          <w:rFonts w:hint="default" w:ascii="Times New Roman" w:hAnsi="Times New Roman" w:eastAsia="宋体" w:cs="Times New Roman"/>
          <w:caps w:val="0"/>
          <w:smallCaps w:val="0"/>
          <w:color w:val="auto"/>
          <w:spacing w:val="0"/>
          <w:w w:val="100"/>
          <w:kern w:val="21"/>
          <w:sz w:val="28"/>
          <w:szCs w:val="28"/>
          <w:highlight w:val="none"/>
        </w:rPr>
        <w:t>根据《大庆油田有限责任公司第十采油厂三站气田产能建设工程建设项目竣工环境保护验收调查报告》，施工阶段，由于施工占用了大量临时占地，大型、重型机械设备的碾压，施工人员的践踏、材料堆放等都会破坏地表植被，使土壤紧实度增高，根据现场调查，施工阶段临时占地形成的裸地基本已得到了恢复根据项目占用土地类型及周边土地类型分布，在第十采油厂三站</w:t>
      </w:r>
      <w:r>
        <w:rPr>
          <w:rFonts w:hint="eastAsia" w:ascii="Times New Roman" w:hAnsi="Times New Roman" w:eastAsia="宋体" w:cs="Times New Roman"/>
          <w:caps w:val="0"/>
          <w:smallCaps w:val="0"/>
          <w:color w:val="auto"/>
          <w:spacing w:val="0"/>
          <w:w w:val="100"/>
          <w:kern w:val="21"/>
          <w:sz w:val="28"/>
          <w:szCs w:val="28"/>
          <w:highlight w:val="none"/>
          <w:lang w:val="en-US" w:eastAsia="zh-CN"/>
        </w:rPr>
        <w:t>其中</w:t>
      </w:r>
      <w:r>
        <w:rPr>
          <w:rFonts w:hint="default" w:ascii="Times New Roman" w:hAnsi="Times New Roman" w:eastAsia="宋体" w:cs="Times New Roman"/>
          <w:caps w:val="0"/>
          <w:smallCaps w:val="0"/>
          <w:color w:val="auto"/>
          <w:spacing w:val="0"/>
          <w:w w:val="100"/>
          <w:kern w:val="21"/>
          <w:sz w:val="28"/>
          <w:szCs w:val="28"/>
          <w:highlight w:val="none"/>
        </w:rPr>
        <w:t>2个井场永久占地内布设2个土壤监测点，</w:t>
      </w:r>
      <w:r>
        <w:rPr>
          <w:rFonts w:hint="eastAsia" w:ascii="Times New Roman" w:hAnsi="Times New Roman" w:eastAsia="宋体" w:cs="Times New Roman"/>
          <w:caps w:val="0"/>
          <w:smallCaps w:val="0"/>
          <w:color w:val="auto"/>
          <w:spacing w:val="0"/>
          <w:w w:val="100"/>
          <w:kern w:val="21"/>
          <w:sz w:val="28"/>
          <w:szCs w:val="28"/>
          <w:highlight w:val="none"/>
          <w:lang w:val="en-US" w:eastAsia="zh-CN"/>
        </w:rPr>
        <w:t>土壤采样</w:t>
      </w:r>
      <w:r>
        <w:rPr>
          <w:rFonts w:hint="default" w:ascii="Times New Roman" w:hAnsi="Times New Roman" w:eastAsia="宋体" w:cs="Times New Roman"/>
          <w:caps w:val="0"/>
          <w:smallCaps w:val="0"/>
          <w:color w:val="auto"/>
          <w:spacing w:val="0"/>
          <w:w w:val="100"/>
          <w:kern w:val="21"/>
          <w:sz w:val="28"/>
          <w:szCs w:val="28"/>
          <w:highlight w:val="none"/>
        </w:rPr>
        <w:t>深度</w:t>
      </w:r>
      <w:r>
        <w:rPr>
          <w:rFonts w:hint="eastAsia" w:ascii="Times New Roman" w:hAnsi="Times New Roman" w:eastAsia="宋体" w:cs="Times New Roman"/>
          <w:caps w:val="0"/>
          <w:smallCaps w:val="0"/>
          <w:color w:val="auto"/>
          <w:spacing w:val="0"/>
          <w:w w:val="100"/>
          <w:kern w:val="21"/>
          <w:sz w:val="28"/>
          <w:szCs w:val="28"/>
          <w:highlight w:val="none"/>
          <w:lang w:val="en-US" w:eastAsia="zh-CN"/>
        </w:rPr>
        <w:t>为</w:t>
      </w:r>
      <w:r>
        <w:rPr>
          <w:rFonts w:hint="default" w:ascii="Times New Roman" w:hAnsi="Times New Roman" w:eastAsia="宋体" w:cs="Times New Roman"/>
          <w:caps w:val="0"/>
          <w:smallCaps w:val="0"/>
          <w:color w:val="auto"/>
          <w:spacing w:val="0"/>
          <w:w w:val="100"/>
          <w:kern w:val="21"/>
          <w:sz w:val="28"/>
          <w:szCs w:val="28"/>
          <w:highlight w:val="none"/>
        </w:rPr>
        <w:t>0-0.2m。根据</w:t>
      </w:r>
      <w:r>
        <w:rPr>
          <w:rFonts w:hint="eastAsia" w:ascii="Times New Roman" w:hAnsi="Times New Roman" w:eastAsia="宋体" w:cs="Times New Roman"/>
          <w:caps w:val="0"/>
          <w:smallCaps w:val="0"/>
          <w:color w:val="auto"/>
          <w:spacing w:val="0"/>
          <w:w w:val="100"/>
          <w:kern w:val="21"/>
          <w:sz w:val="28"/>
          <w:szCs w:val="28"/>
          <w:highlight w:val="none"/>
          <w:lang w:val="en-US" w:eastAsia="zh-CN"/>
        </w:rPr>
        <w:t>监测</w:t>
      </w:r>
      <w:r>
        <w:rPr>
          <w:rFonts w:hint="default" w:ascii="Times New Roman" w:hAnsi="Times New Roman" w:eastAsia="宋体" w:cs="Times New Roman"/>
          <w:caps w:val="0"/>
          <w:smallCaps w:val="0"/>
          <w:color w:val="auto"/>
          <w:spacing w:val="0"/>
          <w:w w:val="100"/>
          <w:kern w:val="21"/>
          <w:sz w:val="28"/>
          <w:szCs w:val="28"/>
          <w:highlight w:val="none"/>
        </w:rPr>
        <w:t>结果，井场内项目特征污染物石油烃的浓度值为181~184mg/kg，满足《土壤环境质量 建设用地土壤污染风险管控标准（试行）》（GB36600-2018）建设用地土壤污染风险筛选值，说明企业在项目实施之后较好的落实污染防治措施，</w:t>
      </w:r>
      <w:r>
        <w:rPr>
          <w:rFonts w:hint="eastAsia" w:ascii="Times New Roman" w:hAnsi="Times New Roman" w:eastAsia="宋体" w:cs="Times New Roman"/>
          <w:caps w:val="0"/>
          <w:smallCaps w:val="0"/>
          <w:color w:val="auto"/>
          <w:spacing w:val="0"/>
          <w:w w:val="100"/>
          <w:kern w:val="21"/>
          <w:sz w:val="28"/>
          <w:szCs w:val="28"/>
          <w:highlight w:val="none"/>
          <w:lang w:val="en-US" w:eastAsia="zh-CN"/>
        </w:rPr>
        <w:t>气田</w:t>
      </w:r>
      <w:r>
        <w:rPr>
          <w:rFonts w:hint="default" w:ascii="Times New Roman" w:hAnsi="Times New Roman" w:eastAsia="宋体" w:cs="Times New Roman"/>
          <w:caps w:val="0"/>
          <w:smallCaps w:val="0"/>
          <w:color w:val="auto"/>
          <w:spacing w:val="0"/>
          <w:w w:val="100"/>
          <w:kern w:val="21"/>
          <w:sz w:val="28"/>
          <w:szCs w:val="28"/>
          <w:highlight w:val="none"/>
        </w:rPr>
        <w:t>开发对土壤环境影响较小。</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6</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土壤环境影响评价结论</w:t>
      </w:r>
    </w:p>
    <w:p>
      <w:pPr>
        <w:pageBreakBefore w:val="0"/>
        <w:widowControl/>
        <w:bidi w:val="0"/>
        <w:spacing w:line="360" w:lineRule="auto"/>
        <w:ind w:firstLine="560" w:firstLineChars="200"/>
        <w:jc w:val="left"/>
        <w:rPr>
          <w:rFonts w:hint="default" w:ascii="Times New Roman" w:hAnsi="Times New Roman" w:eastAsia="宋体" w:cs="Times New Roman"/>
          <w:caps w:val="0"/>
          <w:smallCaps w:val="0"/>
          <w:color w:val="auto"/>
          <w:spacing w:val="0"/>
          <w:w w:val="100"/>
          <w:kern w:val="2"/>
          <w:sz w:val="28"/>
          <w:szCs w:val="28"/>
          <w:highlight w:val="none"/>
          <w:lang w:val="en-US" w:eastAsia="zh-CN"/>
        </w:rPr>
      </w:pPr>
      <w:r>
        <w:rPr>
          <w:rFonts w:hint="default" w:ascii="Times New Roman" w:hAnsi="Times New Roman" w:eastAsia="宋体" w:cs="Times New Roman"/>
          <w:caps w:val="0"/>
          <w:smallCaps w:val="0"/>
          <w:color w:val="auto"/>
          <w:spacing w:val="0"/>
          <w:w w:val="100"/>
          <w:kern w:val="2"/>
          <w:sz w:val="28"/>
          <w:szCs w:val="28"/>
          <w:highlight w:val="none"/>
        </w:rPr>
        <w:t>本项目所在地土壤环境现状较好，根据土壤环境影响影响分析结果，项目</w:t>
      </w:r>
      <w:r>
        <w:rPr>
          <w:rFonts w:hint="eastAsia" w:ascii="Times New Roman" w:hAnsi="Times New Roman" w:eastAsia="宋体" w:cs="Times New Roman"/>
          <w:caps w:val="0"/>
          <w:smallCaps w:val="0"/>
          <w:color w:val="auto"/>
          <w:spacing w:val="0"/>
          <w:w w:val="100"/>
          <w:kern w:val="2"/>
          <w:sz w:val="28"/>
          <w:szCs w:val="28"/>
          <w:highlight w:val="none"/>
          <w:lang w:val="en-US" w:eastAsia="zh-CN"/>
        </w:rPr>
        <w:t>施工后，采取积极的土壤污染防治措施，占地内土壤环境质量可满足建设用地风险管控要求。</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62" w:name="_Toc25223"/>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5.</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7生态影响评价</w:t>
      </w:r>
      <w:bookmarkEnd w:id="162"/>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生态影响途径</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对生态的影响主要来自施工期，钻井施工时，除井场本身永久占地外，还会因机械设备、车辆的碾压、人员的践踏、材料占地等活动，造成土壤板结、植被剥离，植株矮小，群落盖度降低，在原来连续分布的生态中，产生生态斑块，造成地貌及地表温度、水分等物理异常，进而影响生态的类型和结构。</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钻井测试放喷对生态环境的影响主要是放喷产生的热辐射对生态的影响。测试放喷天然气燃烧产生的热辐射影响，可能灼伤放喷点周围50m范围的农作物。天然气测试放喷在专门的放喷坑中点火放喷，放喷坑是由三面3.5m高的砖墙组成，采用放喷坑放喷，可以有效减小放喷天然气燃烧产生的热辐射对测试区周围的土壤和植被的灼伤。</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农田生态系统影响分析</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由于钻井工程临时占地和井场的永久占地，使当季无法种植作物，将耽误全年收成。永久性占地仍无法种植作物；临时影响区内农田可恢复种植，但由于对耕作层的翻动使肥力下降，第二、三年产量将下降</w:t>
      </w:r>
      <w:r>
        <w:rPr>
          <w:rFonts w:hint="default" w:ascii="Times New Roman" w:hAnsi="Times New Roman" w:eastAsia="宋体" w:cs="Times New Roman"/>
          <w:color w:val="auto"/>
          <w:kern w:val="0"/>
          <w:sz w:val="28"/>
          <w:szCs w:val="28"/>
          <w:highlight w:val="none"/>
          <w:lang w:val="en-US" w:eastAsia="zh-CN" w:bidi="ar"/>
        </w:rPr>
        <w:t>20%-40%</w:t>
      </w:r>
      <w:r>
        <w:rPr>
          <w:rFonts w:hint="eastAsia" w:ascii="Times New Roman" w:hAnsi="Times New Roman" w:eastAsia="宋体" w:cs="Times New Roman"/>
          <w:color w:val="auto"/>
          <w:kern w:val="0"/>
          <w:sz w:val="28"/>
          <w:szCs w:val="28"/>
          <w:highlight w:val="none"/>
          <w:lang w:val="en-US" w:eastAsia="zh-CN" w:bidi="ar"/>
        </w:rPr>
        <w:t>。本工程共占用耕地3.12</w:t>
      </w:r>
      <w:r>
        <w:rPr>
          <w:rFonts w:hint="default" w:ascii="Times New Roman" w:hAnsi="Times New Roman" w:eastAsia="宋体" w:cs="Times New Roman"/>
          <w:color w:val="auto"/>
          <w:kern w:val="0"/>
          <w:sz w:val="28"/>
          <w:szCs w:val="28"/>
          <w:highlight w:val="none"/>
          <w:lang w:val="en-US" w:eastAsia="zh-CN" w:bidi="ar"/>
        </w:rPr>
        <w:t>hm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，其中永久占地0.48</w:t>
      </w:r>
      <w:r>
        <w:rPr>
          <w:rFonts w:hint="default" w:ascii="Times New Roman" w:hAnsi="Times New Roman" w:eastAsia="宋体" w:cs="Times New Roman"/>
          <w:color w:val="auto"/>
          <w:kern w:val="0"/>
          <w:sz w:val="28"/>
          <w:szCs w:val="28"/>
          <w:highlight w:val="none"/>
          <w:lang w:val="en-US" w:eastAsia="zh-CN" w:bidi="ar"/>
        </w:rPr>
        <w:t>hm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，临时占地2.64</w:t>
      </w:r>
      <w:r>
        <w:rPr>
          <w:rFonts w:hint="default" w:ascii="Times New Roman" w:hAnsi="Times New Roman" w:eastAsia="宋体" w:cs="Times New Roman"/>
          <w:color w:val="auto"/>
          <w:kern w:val="0"/>
          <w:sz w:val="28"/>
          <w:szCs w:val="28"/>
          <w:highlight w:val="none"/>
          <w:lang w:val="en-US" w:eastAsia="zh-CN" w:bidi="ar"/>
        </w:rPr>
        <w:t>hm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。粮食产量按</w:t>
      </w:r>
      <w:r>
        <w:rPr>
          <w:rFonts w:hint="default" w:ascii="Times New Roman" w:hAnsi="Times New Roman" w:eastAsia="宋体" w:cs="Times New Roman"/>
          <w:color w:val="auto"/>
          <w:kern w:val="0"/>
          <w:sz w:val="28"/>
          <w:szCs w:val="28"/>
          <w:highlight w:val="none"/>
          <w:lang w:val="en-US" w:eastAsia="zh-CN" w:bidi="ar"/>
        </w:rPr>
        <w:t>9750kg/hm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计算（以玉米产量计算），共损失粮食124.02t（永久占地按</w:t>
      </w:r>
      <w:r>
        <w:rPr>
          <w:rFonts w:hint="default" w:ascii="Times New Roman" w:hAnsi="Times New Roman" w:eastAsia="宋体" w:cs="Times New Roman"/>
          <w:color w:val="auto"/>
          <w:kern w:val="0"/>
          <w:sz w:val="28"/>
          <w:szCs w:val="28"/>
          <w:highlight w:val="none"/>
          <w:lang w:val="en-US" w:eastAsia="zh-CN" w:bidi="ar"/>
        </w:rPr>
        <w:t>10</w:t>
      </w:r>
      <w:r>
        <w:rPr>
          <w:rFonts w:hint="eastAsia" w:ascii="Times New Roman" w:hAnsi="Times New Roman" w:eastAsia="宋体" w:cs="Times New Roman"/>
          <w:color w:val="auto"/>
          <w:kern w:val="0"/>
          <w:sz w:val="28"/>
          <w:szCs w:val="28"/>
          <w:highlight w:val="none"/>
          <w:lang w:val="en-US" w:eastAsia="zh-CN" w:bidi="ar"/>
        </w:rPr>
        <w:t>年计算，临时占地按</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年计算），玉米价格按</w:t>
      </w:r>
      <w:r>
        <w:rPr>
          <w:rFonts w:hint="default" w:ascii="Times New Roman" w:hAnsi="Times New Roman" w:eastAsia="宋体" w:cs="Times New Roman"/>
          <w:color w:val="auto"/>
          <w:kern w:val="0"/>
          <w:sz w:val="28"/>
          <w:szCs w:val="28"/>
          <w:highlight w:val="none"/>
          <w:lang w:val="en-US" w:eastAsia="zh-CN" w:bidi="ar"/>
        </w:rPr>
        <w:t>2200</w:t>
      </w:r>
      <w:r>
        <w:rPr>
          <w:rFonts w:hint="eastAsia" w:ascii="Times New Roman" w:hAnsi="Times New Roman" w:eastAsia="宋体" w:cs="Times New Roman"/>
          <w:color w:val="auto"/>
          <w:kern w:val="0"/>
          <w:sz w:val="28"/>
          <w:szCs w:val="28"/>
          <w:highlight w:val="none"/>
          <w:lang w:val="en-US" w:eastAsia="zh-CN" w:bidi="ar"/>
        </w:rPr>
        <w:t>元</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吨计算，其经济价值为27.29万元。</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由于本项目临时占地的占用期限很短（预计占用期限为1年），在完工后及时复垦耕地，</w:t>
      </w:r>
      <w:r>
        <w:rPr>
          <w:rFonts w:hint="default" w:ascii="Times New Roman" w:hAnsi="Times New Roman" w:eastAsia="宋体" w:cs="Times New Roman"/>
          <w:color w:val="auto"/>
          <w:kern w:val="0"/>
          <w:sz w:val="28"/>
          <w:szCs w:val="28"/>
          <w:highlight w:val="none"/>
          <w:lang w:val="en-US" w:eastAsia="zh-CN" w:bidi="ar"/>
        </w:rPr>
        <w:t>根据</w:t>
      </w:r>
      <w:r>
        <w:rPr>
          <w:rFonts w:hint="default" w:ascii="Times New Roman" w:hAnsi="Times New Roman" w:eastAsia="宋体" w:cs="Times New Roman"/>
          <w:color w:val="auto"/>
          <w:kern w:val="0"/>
          <w:sz w:val="28"/>
          <w:szCs w:val="28"/>
          <w:highlight w:val="none"/>
          <w:lang w:val="en-US" w:eastAsia="zh-CN" w:bidi="ar"/>
        </w:rPr>
        <w:fldChar w:fldCharType="begin"/>
      </w:r>
      <w:r>
        <w:rPr>
          <w:rFonts w:hint="default" w:ascii="Times New Roman" w:hAnsi="Times New Roman" w:eastAsia="宋体" w:cs="Times New Roman"/>
          <w:color w:val="auto"/>
          <w:kern w:val="0"/>
          <w:sz w:val="28"/>
          <w:szCs w:val="28"/>
          <w:highlight w:val="none"/>
          <w:lang w:val="en-US" w:eastAsia="zh-CN" w:bidi="ar"/>
        </w:rPr>
        <w:instrText xml:space="preserve"> HYPERLINK "https://www.baidu.com/s?wd=%E3%80%8A%E4%B8%AD%E5%8D%8E%E4%BA%BA%E6%B0%91%E5%85%B1%E5%92%8C%E5%9B%BD%E5%9C%9F%E5%9C%B0%E7%AE%A1%E7%90%86%E6%B3%95%E3%80%8B&amp;from=1012015a&amp;fenlei=mv6quAkxTZn0IZRqIHckPjm4nH00T1Y3Py7Wujc4uH6kmvPbnjms0ZwV5Hcvrjm3rH6sPfKWUMw85HfYnjn4nH6sgvPsT6KdThsqpZwYTjCEQLGCpyw9Uz4Bmy-bIi4WUvYETgN-TLwGUv3En1bsPH63PW6" \t "https://zhidao.baidu.com/question/_blank" </w:instrText>
      </w:r>
      <w:r>
        <w:rPr>
          <w:rFonts w:hint="default" w:ascii="Times New Roman" w:hAnsi="Times New Roman" w:eastAsia="宋体" w:cs="Times New Roman"/>
          <w:color w:val="auto"/>
          <w:kern w:val="0"/>
          <w:sz w:val="28"/>
          <w:szCs w:val="28"/>
          <w:highlight w:val="none"/>
          <w:lang w:val="en-US" w:eastAsia="zh-CN" w:bidi="ar"/>
        </w:rPr>
        <w:fldChar w:fldCharType="separate"/>
      </w:r>
      <w:r>
        <w:rPr>
          <w:rFonts w:hint="default" w:ascii="Times New Roman" w:hAnsi="Times New Roman" w:eastAsia="宋体" w:cs="Times New Roman"/>
          <w:color w:val="auto"/>
          <w:kern w:val="0"/>
          <w:sz w:val="28"/>
          <w:szCs w:val="28"/>
          <w:highlight w:val="none"/>
          <w:lang w:val="en-US" w:eastAsia="zh-CN" w:bidi="ar"/>
        </w:rPr>
        <w:t>《中华人民共和国土地管理法》</w:t>
      </w:r>
      <w:r>
        <w:rPr>
          <w:rFonts w:hint="default" w:ascii="Times New Roman" w:hAnsi="Times New Roman" w:eastAsia="宋体" w:cs="Times New Roman"/>
          <w:color w:val="auto"/>
          <w:kern w:val="0"/>
          <w:sz w:val="28"/>
          <w:szCs w:val="28"/>
          <w:highlight w:val="none"/>
          <w:lang w:val="en-US" w:eastAsia="zh-CN" w:bidi="ar"/>
        </w:rPr>
        <w:fldChar w:fldCharType="end"/>
      </w:r>
      <w:r>
        <w:rPr>
          <w:rFonts w:hint="default" w:ascii="Times New Roman" w:hAnsi="Times New Roman" w:eastAsia="宋体" w:cs="Times New Roman"/>
          <w:color w:val="auto"/>
          <w:kern w:val="0"/>
          <w:sz w:val="28"/>
          <w:szCs w:val="28"/>
          <w:highlight w:val="none"/>
          <w:lang w:val="en-US" w:eastAsia="zh-CN" w:bidi="ar"/>
        </w:rPr>
        <w:t>第四十七条规定：征收土地的，按照被征收土地的原用途给予补偿。被征收土地上的附着物和青苗的补偿标准，由省、自治区、直辖市规定。</w:t>
      </w:r>
      <w:r>
        <w:rPr>
          <w:rFonts w:hint="eastAsia" w:ascii="Times New Roman" w:hAnsi="Times New Roman" w:eastAsia="宋体" w:cs="Times New Roman"/>
          <w:color w:val="auto"/>
          <w:kern w:val="0"/>
          <w:sz w:val="28"/>
          <w:szCs w:val="28"/>
          <w:highlight w:val="none"/>
          <w:lang w:val="en-US" w:eastAsia="zh-CN" w:bidi="ar"/>
        </w:rPr>
        <w:t>按照“占多少，垦多少”的原则，采取了补偿措施（缴纳耕地开垦费，专款用于开垦新的耕地），本项目对占用农田补偿措施见下表。</w:t>
      </w:r>
    </w:p>
    <w:p>
      <w:pPr>
        <w:keepNext w:val="0"/>
        <w:keepLines w:val="0"/>
        <w:widowControl/>
        <w:suppressLineNumbers w:val="0"/>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表5.7-1</w:t>
      </w:r>
      <w:r>
        <w:rPr>
          <w:rFonts w:hint="eastAsia" w:ascii="Times New Roman" w:hAnsi="Times New Roman" w:eastAsia="宋体" w:cs="Times New Roman"/>
          <w:b/>
          <w:bCs/>
          <w:color w:val="auto"/>
          <w:kern w:val="0"/>
          <w:sz w:val="24"/>
          <w:szCs w:val="24"/>
          <w:highlight w:val="none"/>
          <w:lang w:val="en-US" w:eastAsia="zh-CN" w:bidi="ar"/>
        </w:rPr>
        <w:t>农田</w:t>
      </w:r>
      <w:r>
        <w:rPr>
          <w:rFonts w:hint="default" w:ascii="Times New Roman" w:hAnsi="Times New Roman" w:eastAsia="宋体" w:cs="Times New Roman"/>
          <w:b/>
          <w:bCs/>
          <w:color w:val="auto"/>
          <w:kern w:val="0"/>
          <w:sz w:val="24"/>
          <w:szCs w:val="24"/>
          <w:highlight w:val="none"/>
          <w:lang w:val="en-US" w:eastAsia="zh-CN" w:bidi="ar"/>
        </w:rPr>
        <w:t>影响减缓及恢复措施表 单位：</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9"/>
        <w:gridCol w:w="1673"/>
        <w:gridCol w:w="1216"/>
        <w:gridCol w:w="1217"/>
        <w:gridCol w:w="1217"/>
        <w:gridCol w:w="1217"/>
        <w:gridCol w:w="12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序号</w:t>
            </w:r>
          </w:p>
        </w:tc>
        <w:tc>
          <w:tcPr>
            <w:tcW w:w="16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占地类型</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占地面积（</w:t>
            </w:r>
            <w:r>
              <w:rPr>
                <w:rFonts w:hint="default" w:ascii="Times New Roman" w:hAnsi="Times New Roman" w:cs="Times New Roman"/>
                <w:color w:val="auto"/>
                <w:sz w:val="24"/>
                <w:szCs w:val="24"/>
                <w:highlight w:val="none"/>
                <w:vertAlign w:val="baseli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措施</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补偿恢复类型</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占地工程内容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6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永久占地补偿</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基本农田</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0.48</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经济补偿</w:t>
            </w:r>
            <w:r>
              <w:rPr>
                <w:rFonts w:hint="eastAsia" w:ascii="Times New Roman" w:hAnsi="Times New Roman" w:cs="Times New Roman"/>
                <w:color w:val="auto"/>
                <w:sz w:val="24"/>
                <w:szCs w:val="24"/>
                <w:highlight w:val="none"/>
                <w:vertAlign w:val="baseline"/>
                <w:lang w:val="en-US" w:eastAsia="zh-CN"/>
              </w:rPr>
              <w:t>10.30</w:t>
            </w:r>
            <w:r>
              <w:rPr>
                <w:rFonts w:hint="default" w:ascii="Times New Roman" w:hAnsi="Times New Roman" w:cs="Times New Roman"/>
                <w:color w:val="auto"/>
                <w:sz w:val="24"/>
                <w:szCs w:val="24"/>
                <w:highlight w:val="none"/>
                <w:vertAlign w:val="baseline"/>
                <w:lang w:val="en-US" w:eastAsia="zh-CN"/>
              </w:rPr>
              <w:t>万元</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对永久占地进行经济补偿，占一补一</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井场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6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临时占地恢复</w:t>
            </w:r>
          </w:p>
        </w:tc>
        <w:tc>
          <w:tcPr>
            <w:tcW w:w="12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基本农田</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2.64</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平整、恢复</w:t>
            </w:r>
            <w:r>
              <w:rPr>
                <w:rFonts w:hint="eastAsia" w:ascii="Times New Roman" w:hAnsi="Times New Roman" w:cs="Times New Roman"/>
                <w:color w:val="auto"/>
                <w:sz w:val="24"/>
                <w:szCs w:val="24"/>
                <w:highlight w:val="none"/>
                <w:vertAlign w:val="baseline"/>
                <w:lang w:val="en-US" w:eastAsia="zh-CN"/>
              </w:rPr>
              <w:t>，经济补偿16.99</w:t>
            </w:r>
            <w:r>
              <w:rPr>
                <w:rFonts w:hint="default" w:ascii="Times New Roman" w:hAnsi="Times New Roman" w:cs="Times New Roman"/>
                <w:color w:val="auto"/>
                <w:sz w:val="24"/>
                <w:szCs w:val="24"/>
                <w:highlight w:val="none"/>
                <w:vertAlign w:val="baseline"/>
                <w:lang w:val="en-US" w:eastAsia="zh-CN"/>
              </w:rPr>
              <w:t>万元</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对临时占地进行生态恢复，恢复</w:t>
            </w:r>
            <w:r>
              <w:rPr>
                <w:rFonts w:hint="eastAsia" w:ascii="Times New Roman" w:hAnsi="Times New Roman" w:cs="Times New Roman"/>
                <w:color w:val="auto"/>
                <w:sz w:val="24"/>
                <w:szCs w:val="24"/>
                <w:highlight w:val="none"/>
                <w:vertAlign w:val="baseline"/>
                <w:lang w:val="en-US" w:eastAsia="zh-CN"/>
              </w:rPr>
              <w:t>农作物种植</w:t>
            </w:r>
          </w:p>
        </w:tc>
        <w:tc>
          <w:tcPr>
            <w:tcW w:w="12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井场、道路</w:t>
            </w:r>
          </w:p>
        </w:tc>
      </w:tr>
    </w:tbl>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.3对</w:t>
      </w:r>
      <w:r>
        <w:rPr>
          <w:rFonts w:hint="eastAsia" w:ascii="Times New Roman" w:hAnsi="Times New Roman" w:eastAsia="宋体" w:cs="Times New Roman"/>
          <w:color w:val="auto"/>
          <w:kern w:val="0"/>
          <w:sz w:val="28"/>
          <w:szCs w:val="28"/>
          <w:highlight w:val="none"/>
          <w:lang w:val="en-US" w:eastAsia="zh-CN" w:bidi="ar"/>
        </w:rPr>
        <w:t>陆生</w:t>
      </w:r>
      <w:r>
        <w:rPr>
          <w:rFonts w:hint="default" w:ascii="Times New Roman" w:hAnsi="Times New Roman" w:eastAsia="宋体" w:cs="Times New Roman"/>
          <w:color w:val="auto"/>
          <w:kern w:val="0"/>
          <w:sz w:val="28"/>
          <w:szCs w:val="28"/>
          <w:highlight w:val="none"/>
          <w:lang w:val="en-US" w:eastAsia="zh-CN" w:bidi="ar"/>
        </w:rPr>
        <w:t>动物影响分析</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对哺乳类动物的影响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项目周边主要是农业区，受人类影响大，哺乳类动物主要是野兔、田鼠、黄鼠狼等。这些动物一般体型较小，在评价区的农田中或地底洞穴中栖息，主要在地面活动、觅食，有的也在地下寻找食物。少数种类如小家鼠、褐家鼠等于人类关系密切，喜欢在人类活动范围如村落、菜地活动。</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项目建设过程中，在局部地区由于人类活动的加剧，垃圾、食物等会随之增加，从而吸引一些鼠类，可能会造成这些区域鼠类的种群数量上升，导致这些区域的小型兽类种群结构发生改变。使区域内分布的部分野生动物特别是草食性动物的食物减少，从而影响野生动物觅食。与此同时，</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建设造成动物栖息地减少，割断动物的活动区域、迁移途径、栖息区域等，对它们的生存产生一定影响。</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对鸟类的影响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麻雀、喜鹊、灰喜鹊、布谷鸟等均为本区常见种，由于鸟类活动受空间限制较小，工程建设对鸟类的觅食影响不大。但由于鸟类容易受到强频振动和噪声的影响，且噪声级大小是影响鸟类繁殖的重要因素，因此，施工期的噪声可能对项目沿线附近的鸟类繁殖产生一定的影响。此外，作业车辆与施工人员的增加与流动也会对鸟类产生影响。工程附近未发现珍稀鸟类，</w:t>
      </w:r>
      <w:r>
        <w:rPr>
          <w:rFonts w:hint="eastAsia" w:ascii="Times New Roman" w:hAnsi="Times New Roman" w:eastAsia="宋体" w:cs="Times New Roman"/>
          <w:color w:val="auto"/>
          <w:kern w:val="0"/>
          <w:sz w:val="28"/>
          <w:szCs w:val="28"/>
          <w:highlight w:val="none"/>
          <w:lang w:val="en-US" w:eastAsia="zh-CN" w:bidi="ar"/>
        </w:rPr>
        <w:t>且项目计划在秋季施工，不属于鸟类繁殖季节，因此本</w:t>
      </w:r>
      <w:r>
        <w:rPr>
          <w:rFonts w:hint="default" w:ascii="Times New Roman" w:hAnsi="Times New Roman" w:eastAsia="宋体" w:cs="Times New Roman"/>
          <w:color w:val="auto"/>
          <w:kern w:val="0"/>
          <w:sz w:val="28"/>
          <w:szCs w:val="28"/>
          <w:highlight w:val="none"/>
          <w:lang w:val="en-US" w:eastAsia="zh-CN" w:bidi="ar"/>
        </w:rPr>
        <w:t>项目建设与运行对鸟类影响不大。</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对爬行动物的影响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施工建设将隔离爬行动物的栖息地，造成部分爬行动物活动、迁移和繁殖困难，并且施工期间产生的噪声特别是夜间施工的噪音以及照明，可能影响爬行动物的活动节律，特别是繁殖季节。</w:t>
      </w:r>
      <w:r>
        <w:rPr>
          <w:rFonts w:hint="eastAsia" w:ascii="Times New Roman" w:hAnsi="Times New Roman" w:eastAsia="宋体" w:cs="Times New Roman"/>
          <w:color w:val="auto"/>
          <w:kern w:val="0"/>
          <w:sz w:val="28"/>
          <w:szCs w:val="28"/>
          <w:highlight w:val="none"/>
          <w:lang w:val="en-US" w:eastAsia="zh-CN" w:bidi="ar"/>
        </w:rPr>
        <w:t>本项目计划在秋季施工，不在爬行动物繁殖季节，因此本</w:t>
      </w:r>
      <w:r>
        <w:rPr>
          <w:rFonts w:hint="default" w:ascii="Times New Roman" w:hAnsi="Times New Roman" w:eastAsia="宋体" w:cs="Times New Roman"/>
          <w:color w:val="auto"/>
          <w:kern w:val="0"/>
          <w:sz w:val="28"/>
          <w:szCs w:val="28"/>
          <w:highlight w:val="none"/>
          <w:lang w:val="en-US" w:eastAsia="zh-CN" w:bidi="ar"/>
        </w:rPr>
        <w:t>项目建设与运行对</w:t>
      </w:r>
      <w:r>
        <w:rPr>
          <w:rFonts w:hint="eastAsia" w:ascii="Times New Roman" w:hAnsi="Times New Roman" w:eastAsia="宋体" w:cs="Times New Roman"/>
          <w:color w:val="auto"/>
          <w:kern w:val="0"/>
          <w:sz w:val="28"/>
          <w:szCs w:val="28"/>
          <w:highlight w:val="none"/>
          <w:lang w:val="en-US" w:eastAsia="zh-CN" w:bidi="ar"/>
        </w:rPr>
        <w:t>爬行动物</w:t>
      </w:r>
      <w:r>
        <w:rPr>
          <w:rFonts w:hint="default" w:ascii="Times New Roman" w:hAnsi="Times New Roman" w:eastAsia="宋体" w:cs="Times New Roman"/>
          <w:color w:val="auto"/>
          <w:kern w:val="0"/>
          <w:sz w:val="28"/>
          <w:szCs w:val="28"/>
          <w:highlight w:val="none"/>
          <w:lang w:val="en-US" w:eastAsia="zh-CN" w:bidi="ar"/>
        </w:rPr>
        <w:t>影响不大。</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对生态完善性影响分析</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本项目施工占地</w:t>
      </w:r>
      <w:r>
        <w:rPr>
          <w:rFonts w:hint="default" w:ascii="Times New Roman" w:hAnsi="Times New Roman" w:eastAsia="宋体" w:cs="Times New Roman"/>
          <w:color w:val="auto"/>
          <w:kern w:val="0"/>
          <w:sz w:val="28"/>
          <w:szCs w:val="28"/>
          <w:highlight w:val="none"/>
          <w:lang w:val="en-US" w:eastAsia="zh-CN" w:bidi="ar"/>
        </w:rPr>
        <w:t>较小，</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建设对评价区农田生态系统的扰动范围较小。工程建设完成运行三年后，区域自然体系生产能力基本可以恢复稳定状态。本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建设不会破坏区域生态系统的完整性和稳定性，在采取永久占地补偿、临时占地复垦等措施后对农业生态系统的影响较小。</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5防沙治沙影响分析</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本项目位于肇州县北部，根据</w:t>
      </w:r>
      <w:r>
        <w:rPr>
          <w:rFonts w:hint="default" w:ascii="Times New Roman" w:hAnsi="Times New Roman" w:eastAsia="宋体" w:cs="Times New Roman"/>
          <w:color w:val="auto"/>
          <w:kern w:val="0"/>
          <w:sz w:val="28"/>
          <w:szCs w:val="28"/>
          <w:highlight w:val="none"/>
          <w:lang w:val="en-US" w:eastAsia="zh-CN" w:bidi="ar"/>
        </w:rPr>
        <w:t>黑龙江省防沙治沙工作领导小组《关于印发&lt;关于贯彻落实《沙化土地封禁保护修复制度方案》的实施意见&gt;的通知》</w:t>
      </w:r>
      <w:r>
        <w:rPr>
          <w:rFonts w:hint="eastAsia" w:ascii="Times New Roman" w:hAnsi="Times New Roman" w:eastAsia="宋体" w:cs="Times New Roman"/>
          <w:color w:val="auto"/>
          <w:kern w:val="0"/>
          <w:sz w:val="28"/>
          <w:szCs w:val="28"/>
          <w:highlight w:val="none"/>
          <w:lang w:val="en-US" w:eastAsia="zh-CN" w:bidi="ar"/>
        </w:rPr>
        <w:t>，本项目所在区域不属于沙化土地区域。根据现场调查，本项目所在地区沙化土壤分布较少，主要地类为土壤性能良好的耕地，植被覆盖度较高，没有大面积裸地及沙化土地。</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本项目的建设活动会对地表植被造成破坏，在短期内出现局部裸地，土壤层次、结构发生了改变，若不及时恢复，由于水土流失加剧增加了土地沙化的可能性。</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因此施工期须严格落实各项生态保护措施及生态减缓措施，严格控施工作业占地范围，施工结束后对施工迹地地表植被进行恢复，路基边坡采取种草措施护坡固土，尽量减少工程建设对土地沙化的影响。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本项目在施工期间，对施工场界周围设置档风板，在周围临时种植一些农作物，防止土壤水分过度流失，造成土壤盐渍</w:t>
      </w:r>
      <w:r>
        <w:rPr>
          <w:rFonts w:hint="eastAsia" w:ascii="Times New Roman" w:hAnsi="Times New Roman" w:eastAsia="宋体" w:cs="Times New Roman"/>
          <w:color w:val="auto"/>
          <w:kern w:val="0"/>
          <w:sz w:val="28"/>
          <w:szCs w:val="28"/>
          <w:highlight w:val="none"/>
          <w:lang w:val="en-US" w:eastAsia="zh-CN" w:bidi="ar"/>
        </w:rPr>
        <w:t>及沙化</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6水土流失影响分析</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本项目建设过程中的各种施工活动对原地貌和地表植被的扰动和破坏，会造成区域内的水土流失。</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）为扬尘天气提供物质资源</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井场施工对土壤的扰动，使地面变的疏松，而活化、疏松的沙土容易形成扬尘天气，在大风的作用下会成为局部风沙源地，促进扬沙天气的形成，造成项目所在区域比较严重的粉尘污染。</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）风蚀沙化加剧、导致土地生产力下降</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区域冬季及春季风力较大，当原地表植被遭到破坏和扰动后，形成较大面积的风蚀面，遇到风力吹袭便可形成挾沙风，挾沙风侵蚀力与净风相比侵大大增强，项目施工程建设程中如不采取行之有效的防护措施，极易诱发土地沙化，降低周边土地生产力，破坏土地资源。</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）导致项目区生态环境恶化</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井场建设扰动地表，破坏植被，致使项目区下垫面抗侵蚀能力下降，导致项目区土壤侵蚀强度增加，生态系统遭到破坏，生态环境恶化。</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在施工过程中，场界周围设施防尘围挡，井场、柴油储罐区、压裂液罐、生活污水及泥浆槽周围设置排水沟，临时堆放的土方设置水土保持毯，产生的建筑垃圾及时清运，本项目施工过程中，积极采取水土保持措施，防止井场周边土壤沙化，暴雨期大量冲刷雨水携带污染物及颗粒物溢流至井场外环境。</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本项目井场生活污水池及放喷池等挖方施工剥离表土厚度为0.3m，采用分层开挖，分层堆放，剥离的表土耕地土推放在井场临时占地范围内的存储区，堆土表面设纱网或草栅覆盖，防止出现水土流失</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施工结束后，建于建设单位采取封禁等生态保护措施，将临时占地内现有生态种类的生态量及生产力恢复至施工前原有水平，再进行气井产能地面建设工程，在生态恢复期间可进行生态监测。</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7</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7生态影响评价结论</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该项目的井场、施工便道建设对土地的侵占，对植被的破坏，将使气田开发区内的第一生产者的生物量有一定程度的下降。本项目施工期间，严格控制施工占地，采取防沙及水土保持措施，施工结束后，优先进行生态恢复，必要在生态恢复期间进行生态监测。该项目建设对生态环境的影响不会太大，在生态上是可行的。</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p>
    <w:p>
      <w:pPr>
        <w:keepNext w:val="0"/>
        <w:keepLines w:val="0"/>
        <w:widowControl/>
        <w:suppressLineNumbers w:val="0"/>
        <w:ind w:firstLine="420" w:firstLineChars="200"/>
        <w:jc w:val="both"/>
        <w:rPr>
          <w:rFonts w:hint="default"/>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63" w:name="_Toc30295"/>
      <w:bookmarkStart w:id="164" w:name="_Toc61597309"/>
      <w:bookmarkStart w:id="165" w:name="_Toc12560"/>
      <w:bookmarkStart w:id="166" w:name="_Toc10767"/>
      <w:bookmarkStart w:id="167" w:name="_Toc450"/>
      <w:bookmarkStart w:id="168" w:name="_Toc18257"/>
      <w:bookmarkStart w:id="169" w:name="_Toc49174851"/>
      <w:bookmarkStart w:id="170" w:name="_Toc19436"/>
      <w:bookmarkStart w:id="171" w:name="_Toc9761"/>
      <w:bookmarkStart w:id="172" w:name="_Toc25083"/>
      <w:bookmarkStart w:id="173" w:name="_Toc49175026"/>
      <w:bookmarkStart w:id="174" w:name="_Toc26256"/>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5.</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8环境风险分析</w:t>
      </w:r>
      <w:bookmarkEnd w:id="163"/>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5.8.1</w:t>
      </w:r>
      <w:r>
        <w:rPr>
          <w:rFonts w:hint="eastAsia" w:ascii="Times New Roman" w:hAnsi="Times New Roman" w:eastAsia="宋体" w:cs="Times New Roman"/>
          <w:color w:val="auto"/>
          <w:kern w:val="0"/>
          <w:sz w:val="28"/>
          <w:szCs w:val="28"/>
          <w:highlight w:val="none"/>
          <w:lang w:val="en-US" w:eastAsia="zh-CN" w:bidi="ar"/>
        </w:rPr>
        <w:t>风险调查</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本项目所开采的区块的天然气中含硫量极低，施工期为平台钻井工程和压裂试气工程，按照各单项工程分别进行风险源调查。</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（1）钻井工程</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根据《建设项目环境风险评价技术导则》（HJ169-2018），本项目钻井工程主要原、辅材料使用情况，主要原辅材料、废水、固废和产品的成分、物理化学特性及毒理性如下：</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①泥浆及钻井污水危险性分析</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泥浆为水基泥浆，水基泥浆为膨润土浆、钾盐共聚物及聚胺复合盐水，其余主要成分以无毒无害的无机盐和大型聚合物为主，如：聚合物、改性树脂、植物油类润滑剂及重石晶粉等，组成物质化学性质稳定，产生的废水主要污染物以COD、SS、pH、无机盐为主，不含汞、铬、铅等重金属有毒有害物质。</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本项目钻井污水主要污染物成分与钻井泥浆成分相似，主要污染物以pH、COD、无机盐等为主。钻井用水和泥浆中均不添加重金属等有毒有害物质，故钻井污水中的污染物亦不含重金属元素。</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②柴油</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钻井施工时用柴油作为发电机燃料，柴油是易燃烧和爆炸的物品。柴油的电阻率均较大，因摩擦、吸附、沉降、溅泼、喷雾、碰撞均可产生静电积累，并可能导致产生火花。直击雷、雷电感应、静电火花是造成柴油贮存区火灾爆炸事故的最常见因素。柴油具有一定的毒害性，高浓度接触或者是长期接触可使人产生急性或者慢性中毒。柴油理化特性见表5.8-1。</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表5.8-1柴油理化性质一览表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51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第一部分</w:t>
            </w:r>
            <w:r>
              <w:rPr>
                <w:rFonts w:hint="default" w:ascii="Times New Roman" w:hAnsi="Times New Roman" w:cs="Times New Roman"/>
                <w:color w:val="auto"/>
                <w:sz w:val="24"/>
                <w:szCs w:val="24"/>
                <w:highlight w:val="none"/>
                <w:vertAlign w:val="baseline"/>
                <w:lang w:val="en-US" w:eastAsia="zh-CN"/>
              </w:rPr>
              <w:t xml:space="preserve"> </w:t>
            </w:r>
            <w:r>
              <w:rPr>
                <w:rFonts w:hint="eastAsia" w:ascii="Times New Roman" w:hAnsi="Times New Roman" w:cs="Times New Roman"/>
                <w:color w:val="auto"/>
                <w:sz w:val="24"/>
                <w:szCs w:val="24"/>
                <w:highlight w:val="none"/>
                <w:vertAlign w:val="baseline"/>
                <w:lang w:val="en-US" w:eastAsia="zh-CN"/>
              </w:rPr>
              <w:t xml:space="preserve">  危险性概述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危险性类别</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第</w:t>
            </w:r>
            <w:r>
              <w:rPr>
                <w:rFonts w:hint="default" w:ascii="Times New Roman" w:hAnsi="Times New Roman" w:cs="Times New Roman"/>
                <w:color w:val="auto"/>
                <w:sz w:val="24"/>
                <w:szCs w:val="24"/>
                <w:highlight w:val="none"/>
                <w:vertAlign w:val="baseline"/>
                <w:lang w:val="en-US" w:eastAsia="zh-CN"/>
              </w:rPr>
              <w:t>3.3</w:t>
            </w:r>
            <w:r>
              <w:rPr>
                <w:rFonts w:hint="eastAsia" w:ascii="Times New Roman" w:hAnsi="Times New Roman" w:cs="Times New Roman"/>
                <w:color w:val="auto"/>
                <w:sz w:val="24"/>
                <w:szCs w:val="24"/>
                <w:highlight w:val="none"/>
                <w:vertAlign w:val="baseline"/>
                <w:lang w:val="en-US" w:eastAsia="zh-CN"/>
              </w:rPr>
              <w:t>类</w:t>
            </w:r>
            <w:r>
              <w:rPr>
                <w:rFonts w:hint="default" w:ascii="Times New Roman" w:hAnsi="Times New Roman" w:cs="Times New Roman"/>
                <w:color w:val="auto"/>
                <w:sz w:val="24"/>
                <w:szCs w:val="24"/>
                <w:highlight w:val="none"/>
                <w:vertAlign w:val="baseline"/>
                <w:lang w:val="en-US" w:eastAsia="zh-CN"/>
              </w:rPr>
              <w:t xml:space="preserve"> </w:t>
            </w:r>
            <w:r>
              <w:rPr>
                <w:rFonts w:hint="eastAsia" w:ascii="Times New Roman" w:hAnsi="Times New Roman" w:cs="Times New Roman"/>
                <w:color w:val="auto"/>
                <w:sz w:val="24"/>
                <w:szCs w:val="24"/>
                <w:highlight w:val="none"/>
                <w:vertAlign w:val="baseline"/>
                <w:lang w:val="en-US" w:eastAsia="zh-CN"/>
              </w:rPr>
              <w:t>高闪点易燃液体。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侵入途径</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吸入、食入、经皮肤吸收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健康危害</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皮肤接触柴油可引起接触性皮炎、油性痤疮，吸入可引起吸入性肺炎。能经胎盘进入胎儿血中。柴油废气可引起眼、鼻刺激症状，头痛。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第二部分   急救措施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皮肤接触</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脱去污染的衣着，用肥皂和大量清水清洗污染皮肤。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眼睛接触</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立即翻开上下眼睑，用流动清水冲洗，至少</w:t>
            </w:r>
            <w:r>
              <w:rPr>
                <w:rFonts w:hint="default" w:ascii="Times New Roman" w:hAnsi="Times New Roman" w:cs="Times New Roman"/>
                <w:color w:val="auto"/>
                <w:sz w:val="24"/>
                <w:szCs w:val="24"/>
                <w:highlight w:val="none"/>
                <w:vertAlign w:val="baseline"/>
                <w:lang w:val="en-US" w:eastAsia="zh-CN"/>
              </w:rPr>
              <w:t>15min</w:t>
            </w:r>
            <w:r>
              <w:rPr>
                <w:rFonts w:hint="eastAsia" w:ascii="Times New Roman" w:hAnsi="Times New Roman" w:cs="Times New Roman"/>
                <w:color w:val="auto"/>
                <w:sz w:val="24"/>
                <w:szCs w:val="24"/>
                <w:highlight w:val="none"/>
                <w:vertAlign w:val="baseline"/>
                <w:lang w:val="en-US" w:eastAsia="zh-CN"/>
              </w:rPr>
              <w:t>。就医。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吸入</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脱离现场。脱去污染的衣着，至空气新鲜处，就医。防治吸入性肺炎。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误服</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误服者饮牛奶或植物油，洗胃并灌肠，就医。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第三部分</w:t>
            </w:r>
            <w:r>
              <w:rPr>
                <w:rFonts w:hint="default" w:ascii="Times New Roman" w:hAnsi="Times New Roman" w:cs="Times New Roman"/>
                <w:color w:val="auto"/>
                <w:sz w:val="24"/>
                <w:szCs w:val="24"/>
                <w:highlight w:val="none"/>
                <w:vertAlign w:val="baseline"/>
                <w:lang w:val="en-US" w:eastAsia="zh-CN"/>
              </w:rPr>
              <w:t xml:space="preserve"> </w:t>
            </w:r>
            <w:r>
              <w:rPr>
                <w:rFonts w:hint="eastAsia" w:ascii="Times New Roman" w:hAnsi="Times New Roman" w:cs="Times New Roman"/>
                <w:color w:val="auto"/>
                <w:sz w:val="24"/>
                <w:szCs w:val="24"/>
                <w:highlight w:val="none"/>
                <w:vertAlign w:val="baseline"/>
                <w:lang w:val="en-US" w:eastAsia="zh-CN"/>
              </w:rPr>
              <w:t xml:space="preserve">  消防措施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危险特性</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遇明火、高热或与氧化剂接触，有引起燃烧爆炸的危险。若遇高热，容器内压增大，有开裂和爆炸的危险。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有害燃烧产物</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一氧化碳、二氧化碳。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灭火方法灭火剂</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泡沫、二氧化碳、干粉、砂土。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第四部分</w:t>
            </w:r>
            <w:r>
              <w:rPr>
                <w:rFonts w:hint="default" w:ascii="Times New Roman" w:hAnsi="Times New Roman" w:cs="Times New Roman"/>
                <w:color w:val="auto"/>
                <w:sz w:val="24"/>
                <w:szCs w:val="24"/>
                <w:highlight w:val="none"/>
                <w:vertAlign w:val="baseline"/>
                <w:lang w:val="en-US" w:eastAsia="zh-CN"/>
              </w:rPr>
              <w:t xml:space="preserve"> </w:t>
            </w:r>
            <w:r>
              <w:rPr>
                <w:rFonts w:hint="eastAsia" w:ascii="Times New Roman" w:hAnsi="Times New Roman" w:cs="Times New Roman"/>
                <w:color w:val="auto"/>
                <w:sz w:val="24"/>
                <w:szCs w:val="24"/>
                <w:highlight w:val="none"/>
                <w:vertAlign w:val="baseline"/>
                <w:lang w:val="en-US" w:eastAsia="zh-CN"/>
              </w:rPr>
              <w:t>泄漏应急处理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应急处理</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切断火源。应急处理人员戴好防毒面具，穿化学防护服。在确保安全情况下堵漏。用活性炭或其他惰性材料吸收，然后收集运到空旷处焚烧。如大量泄漏，利用围堤收容，然后收集、转移、回收或无害处理后废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第五部分</w:t>
            </w:r>
            <w:r>
              <w:rPr>
                <w:rFonts w:hint="default" w:ascii="Times New Roman" w:hAnsi="Times New Roman" w:cs="Times New Roman"/>
                <w:color w:val="auto"/>
                <w:sz w:val="24"/>
                <w:szCs w:val="24"/>
                <w:highlight w:val="none"/>
                <w:vertAlign w:val="baseline"/>
                <w:lang w:val="en-US" w:eastAsia="zh-CN"/>
              </w:rPr>
              <w:t xml:space="preserve"> </w:t>
            </w:r>
            <w:r>
              <w:rPr>
                <w:rFonts w:hint="eastAsia" w:ascii="Times New Roman" w:hAnsi="Times New Roman" w:cs="Times New Roman"/>
                <w:color w:val="auto"/>
                <w:sz w:val="24"/>
                <w:szCs w:val="24"/>
                <w:highlight w:val="none"/>
                <w:vertAlign w:val="baseline"/>
                <w:lang w:val="en-US" w:eastAsia="zh-CN"/>
              </w:rPr>
              <w:t xml:space="preserve">  操作处置与储存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储存注意事项</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储存于阴凉、通风仓间内。远离火种、热源。保持容器密封。应与氧化剂分开存放。桶装堆垛不可过大，应留墙距、顶距、柱距及必要的防火检查走道。罐储时要有防火防爆技术措施。禁止使用易产生火花的机械设备和工具。充装要控制流速，注意防止静电积聚。搬运时轻装轻卸，防止包装及容器损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第六部分</w:t>
            </w:r>
            <w:r>
              <w:rPr>
                <w:rFonts w:hint="default" w:ascii="Times New Roman" w:hAnsi="Times New Roman" w:cs="Times New Roman"/>
                <w:color w:val="auto"/>
                <w:sz w:val="24"/>
                <w:szCs w:val="24"/>
                <w:highlight w:val="none"/>
                <w:vertAlign w:val="baseline"/>
                <w:lang w:val="en-US" w:eastAsia="zh-CN"/>
              </w:rPr>
              <w:t xml:space="preserve"> </w:t>
            </w:r>
            <w:r>
              <w:rPr>
                <w:rFonts w:hint="eastAsia" w:ascii="Times New Roman" w:hAnsi="Times New Roman" w:cs="Times New Roman"/>
                <w:color w:val="auto"/>
                <w:sz w:val="24"/>
                <w:szCs w:val="24"/>
                <w:highlight w:val="none"/>
                <w:vertAlign w:val="baseline"/>
                <w:lang w:val="en-US" w:eastAsia="zh-CN"/>
              </w:rPr>
              <w:t xml:space="preserve">  接触控制</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个体防护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工程控制</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密闭操作，注意通风。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眼睛防护</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必要时戴安全防护眼镜。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呼吸系统防护</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一般不需特殊防护，但建议特殊情况下，佩戴供气式呼吸器。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身体防护</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穿工作服。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手防护</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必要时戴防护手套。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其他防护</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工作现场严禁吸烟。避免长期反复接触。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第七部分</w:t>
            </w:r>
            <w:r>
              <w:rPr>
                <w:rFonts w:hint="default" w:ascii="Times New Roman" w:hAnsi="Times New Roman" w:cs="Times New Roman"/>
                <w:color w:val="auto"/>
                <w:sz w:val="24"/>
                <w:szCs w:val="24"/>
                <w:highlight w:val="none"/>
                <w:vertAlign w:val="baseline"/>
                <w:lang w:val="en-US" w:eastAsia="zh-CN"/>
              </w:rPr>
              <w:t xml:space="preserve"> </w:t>
            </w:r>
            <w:r>
              <w:rPr>
                <w:rFonts w:hint="eastAsia" w:ascii="Times New Roman" w:hAnsi="Times New Roman" w:cs="Times New Roman"/>
                <w:color w:val="auto"/>
                <w:sz w:val="24"/>
                <w:szCs w:val="24"/>
                <w:highlight w:val="none"/>
                <w:vertAlign w:val="baseline"/>
                <w:lang w:val="en-US" w:eastAsia="zh-CN"/>
              </w:rPr>
              <w:t xml:space="preserve">  理化特性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外观及性状</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粘性棕色液体。</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闪点</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相对密度</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0.87~0.9(</w:t>
            </w:r>
            <w:r>
              <w:rPr>
                <w:rFonts w:hint="eastAsia" w:ascii="Times New Roman" w:hAnsi="Times New Roman" w:cs="Times New Roman"/>
                <w:color w:val="auto"/>
                <w:sz w:val="24"/>
                <w:szCs w:val="24"/>
                <w:highlight w:val="none"/>
                <w:vertAlign w:val="baseline"/>
                <w:lang w:val="en-US" w:eastAsia="zh-CN"/>
              </w:rPr>
              <w:t>水</w:t>
            </w:r>
            <w:r>
              <w:rPr>
                <w:rFonts w:hint="default" w:ascii="Times New Roman" w:hAnsi="Times New Roman" w:cs="Times New Roman"/>
                <w:color w:val="auto"/>
                <w:sz w:val="24"/>
                <w:szCs w:val="24"/>
                <w:highlight w:val="none"/>
                <w:vertAlign w:val="baseline"/>
                <w:lang w:val="en-US" w:eastAsia="zh-CN"/>
              </w:rPr>
              <w:t>=1)</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爆炸下限</w:t>
            </w:r>
            <w:r>
              <w:rPr>
                <w:rFonts w:hint="default" w:ascii="Times New Roman" w:hAnsi="Times New Roman" w:cs="Times New Roman"/>
                <w:color w:val="auto"/>
                <w:sz w:val="24"/>
                <w:szCs w:val="24"/>
                <w:highlight w:val="none"/>
                <w:vertAlign w:val="baseline"/>
                <w:lang w:val="en-US" w:eastAsia="zh-CN"/>
              </w:rPr>
              <w:t>(V%)</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相对密度</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3.5(</w:t>
            </w:r>
            <w:r>
              <w:rPr>
                <w:rFonts w:hint="eastAsia" w:ascii="Times New Roman" w:hAnsi="Times New Roman" w:cs="Times New Roman"/>
                <w:color w:val="auto"/>
                <w:sz w:val="24"/>
                <w:szCs w:val="24"/>
                <w:highlight w:val="none"/>
                <w:vertAlign w:val="baseline"/>
                <w:lang w:val="en-US" w:eastAsia="zh-CN"/>
              </w:rPr>
              <w:t>空气</w:t>
            </w:r>
            <w:r>
              <w:rPr>
                <w:rFonts w:hint="default" w:ascii="Times New Roman" w:hAnsi="Times New Roman" w:cs="Times New Roman"/>
                <w:color w:val="auto"/>
                <w:sz w:val="24"/>
                <w:szCs w:val="24"/>
                <w:highlight w:val="none"/>
                <w:vertAlign w:val="baseline"/>
                <w:lang w:val="en-US" w:eastAsia="zh-CN"/>
              </w:rPr>
              <w:t>=1)</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爆炸上限</w:t>
            </w:r>
            <w:r>
              <w:rPr>
                <w:rFonts w:hint="default" w:ascii="Times New Roman" w:hAnsi="Times New Roman" w:cs="Times New Roman"/>
                <w:color w:val="auto"/>
                <w:sz w:val="24"/>
                <w:szCs w:val="24"/>
                <w:highlight w:val="none"/>
                <w:vertAlign w:val="baseline"/>
                <w:lang w:val="en-US" w:eastAsia="zh-CN"/>
              </w:rPr>
              <w:t>(V%)</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引燃温度</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257</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用途</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用作柴油机的燃料。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溶解性</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不溶于水，易溶于苯、二硫化碳、醇，易溶于脂肪。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第八部分</w:t>
            </w:r>
            <w:r>
              <w:rPr>
                <w:rFonts w:hint="default" w:ascii="Times New Roman" w:hAnsi="Times New Roman" w:cs="Times New Roman"/>
                <w:color w:val="auto"/>
                <w:sz w:val="24"/>
                <w:szCs w:val="24"/>
                <w:highlight w:val="none"/>
                <w:vertAlign w:val="baseline"/>
                <w:lang w:val="en-US" w:eastAsia="zh-CN"/>
              </w:rPr>
              <w:t xml:space="preserve"> </w:t>
            </w:r>
            <w:r>
              <w:rPr>
                <w:rFonts w:hint="eastAsia" w:ascii="Times New Roman" w:hAnsi="Times New Roman" w:cs="Times New Roman"/>
                <w:color w:val="auto"/>
                <w:sz w:val="24"/>
                <w:szCs w:val="24"/>
                <w:highlight w:val="none"/>
                <w:vertAlign w:val="baseline"/>
                <w:lang w:val="en-US" w:eastAsia="zh-CN"/>
              </w:rPr>
              <w:t xml:space="preserve">  稳定性及化学活性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稳定性</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稳定</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避免接触的条件</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明火、高热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禁配物</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强氧化剂、卤素</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聚合危害</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不能出现。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分解产物</w:t>
            </w:r>
          </w:p>
        </w:tc>
        <w:tc>
          <w:tcPr>
            <w:tcW w:w="638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一氧化碳、二氧化碳。</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表5.8-2KOH理化性质一览表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36"/>
        <w:gridCol w:w="1794"/>
        <w:gridCol w:w="1923"/>
        <w:gridCol w:w="1600"/>
        <w:gridCol w:w="21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标识</w:t>
            </w:r>
          </w:p>
        </w:tc>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中文名</w:t>
            </w:r>
          </w:p>
        </w:tc>
        <w:tc>
          <w:tcPr>
            <w:tcW w:w="19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氢氧化钾</w:t>
            </w:r>
          </w:p>
        </w:tc>
        <w:tc>
          <w:tcPr>
            <w:tcW w:w="1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英文名</w:t>
            </w:r>
          </w:p>
        </w:tc>
        <w:tc>
          <w:tcPr>
            <w:tcW w:w="2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potassiumhydroxide</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化学式</w:t>
            </w:r>
          </w:p>
        </w:tc>
        <w:tc>
          <w:tcPr>
            <w:tcW w:w="19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KOH</w:t>
            </w:r>
          </w:p>
        </w:tc>
        <w:tc>
          <w:tcPr>
            <w:tcW w:w="1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分子量</w:t>
            </w:r>
          </w:p>
        </w:tc>
        <w:tc>
          <w:tcPr>
            <w:tcW w:w="2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56.11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UN</w:t>
            </w:r>
            <w:r>
              <w:rPr>
                <w:rFonts w:hint="eastAsia" w:ascii="Times New Roman" w:hAnsi="Times New Roman" w:cs="Times New Roman"/>
                <w:color w:val="auto"/>
                <w:sz w:val="24"/>
                <w:szCs w:val="24"/>
                <w:highlight w:val="none"/>
                <w:vertAlign w:val="baseline"/>
                <w:lang w:val="en-US" w:eastAsia="zh-CN"/>
              </w:rPr>
              <w:t>编号</w:t>
            </w:r>
          </w:p>
        </w:tc>
        <w:tc>
          <w:tcPr>
            <w:tcW w:w="19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1813</w:t>
            </w:r>
          </w:p>
        </w:tc>
        <w:tc>
          <w:tcPr>
            <w:tcW w:w="1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CAS</w:t>
            </w:r>
            <w:r>
              <w:rPr>
                <w:rFonts w:hint="eastAsia" w:ascii="Times New Roman" w:hAnsi="Times New Roman" w:cs="Times New Roman"/>
                <w:color w:val="auto"/>
                <w:sz w:val="24"/>
                <w:szCs w:val="24"/>
                <w:highlight w:val="none"/>
                <w:vertAlign w:val="baseline"/>
                <w:lang w:val="en-US" w:eastAsia="zh-CN"/>
              </w:rPr>
              <w:t>号</w:t>
            </w:r>
          </w:p>
        </w:tc>
        <w:tc>
          <w:tcPr>
            <w:tcW w:w="2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1310-58-3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理化</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性质</w:t>
            </w:r>
          </w:p>
        </w:tc>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外观与性状</w:t>
            </w:r>
          </w:p>
        </w:tc>
        <w:tc>
          <w:tcPr>
            <w:tcW w:w="56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白色片状晶体，易潮解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溶解性</w:t>
            </w:r>
          </w:p>
        </w:tc>
        <w:tc>
          <w:tcPr>
            <w:tcW w:w="56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溶于水、乙醇，微溶于乙醚。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熔点</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19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360</w:t>
            </w:r>
          </w:p>
        </w:tc>
        <w:tc>
          <w:tcPr>
            <w:tcW w:w="1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相对密度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水</w:t>
            </w:r>
            <w:r>
              <w:rPr>
                <w:rFonts w:hint="default" w:ascii="Times New Roman" w:hAnsi="Times New Roman" w:cs="Times New Roman"/>
                <w:color w:val="auto"/>
                <w:sz w:val="24"/>
                <w:szCs w:val="24"/>
                <w:highlight w:val="none"/>
                <w:vertAlign w:val="baseline"/>
                <w:lang w:val="en-US" w:eastAsia="zh-CN"/>
              </w:rPr>
              <w:t>=1)</w:t>
            </w:r>
          </w:p>
        </w:tc>
        <w:tc>
          <w:tcPr>
            <w:tcW w:w="2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沸点</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19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1320</w:t>
            </w:r>
          </w:p>
        </w:tc>
        <w:tc>
          <w:tcPr>
            <w:tcW w:w="1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相对密度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空气</w:t>
            </w:r>
            <w:r>
              <w:rPr>
                <w:rFonts w:hint="default" w:ascii="Times New Roman" w:hAnsi="Times New Roman" w:cs="Times New Roman"/>
                <w:color w:val="auto"/>
                <w:sz w:val="24"/>
                <w:szCs w:val="24"/>
                <w:highlight w:val="none"/>
                <w:vertAlign w:val="baseline"/>
                <w:lang w:val="en-US" w:eastAsia="zh-CN"/>
              </w:rPr>
              <w:t>=1)</w:t>
            </w:r>
          </w:p>
        </w:tc>
        <w:tc>
          <w:tcPr>
            <w:tcW w:w="2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饱和蒸汽压</w:t>
            </w:r>
            <w:r>
              <w:rPr>
                <w:rFonts w:hint="default" w:ascii="Times New Roman" w:hAnsi="Times New Roman" w:cs="Times New Roman"/>
                <w:color w:val="auto"/>
                <w:sz w:val="24"/>
                <w:szCs w:val="24"/>
                <w:highlight w:val="none"/>
                <w:vertAlign w:val="baseline"/>
                <w:lang w:val="en-US" w:eastAsia="zh-CN"/>
              </w:rPr>
              <w:t>(kpa)</w:t>
            </w:r>
          </w:p>
        </w:tc>
        <w:tc>
          <w:tcPr>
            <w:tcW w:w="56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0.13</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719℃</w:t>
            </w:r>
            <w:r>
              <w:rPr>
                <w:rFonts w:hint="default"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临界温度</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19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无资料</w:t>
            </w:r>
          </w:p>
        </w:tc>
        <w:tc>
          <w:tcPr>
            <w:tcW w:w="1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临界压力</w:t>
            </w:r>
            <w:r>
              <w:rPr>
                <w:rFonts w:hint="default" w:ascii="Times New Roman" w:hAnsi="Times New Roman" w:cs="Times New Roman"/>
                <w:color w:val="auto"/>
                <w:sz w:val="24"/>
                <w:szCs w:val="24"/>
                <w:highlight w:val="none"/>
                <w:vertAlign w:val="baseline"/>
                <w:lang w:val="en-US" w:eastAsia="zh-CN"/>
              </w:rPr>
              <w:t>(Mpa)</w:t>
            </w:r>
          </w:p>
        </w:tc>
        <w:tc>
          <w:tcPr>
            <w:tcW w:w="2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毒性特性</w:t>
            </w:r>
          </w:p>
        </w:tc>
        <w:tc>
          <w:tcPr>
            <w:tcW w:w="179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LC50：无资料</w:t>
            </w:r>
          </w:p>
        </w:tc>
        <w:tc>
          <w:tcPr>
            <w:tcW w:w="5686"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LD50：273mg/kg（大鼠经口）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480"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生物毒性：TLM：80ppm（96h，食蚊鱼）。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健康危害</w:t>
            </w:r>
          </w:p>
        </w:tc>
        <w:tc>
          <w:tcPr>
            <w:tcW w:w="7480"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侵入途径：吸入、食入、皮肤吸收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480"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健康危害：吸入能引起呼吸道刺激，伴有咳嗽、呼吸道阻塞和粘膜损伤；食入可引起食道、胃肠道灼伤。皮肤接触造成严重皮肤灼伤。眼睛接触能造成严重化学灼伤，甚至造成永久性失明。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急救</w:t>
            </w:r>
          </w:p>
        </w:tc>
        <w:tc>
          <w:tcPr>
            <w:tcW w:w="7480"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皮肤接触：立即脱去污染的衣物，用大量清水冲洗皮肤，就医。</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眼睛接触：用大量清水或生理盐水彻底冲洗至少15min，就医。</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吸入：立即移到新鲜空气处，保持呼吸畅通。如果呼吸困难，给于吸氧。立即就医。</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食入：用水漱口，给饮牛奶或蛋清。立即呼叫医生或中毒控制中心。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泄漏处理</w:t>
            </w:r>
          </w:p>
        </w:tc>
        <w:tc>
          <w:tcPr>
            <w:tcW w:w="7480"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迅速将人员撤离到安全区域，远离泄漏区域并处于上风方向。使用个人防护装备。避免吸入蒸气、烟雾、气体或风尘。</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在确保安全的情况下，采取措施防止进一步的泄漏或溢出。避免排放到周围环境中。</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泄漏物采取中和、稀释、收集、回收，运至危险废物处置场所处理与处置。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储运</w:t>
            </w:r>
          </w:p>
        </w:tc>
        <w:tc>
          <w:tcPr>
            <w:tcW w:w="7480"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运输时运输车辆应配备相应品种和数量的消防器材及泄漏应急处理设备。运输前应先检查包装容器是否完整、密封。运输工具上应根据相关运输要求张贴危险标志、公告。</w:t>
            </w:r>
          </w:p>
        </w:tc>
      </w:tr>
    </w:tbl>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（2）压裂试气工程</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①压裂液及压裂返排液危险性分析</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压裂液为破乳助排剂、活化剂、支撑剂等构成的混合液体系，主要成份为清水，并添加少量减阻水、活性胶液及支撑剂（陶粒），均不添加重金属等有毒有害物质。</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压列返排液液与压裂液组成无明显变化，故亦不含重金属元素等有毒有害物质。</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②天然气</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从地层中开采出的天然气属易燃、易爆物质，极易在环境中引起燃烧和爆炸，主要成分甲烷属于《化学品分类和危险性公示通则》(GB13690-2009)（2011年修订）中的气相爆炸物质，泄漏在环境中与空气混合后易达到爆炸极限，若遇火或静电可能引起燃烧和爆炸，其爆炸极限5%~15%。当浓度达到10%时，使人感到氧气不足；当浓度达25%~30%时，可引起头痛、头晕、注意力不集中，呼吸和心跳加速、精细动作障碍等；当浓度达30%以上时可能会因缺氧窒息、昏迷等。《石油天然气工程设计防火规范》(GB50183-2020)将使用或产生甲烷(</w:t>
      </w:r>
      <w:r>
        <w:rPr>
          <w:rFonts w:hint="default" w:ascii="Times New Roman" w:hAnsi="Times New Roman" w:eastAsia="宋体" w:cs="Times New Roman"/>
          <w:color w:val="auto"/>
          <w:kern w:val="0"/>
          <w:sz w:val="28"/>
          <w:szCs w:val="28"/>
          <w:highlight w:val="none"/>
          <w:lang w:val="en-US" w:eastAsia="zh-CN" w:bidi="ar"/>
        </w:rPr>
        <w:t>CH</w:t>
      </w:r>
      <w:r>
        <w:rPr>
          <w:rFonts w:hint="default" w:ascii="Times New Roman" w:hAnsi="Times New Roman" w:eastAsia="宋体" w:cs="Times New Roman"/>
          <w:color w:val="auto"/>
          <w:kern w:val="0"/>
          <w:sz w:val="28"/>
          <w:szCs w:val="28"/>
          <w:highlight w:val="none"/>
          <w:vertAlign w:val="subscript"/>
          <w:lang w:val="en-US" w:eastAsia="zh-CN" w:bidi="ar"/>
        </w:rPr>
        <w:t>4</w:t>
      </w:r>
      <w:r>
        <w:rPr>
          <w:rFonts w:hint="default" w:ascii="Times New Roman" w:hAnsi="Times New Roman" w:eastAsia="宋体" w:cs="Times New Roman"/>
          <w:color w:val="auto"/>
          <w:kern w:val="0"/>
          <w:sz w:val="28"/>
          <w:szCs w:val="28"/>
          <w:highlight w:val="none"/>
          <w:lang w:val="en-US" w:eastAsia="zh-CN" w:bidi="ar"/>
        </w:rPr>
        <w:t>)的生产列为甲类火灾危险性。甲烷的危险、有害特性详见表</w:t>
      </w:r>
      <w:r>
        <w:rPr>
          <w:rFonts w:hint="eastAsia" w:ascii="Times New Roman" w:hAnsi="Times New Roman" w:eastAsia="宋体" w:cs="Times New Roman"/>
          <w:color w:val="auto"/>
          <w:kern w:val="0"/>
          <w:sz w:val="28"/>
          <w:szCs w:val="28"/>
          <w:highlight w:val="none"/>
          <w:lang w:val="en-US" w:eastAsia="zh-CN" w:bidi="ar"/>
        </w:rPr>
        <w:t>5.8-3</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表5.8-3甲烷理化性质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29"/>
        <w:gridCol w:w="1907"/>
        <w:gridCol w:w="2073"/>
        <w:gridCol w:w="1703"/>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标识</w:t>
            </w: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中文名</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甲烷</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英文名</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Methane</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化学式</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CH4</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分子量</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16.04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ICSC</w:t>
            </w:r>
            <w:r>
              <w:rPr>
                <w:rFonts w:hint="eastAsia" w:ascii="Times New Roman" w:hAnsi="Times New Roman" w:cs="Times New Roman"/>
                <w:color w:val="auto"/>
                <w:sz w:val="24"/>
                <w:szCs w:val="24"/>
                <w:highlight w:val="none"/>
                <w:vertAlign w:val="baseline"/>
                <w:lang w:val="en-US" w:eastAsia="zh-CN"/>
              </w:rPr>
              <w:t>编号</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0291</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IMDG</w:t>
            </w:r>
            <w:r>
              <w:rPr>
                <w:rFonts w:hint="eastAsia" w:ascii="Times New Roman" w:hAnsi="Times New Roman" w:cs="Times New Roman"/>
                <w:color w:val="auto"/>
                <w:sz w:val="24"/>
                <w:szCs w:val="24"/>
                <w:highlight w:val="none"/>
                <w:vertAlign w:val="baseline"/>
                <w:lang w:val="en-US" w:eastAsia="zh-CN"/>
              </w:rPr>
              <w:t>规则页码</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CAS</w:t>
            </w:r>
            <w:r>
              <w:rPr>
                <w:rFonts w:hint="eastAsia" w:ascii="Times New Roman" w:hAnsi="Times New Roman" w:cs="Times New Roman"/>
                <w:color w:val="auto"/>
                <w:sz w:val="24"/>
                <w:szCs w:val="24"/>
                <w:highlight w:val="none"/>
                <w:vertAlign w:val="baseline"/>
                <w:lang w:val="en-US" w:eastAsia="zh-CN"/>
              </w:rPr>
              <w:t>号</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74-82-8</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RTECS</w:t>
            </w:r>
            <w:r>
              <w:rPr>
                <w:rFonts w:hint="eastAsia" w:ascii="Times New Roman" w:hAnsi="Times New Roman" w:cs="Times New Roman"/>
                <w:color w:val="auto"/>
                <w:sz w:val="24"/>
                <w:szCs w:val="24"/>
                <w:highlight w:val="none"/>
                <w:vertAlign w:val="baseline"/>
                <w:lang w:val="en-US" w:eastAsia="zh-CN"/>
              </w:rPr>
              <w:t>号</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PA1490000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UN</w:t>
            </w:r>
            <w:r>
              <w:rPr>
                <w:rFonts w:hint="eastAsia" w:ascii="Times New Roman" w:hAnsi="Times New Roman" w:cs="Times New Roman"/>
                <w:color w:val="auto"/>
                <w:sz w:val="24"/>
                <w:szCs w:val="24"/>
                <w:highlight w:val="none"/>
                <w:vertAlign w:val="baseline"/>
                <w:lang w:val="en-US" w:eastAsia="zh-CN"/>
              </w:rPr>
              <w:t>编号</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1971</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危险货物编号</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21007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EC</w:t>
            </w:r>
            <w:r>
              <w:rPr>
                <w:rFonts w:hint="eastAsia" w:ascii="Times New Roman" w:hAnsi="Times New Roman" w:cs="Times New Roman"/>
                <w:color w:val="auto"/>
                <w:sz w:val="24"/>
                <w:szCs w:val="24"/>
                <w:highlight w:val="none"/>
                <w:vertAlign w:val="baseline"/>
                <w:lang w:val="en-US" w:eastAsia="zh-CN"/>
              </w:rPr>
              <w:t>编号</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601-001-00-4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理化</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性质</w:t>
            </w: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外观与性状</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无色无臭气体。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溶解性</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微溶于水，溶于乙醇、乙醚</w:t>
            </w:r>
            <w:r>
              <w:rPr>
                <w:rFonts w:hint="default"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主要用途</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用作燃料和用于炭黑、氢、乙炔、甲醛等的制造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熔点</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-182.5</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相对密度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水</w:t>
            </w:r>
            <w:r>
              <w:rPr>
                <w:rFonts w:hint="default" w:ascii="Times New Roman" w:hAnsi="Times New Roman" w:cs="Times New Roman"/>
                <w:color w:val="auto"/>
                <w:sz w:val="24"/>
                <w:szCs w:val="24"/>
                <w:highlight w:val="none"/>
                <w:vertAlign w:val="baseline"/>
                <w:lang w:val="en-US" w:eastAsia="zh-CN"/>
              </w:rPr>
              <w:t>=1)</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0.42/-164</w:t>
            </w: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沸点</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-161.5</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相对密度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空气</w:t>
            </w:r>
            <w:r>
              <w:rPr>
                <w:rFonts w:hint="default" w:ascii="Times New Roman" w:hAnsi="Times New Roman" w:cs="Times New Roman"/>
                <w:color w:val="auto"/>
                <w:sz w:val="24"/>
                <w:szCs w:val="24"/>
                <w:highlight w:val="none"/>
                <w:vertAlign w:val="baseline"/>
                <w:lang w:val="en-US" w:eastAsia="zh-CN"/>
              </w:rPr>
              <w:t>=1)</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饱和蒸汽压</w:t>
            </w:r>
            <w:r>
              <w:rPr>
                <w:rFonts w:hint="default" w:ascii="Times New Roman" w:hAnsi="Times New Roman" w:cs="Times New Roman"/>
                <w:color w:val="auto"/>
                <w:sz w:val="24"/>
                <w:szCs w:val="24"/>
                <w:highlight w:val="none"/>
                <w:vertAlign w:val="baseline"/>
                <w:lang w:val="en-US" w:eastAsia="zh-CN"/>
              </w:rPr>
              <w:t>(kpa)</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53.32(-168.8</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临界温度</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-82.6</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临界压力</w:t>
            </w:r>
            <w:r>
              <w:rPr>
                <w:rFonts w:hint="default" w:ascii="Times New Roman" w:hAnsi="Times New Roman" w:cs="Times New Roman"/>
                <w:color w:val="auto"/>
                <w:sz w:val="24"/>
                <w:szCs w:val="24"/>
                <w:highlight w:val="none"/>
                <w:vertAlign w:val="baseline"/>
                <w:lang w:val="en-US" w:eastAsia="zh-CN"/>
              </w:rPr>
              <w:t>(Mpa)</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燃烧热</w:t>
            </w:r>
            <w:r>
              <w:rPr>
                <w:rFonts w:hint="default" w:ascii="Times New Roman" w:hAnsi="Times New Roman" w:cs="Times New Roman"/>
                <w:color w:val="auto"/>
                <w:sz w:val="24"/>
                <w:szCs w:val="24"/>
                <w:highlight w:val="none"/>
                <w:vertAlign w:val="baseline"/>
                <w:lang w:val="en-US" w:eastAsia="zh-CN"/>
              </w:rPr>
              <w:t>(KJ/mol)</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889.5</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最小引燃能量</w:t>
            </w:r>
            <w:r>
              <w:rPr>
                <w:rFonts w:hint="default" w:ascii="Times New Roman" w:hAnsi="Times New Roman" w:cs="Times New Roman"/>
                <w:color w:val="auto"/>
                <w:sz w:val="24"/>
                <w:szCs w:val="24"/>
                <w:highlight w:val="none"/>
                <w:vertAlign w:val="baseline"/>
                <w:lang w:val="en-US" w:eastAsia="zh-CN"/>
              </w:rPr>
              <w:t>(mJ)</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毒性及健康危害</w:t>
            </w:r>
          </w:p>
        </w:tc>
        <w:tc>
          <w:tcPr>
            <w:tcW w:w="19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接触限值</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中国</w:t>
            </w:r>
            <w:r>
              <w:rPr>
                <w:rFonts w:hint="default" w:ascii="Times New Roman" w:hAnsi="Times New Roman" w:cs="Times New Roman"/>
                <w:color w:val="auto"/>
                <w:sz w:val="24"/>
                <w:szCs w:val="24"/>
                <w:highlight w:val="none"/>
                <w:vertAlign w:val="baseline"/>
                <w:lang w:val="en-US" w:eastAsia="zh-CN"/>
              </w:rPr>
              <w:t>MAC</w:t>
            </w:r>
          </w:p>
        </w:tc>
        <w:tc>
          <w:tcPr>
            <w:tcW w:w="340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未制定标准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前苏联</w:t>
            </w:r>
            <w:r>
              <w:rPr>
                <w:rFonts w:hint="default" w:ascii="Times New Roman" w:hAnsi="Times New Roman" w:cs="Times New Roman"/>
                <w:color w:val="auto"/>
                <w:sz w:val="24"/>
                <w:szCs w:val="24"/>
                <w:highlight w:val="none"/>
                <w:vertAlign w:val="baseline"/>
                <w:lang w:val="en-US" w:eastAsia="zh-CN"/>
              </w:rPr>
              <w:t>MAC</w:t>
            </w:r>
          </w:p>
        </w:tc>
        <w:tc>
          <w:tcPr>
            <w:tcW w:w="340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300mg/m</w:t>
            </w:r>
            <w:r>
              <w:rPr>
                <w:rFonts w:hint="eastAsia" w:ascii="Times New Roman" w:hAnsi="Times New Roman" w:cs="Times New Roman"/>
                <w:color w:val="auto"/>
                <w:sz w:val="24"/>
                <w:szCs w:val="24"/>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美国</w:t>
            </w:r>
            <w:r>
              <w:rPr>
                <w:rFonts w:hint="default" w:ascii="Times New Roman" w:hAnsi="Times New Roman" w:cs="Times New Roman"/>
                <w:color w:val="auto"/>
                <w:sz w:val="24"/>
                <w:szCs w:val="24"/>
                <w:highlight w:val="none"/>
                <w:vertAlign w:val="baseline"/>
                <w:lang w:val="en-US" w:eastAsia="zh-CN"/>
              </w:rPr>
              <w:t>TWA</w:t>
            </w:r>
          </w:p>
        </w:tc>
        <w:tc>
          <w:tcPr>
            <w:tcW w:w="340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ACGIH</w:t>
            </w:r>
            <w:r>
              <w:rPr>
                <w:rFonts w:hint="eastAsia" w:ascii="Times New Roman" w:hAnsi="Times New Roman" w:cs="Times New Roman"/>
                <w:color w:val="auto"/>
                <w:sz w:val="24"/>
                <w:szCs w:val="24"/>
                <w:highlight w:val="none"/>
                <w:vertAlign w:val="baseline"/>
                <w:lang w:val="en-US" w:eastAsia="zh-CN"/>
              </w:rPr>
              <w:t>窒息性气体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美国</w:t>
            </w:r>
            <w:r>
              <w:rPr>
                <w:rFonts w:hint="default" w:ascii="Times New Roman" w:hAnsi="Times New Roman" w:cs="Times New Roman"/>
                <w:color w:val="auto"/>
                <w:sz w:val="24"/>
                <w:szCs w:val="24"/>
                <w:highlight w:val="none"/>
                <w:vertAlign w:val="baseline"/>
                <w:lang w:val="en-US" w:eastAsia="zh-CN"/>
              </w:rPr>
              <w:t>STEL</w:t>
            </w:r>
          </w:p>
        </w:tc>
        <w:tc>
          <w:tcPr>
            <w:tcW w:w="340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未制定标准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侵入途径</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吸入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健康危害</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、当空气中甲烷浓度达</w:t>
            </w:r>
            <w:r>
              <w:rPr>
                <w:rFonts w:hint="default" w:ascii="Times New Roman" w:hAnsi="Times New Roman" w:cs="Times New Roman"/>
                <w:color w:val="auto"/>
                <w:sz w:val="24"/>
                <w:szCs w:val="24"/>
                <w:highlight w:val="none"/>
                <w:vertAlign w:val="baseline"/>
                <w:lang w:val="en-US" w:eastAsia="zh-CN"/>
              </w:rPr>
              <w:t>25-30%</w:t>
            </w:r>
            <w:r>
              <w:rPr>
                <w:rFonts w:hint="eastAsia" w:ascii="Times New Roman" w:hAnsi="Times New Roman" w:cs="Times New Roman"/>
                <w:color w:val="auto"/>
                <w:sz w:val="24"/>
                <w:szCs w:val="24"/>
                <w:highlight w:val="none"/>
                <w:vertAlign w:val="baseline"/>
                <w:lang w:val="en-US" w:eastAsia="zh-CN"/>
              </w:rPr>
              <w:t>时，可引起头痛、头晕、乏力、注意力不集中、呼吸和心跳加速、精细动作障碍等；</w:t>
            </w:r>
            <w:r>
              <w:rPr>
                <w:rFonts w:hint="default" w:ascii="Times New Roman" w:hAnsi="Times New Roman" w:cs="Times New Roman"/>
                <w:color w:val="auto"/>
                <w:sz w:val="24"/>
                <w:szCs w:val="24"/>
                <w:highlight w:val="none"/>
                <w:vertAlign w:val="baseline"/>
                <w:lang w:val="en-US" w:eastAsia="zh-CN"/>
              </w:rPr>
              <w:t>2</w:t>
            </w:r>
            <w:r>
              <w:rPr>
                <w:rFonts w:hint="eastAsia" w:ascii="Times New Roman" w:hAnsi="Times New Roman" w:cs="Times New Roman"/>
                <w:color w:val="auto"/>
                <w:sz w:val="24"/>
                <w:szCs w:val="24"/>
                <w:highlight w:val="none"/>
                <w:vertAlign w:val="baseline"/>
                <w:lang w:val="en-US" w:eastAsia="zh-CN"/>
              </w:rPr>
              <w:t>、当空气中甲烷浓度更高时，可能使人出现窒息、昏迷等。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燃烧爆炸危险性</w:t>
            </w: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燃烧性</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易燃</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建规火险等级</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闪点</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-188</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爆炸下限</w:t>
            </w:r>
            <w:r>
              <w:rPr>
                <w:rFonts w:hint="default" w:ascii="Times New Roman" w:hAnsi="Times New Roman" w:cs="Times New Roman"/>
                <w:color w:val="auto"/>
                <w:sz w:val="24"/>
                <w:szCs w:val="24"/>
                <w:highlight w:val="none"/>
                <w:vertAlign w:val="baseline"/>
                <w:lang w:val="en-US" w:eastAsia="zh-CN"/>
              </w:rPr>
              <w:t>(v%)</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自然温度</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p>
        </w:tc>
        <w:tc>
          <w:tcPr>
            <w:tcW w:w="20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538</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爆炸上限</w:t>
            </w:r>
            <w:r>
              <w:rPr>
                <w:rFonts w:hint="default" w:ascii="Times New Roman" w:hAnsi="Times New Roman" w:cs="Times New Roman"/>
                <w:color w:val="auto"/>
                <w:sz w:val="24"/>
                <w:szCs w:val="24"/>
                <w:highlight w:val="none"/>
                <w:vertAlign w:val="baseline"/>
                <w:lang w:val="en-US" w:eastAsia="zh-CN"/>
              </w:rPr>
              <w:t>(v%)</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危险特性</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、甲烷与空气混合能形成爆炸性混合物，当在爆炸极限范围内遇明火、高热能时引起燃烧爆炸。</w:t>
            </w:r>
            <w:r>
              <w:rPr>
                <w:rFonts w:hint="default" w:ascii="Times New Roman" w:hAnsi="Times New Roman" w:cs="Times New Roman"/>
                <w:color w:val="auto"/>
                <w:sz w:val="24"/>
                <w:szCs w:val="24"/>
                <w:highlight w:val="none"/>
                <w:vertAlign w:val="baseline"/>
                <w:lang w:val="en-US" w:eastAsia="zh-CN"/>
              </w:rPr>
              <w:t>2</w:t>
            </w:r>
            <w:r>
              <w:rPr>
                <w:rFonts w:hint="eastAsia" w:ascii="Times New Roman" w:hAnsi="Times New Roman" w:cs="Times New Roman"/>
                <w:color w:val="auto"/>
                <w:sz w:val="24"/>
                <w:szCs w:val="24"/>
                <w:highlight w:val="none"/>
                <w:vertAlign w:val="baseline"/>
                <w:lang w:val="en-US" w:eastAsia="zh-CN"/>
              </w:rPr>
              <w:t>、甲烷与氟、氯等能发生剧烈的化学反应。</w:t>
            </w:r>
            <w:r>
              <w:rPr>
                <w:rFonts w:hint="default" w:ascii="Times New Roman" w:hAnsi="Times New Roman" w:cs="Times New Roman"/>
                <w:color w:val="auto"/>
                <w:sz w:val="24"/>
                <w:szCs w:val="24"/>
                <w:highlight w:val="none"/>
                <w:vertAlign w:val="baseline"/>
                <w:lang w:val="en-US" w:eastAsia="zh-CN"/>
              </w:rPr>
              <w:t>3</w:t>
            </w:r>
            <w:r>
              <w:rPr>
                <w:rFonts w:hint="eastAsia" w:ascii="Times New Roman" w:hAnsi="Times New Roman" w:cs="Times New Roman"/>
                <w:color w:val="auto"/>
                <w:sz w:val="24"/>
                <w:szCs w:val="24"/>
                <w:highlight w:val="none"/>
                <w:vertAlign w:val="baseline"/>
                <w:lang w:val="en-US" w:eastAsia="zh-CN"/>
              </w:rPr>
              <w:t>、甲烷若遇高热，容器内压增大，有开裂和爆炸的危险。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稳定性</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稳定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聚合危害</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不会出现聚合危害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禁忌物</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强氧化剂，如氟、氯等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灭火方法</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、立即切断气源。</w:t>
            </w:r>
            <w:r>
              <w:rPr>
                <w:rFonts w:hint="default" w:ascii="Times New Roman" w:hAnsi="Times New Roman" w:cs="Times New Roman"/>
                <w:color w:val="auto"/>
                <w:sz w:val="24"/>
                <w:szCs w:val="24"/>
                <w:highlight w:val="none"/>
                <w:vertAlign w:val="baseline"/>
                <w:lang w:val="en-US" w:eastAsia="zh-CN"/>
              </w:rPr>
              <w:t>2</w:t>
            </w:r>
            <w:r>
              <w:rPr>
                <w:rFonts w:hint="eastAsia" w:ascii="Times New Roman" w:hAnsi="Times New Roman" w:cs="Times New Roman"/>
                <w:color w:val="auto"/>
                <w:sz w:val="24"/>
                <w:szCs w:val="24"/>
                <w:highlight w:val="none"/>
                <w:vertAlign w:val="baseline"/>
                <w:lang w:val="en-US" w:eastAsia="zh-CN"/>
              </w:rPr>
              <w:t>、若不能立即切断气源，则不允许熄灭正在燃烧的气体。</w:t>
            </w:r>
            <w:r>
              <w:rPr>
                <w:rFonts w:hint="default" w:ascii="Times New Roman" w:hAnsi="Times New Roman" w:cs="Times New Roman"/>
                <w:color w:val="auto"/>
                <w:sz w:val="24"/>
                <w:szCs w:val="24"/>
                <w:highlight w:val="none"/>
                <w:vertAlign w:val="baseline"/>
                <w:lang w:val="en-US" w:eastAsia="zh-CN"/>
              </w:rPr>
              <w:t>3</w:t>
            </w:r>
            <w:r>
              <w:rPr>
                <w:rFonts w:hint="eastAsia" w:ascii="Times New Roman" w:hAnsi="Times New Roman" w:cs="Times New Roman"/>
                <w:color w:val="auto"/>
                <w:sz w:val="24"/>
                <w:szCs w:val="24"/>
                <w:highlight w:val="none"/>
                <w:vertAlign w:val="baseline"/>
                <w:lang w:val="en-US" w:eastAsia="zh-CN"/>
              </w:rPr>
              <w:t>、喷水冷却容器，如果可能应将容器从火场移至空旷处。</w:t>
            </w:r>
            <w:r>
              <w:rPr>
                <w:rFonts w:hint="default" w:ascii="Times New Roman" w:hAnsi="Times New Roman" w:cs="Times New Roman"/>
                <w:color w:val="auto"/>
                <w:sz w:val="24"/>
                <w:szCs w:val="24"/>
                <w:highlight w:val="none"/>
                <w:vertAlign w:val="baseline"/>
                <w:lang w:val="en-US" w:eastAsia="zh-CN"/>
              </w:rPr>
              <w:t>4</w:t>
            </w:r>
            <w:r>
              <w:rPr>
                <w:rFonts w:hint="eastAsia" w:ascii="Times New Roman" w:hAnsi="Times New Roman" w:cs="Times New Roman"/>
                <w:color w:val="auto"/>
                <w:sz w:val="24"/>
                <w:szCs w:val="24"/>
                <w:highlight w:val="none"/>
                <w:vertAlign w:val="baseline"/>
                <w:lang w:val="en-US" w:eastAsia="zh-CN"/>
              </w:rPr>
              <w:t>、采用雾状水、泡沫灭火器和二氧化碳灭火器等。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包装</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储运</w:t>
            </w: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危险性类别</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第</w:t>
            </w:r>
            <w:r>
              <w:rPr>
                <w:rFonts w:hint="default" w:ascii="Times New Roman" w:hAnsi="Times New Roman" w:cs="Times New Roman"/>
                <w:color w:val="auto"/>
                <w:sz w:val="24"/>
                <w:szCs w:val="24"/>
                <w:highlight w:val="none"/>
                <w:vertAlign w:val="baseline"/>
                <w:lang w:val="en-US" w:eastAsia="zh-CN"/>
              </w:rPr>
              <w:t>2.1</w:t>
            </w:r>
            <w:r>
              <w:rPr>
                <w:rFonts w:hint="eastAsia" w:ascii="Times New Roman" w:hAnsi="Times New Roman" w:cs="Times New Roman"/>
                <w:color w:val="auto"/>
                <w:sz w:val="24"/>
                <w:szCs w:val="24"/>
                <w:highlight w:val="none"/>
                <w:vertAlign w:val="baseline"/>
                <w:lang w:val="en-US" w:eastAsia="zh-CN"/>
              </w:rPr>
              <w:t>类</w:t>
            </w:r>
            <w:r>
              <w:rPr>
                <w:rFonts w:hint="default" w:ascii="Times New Roman" w:hAnsi="Times New Roman" w:cs="Times New Roman"/>
                <w:color w:val="auto"/>
                <w:sz w:val="24"/>
                <w:szCs w:val="24"/>
                <w:highlight w:val="none"/>
                <w:vertAlign w:val="baseline"/>
                <w:lang w:val="en-US" w:eastAsia="zh-CN"/>
              </w:rPr>
              <w:t>(UN</w:t>
            </w:r>
            <w:r>
              <w:rPr>
                <w:rFonts w:hint="eastAsia" w:ascii="Times New Roman" w:hAnsi="Times New Roman" w:cs="Times New Roman"/>
                <w:color w:val="auto"/>
                <w:sz w:val="24"/>
                <w:szCs w:val="24"/>
                <w:highlight w:val="none"/>
                <w:vertAlign w:val="baseline"/>
                <w:lang w:val="en-US" w:eastAsia="zh-CN"/>
              </w:rPr>
              <w:t>类别</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易燃气体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危险货物包装</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标志</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包装</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储运</w:t>
            </w: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储运注意事项</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、储存于阴凉、通风的储存间内，且储存间内温度不宜超过</w:t>
            </w:r>
            <w:r>
              <w:rPr>
                <w:rFonts w:hint="default" w:ascii="Times New Roman" w:hAnsi="Times New Roman" w:cs="Times New Roman"/>
                <w:color w:val="auto"/>
                <w:sz w:val="24"/>
                <w:szCs w:val="24"/>
                <w:highlight w:val="none"/>
                <w:vertAlign w:val="baseline"/>
                <w:lang w:val="en-US" w:eastAsia="zh-CN"/>
              </w:rPr>
              <w:t>30</w:t>
            </w:r>
            <w:r>
              <w:rPr>
                <w:rFonts w:hint="eastAsia" w:ascii="Times New Roman" w:hAnsi="Times New Roman" w:cs="Times New Roman"/>
                <w:color w:val="auto"/>
                <w:sz w:val="24"/>
                <w:szCs w:val="24"/>
                <w:highlight w:val="none"/>
                <w:vertAlign w:val="baseline"/>
                <w:lang w:val="en-US" w:eastAsia="zh-CN"/>
              </w:rPr>
              <w:t>℃，储存间内的照明、通风设施应采用防爆型，开关设置于储存间外。</w:t>
            </w:r>
            <w:r>
              <w:rPr>
                <w:rFonts w:hint="default" w:ascii="Times New Roman" w:hAnsi="Times New Roman" w:cs="Times New Roman"/>
                <w:color w:val="auto"/>
                <w:sz w:val="24"/>
                <w:szCs w:val="24"/>
                <w:highlight w:val="none"/>
                <w:vertAlign w:val="baseline"/>
                <w:lang w:val="en-US" w:eastAsia="zh-CN"/>
              </w:rPr>
              <w:t>2</w:t>
            </w:r>
            <w:r>
              <w:rPr>
                <w:rFonts w:hint="eastAsia" w:ascii="Times New Roman" w:hAnsi="Times New Roman" w:cs="Times New Roman"/>
                <w:color w:val="auto"/>
                <w:sz w:val="24"/>
                <w:szCs w:val="24"/>
                <w:highlight w:val="none"/>
                <w:vertAlign w:val="baseline"/>
                <w:lang w:val="en-US" w:eastAsia="zh-CN"/>
              </w:rPr>
              <w:t>、罐储时，要有防火防爆措施，若为露天储罐夏季应有降温措施。</w:t>
            </w:r>
            <w:r>
              <w:rPr>
                <w:rFonts w:hint="default" w:ascii="Times New Roman" w:hAnsi="Times New Roman" w:cs="Times New Roman"/>
                <w:color w:val="auto"/>
                <w:sz w:val="24"/>
                <w:szCs w:val="24"/>
                <w:highlight w:val="none"/>
                <w:vertAlign w:val="baseline"/>
                <w:lang w:val="en-US" w:eastAsia="zh-CN"/>
              </w:rPr>
              <w:t>3</w:t>
            </w:r>
            <w:r>
              <w:rPr>
                <w:rFonts w:hint="eastAsia" w:ascii="Times New Roman" w:hAnsi="Times New Roman" w:cs="Times New Roman"/>
                <w:color w:val="auto"/>
                <w:sz w:val="24"/>
                <w:szCs w:val="24"/>
                <w:highlight w:val="none"/>
                <w:vertAlign w:val="baseline"/>
                <w:lang w:val="en-US" w:eastAsia="zh-CN"/>
              </w:rPr>
              <w:t>、储存间和储罐附近应配备相应品种和数量的消防器材。</w:t>
            </w:r>
            <w:r>
              <w:rPr>
                <w:rFonts w:hint="default" w:ascii="Times New Roman" w:hAnsi="Times New Roman" w:cs="Times New Roman"/>
                <w:color w:val="auto"/>
                <w:sz w:val="24"/>
                <w:szCs w:val="24"/>
                <w:highlight w:val="none"/>
                <w:vertAlign w:val="baseline"/>
                <w:lang w:val="en-US" w:eastAsia="zh-CN"/>
              </w:rPr>
              <w:t>4</w:t>
            </w:r>
            <w:r>
              <w:rPr>
                <w:rFonts w:hint="eastAsia" w:ascii="Times New Roman" w:hAnsi="Times New Roman" w:cs="Times New Roman"/>
                <w:color w:val="auto"/>
                <w:sz w:val="24"/>
                <w:szCs w:val="24"/>
                <w:highlight w:val="none"/>
                <w:vertAlign w:val="baseline"/>
                <w:lang w:val="en-US" w:eastAsia="zh-CN"/>
              </w:rPr>
              <w:t>、远离火种、热源，禁止使用易产生火花的机械设备和工具。</w:t>
            </w:r>
            <w:r>
              <w:rPr>
                <w:rFonts w:hint="default" w:ascii="Times New Roman" w:hAnsi="Times New Roman" w:cs="Times New Roman"/>
                <w:color w:val="auto"/>
                <w:sz w:val="24"/>
                <w:szCs w:val="24"/>
                <w:highlight w:val="none"/>
                <w:vertAlign w:val="baseline"/>
                <w:lang w:val="en-US" w:eastAsia="zh-CN"/>
              </w:rPr>
              <w:t>5</w:t>
            </w:r>
            <w:r>
              <w:rPr>
                <w:rFonts w:hint="eastAsia" w:ascii="Times New Roman" w:hAnsi="Times New Roman" w:cs="Times New Roman"/>
                <w:color w:val="auto"/>
                <w:sz w:val="24"/>
                <w:szCs w:val="24"/>
                <w:highlight w:val="none"/>
                <w:vertAlign w:val="baseline"/>
                <w:lang w:val="en-US" w:eastAsia="zh-CN"/>
              </w:rPr>
              <w:t>、防止阳光直射。</w:t>
            </w:r>
            <w:r>
              <w:rPr>
                <w:rFonts w:hint="default" w:ascii="Times New Roman" w:hAnsi="Times New Roman" w:cs="Times New Roman"/>
                <w:color w:val="auto"/>
                <w:sz w:val="24"/>
                <w:szCs w:val="24"/>
                <w:highlight w:val="none"/>
                <w:vertAlign w:val="baseline"/>
                <w:lang w:val="en-US" w:eastAsia="zh-CN"/>
              </w:rPr>
              <w:t>6</w:t>
            </w:r>
            <w:r>
              <w:rPr>
                <w:rFonts w:hint="eastAsia" w:ascii="Times New Roman" w:hAnsi="Times New Roman" w:cs="Times New Roman"/>
                <w:color w:val="auto"/>
                <w:sz w:val="24"/>
                <w:szCs w:val="24"/>
                <w:highlight w:val="none"/>
                <w:vertAlign w:val="baseline"/>
                <w:lang w:val="en-US" w:eastAsia="zh-CN"/>
              </w:rPr>
              <w:t>、与氧气、压缩空气、卤素</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氟、氯、溴</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等分开存放，切忌混储混运。</w:t>
            </w:r>
            <w:r>
              <w:rPr>
                <w:rFonts w:hint="default" w:ascii="Times New Roman" w:hAnsi="Times New Roman" w:cs="Times New Roman"/>
                <w:color w:val="auto"/>
                <w:sz w:val="24"/>
                <w:szCs w:val="24"/>
                <w:highlight w:val="none"/>
                <w:vertAlign w:val="baseline"/>
                <w:lang w:val="en-US" w:eastAsia="zh-CN"/>
              </w:rPr>
              <w:t>7</w:t>
            </w:r>
            <w:r>
              <w:rPr>
                <w:rFonts w:hint="eastAsia" w:ascii="Times New Roman" w:hAnsi="Times New Roman" w:cs="Times New Roman"/>
                <w:color w:val="auto"/>
                <w:sz w:val="24"/>
                <w:szCs w:val="24"/>
                <w:highlight w:val="none"/>
                <w:vertAlign w:val="baseline"/>
                <w:lang w:val="en-US" w:eastAsia="zh-CN"/>
              </w:rPr>
              <w:t>、验收时应注意品名，注意验瓶日期，先进储存的先发用。</w:t>
            </w:r>
            <w:r>
              <w:rPr>
                <w:rFonts w:hint="default" w:ascii="Times New Roman" w:hAnsi="Times New Roman" w:cs="Times New Roman"/>
                <w:color w:val="auto"/>
                <w:sz w:val="24"/>
                <w:szCs w:val="24"/>
                <w:highlight w:val="none"/>
                <w:vertAlign w:val="baseline"/>
                <w:lang w:val="en-US" w:eastAsia="zh-CN"/>
              </w:rPr>
              <w:t>8</w:t>
            </w:r>
            <w:r>
              <w:rPr>
                <w:rFonts w:hint="eastAsia" w:ascii="Times New Roman" w:hAnsi="Times New Roman" w:cs="Times New Roman"/>
                <w:color w:val="auto"/>
                <w:sz w:val="24"/>
                <w:szCs w:val="24"/>
                <w:highlight w:val="none"/>
                <w:vertAlign w:val="baseline"/>
                <w:lang w:val="en-US" w:eastAsia="zh-CN"/>
              </w:rPr>
              <w:t>、搬运时轻装轻卸，防止钢瓶及附件破损。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急救</w:t>
            </w: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皮肤接触</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若有冻伤，就医治疗。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吸入</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、迅速脱离现场至空气新鲜处。</w:t>
            </w:r>
            <w:r>
              <w:rPr>
                <w:rFonts w:hint="default" w:ascii="Times New Roman" w:hAnsi="Times New Roman" w:cs="Times New Roman"/>
                <w:color w:val="auto"/>
                <w:sz w:val="24"/>
                <w:szCs w:val="24"/>
                <w:highlight w:val="none"/>
                <w:vertAlign w:val="baseline"/>
                <w:lang w:val="en-US" w:eastAsia="zh-CN"/>
              </w:rPr>
              <w:t>2</w:t>
            </w:r>
            <w:r>
              <w:rPr>
                <w:rFonts w:hint="eastAsia" w:ascii="Times New Roman" w:hAnsi="Times New Roman" w:cs="Times New Roman"/>
                <w:color w:val="auto"/>
                <w:sz w:val="24"/>
                <w:szCs w:val="24"/>
                <w:highlight w:val="none"/>
                <w:vertAlign w:val="baseline"/>
                <w:lang w:val="en-US" w:eastAsia="zh-CN"/>
              </w:rPr>
              <w:t>、注意保暖，呼吸困难时给输氧。</w:t>
            </w:r>
            <w:r>
              <w:rPr>
                <w:rFonts w:hint="default" w:ascii="Times New Roman" w:hAnsi="Times New Roman" w:cs="Times New Roman"/>
                <w:color w:val="auto"/>
                <w:sz w:val="24"/>
                <w:szCs w:val="24"/>
                <w:highlight w:val="none"/>
                <w:vertAlign w:val="baseline"/>
                <w:lang w:val="en-US" w:eastAsia="zh-CN"/>
              </w:rPr>
              <w:t>3</w:t>
            </w:r>
            <w:r>
              <w:rPr>
                <w:rFonts w:hint="eastAsia" w:ascii="Times New Roman" w:hAnsi="Times New Roman" w:cs="Times New Roman"/>
                <w:color w:val="auto"/>
                <w:sz w:val="24"/>
                <w:szCs w:val="24"/>
                <w:highlight w:val="none"/>
                <w:vertAlign w:val="baseline"/>
                <w:lang w:val="en-US" w:eastAsia="zh-CN"/>
              </w:rPr>
              <w:t>、呼吸及心跳停止者立即进行人工呼吸和心脏按压术，并就医治疗。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防护</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措施</w:t>
            </w: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工程控制</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全面通风。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呼吸系统防护</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一般不需要特殊防护，高浓度环境中，可佩带供气式呼吸器。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眼睛防护</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一般不需要特殊防护，高浓度接触时可戴安全防护眼镜。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手防护</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一般不需要特殊防护，高浓度接触可戴防护手套。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其它</w:t>
            </w:r>
          </w:p>
        </w:tc>
        <w:tc>
          <w:tcPr>
            <w:tcW w:w="5480"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、工作现场严禁吸烟；</w:t>
            </w:r>
            <w:r>
              <w:rPr>
                <w:rFonts w:hint="default" w:ascii="Times New Roman" w:hAnsi="Times New Roman" w:cs="Times New Roman"/>
                <w:color w:val="auto"/>
                <w:sz w:val="24"/>
                <w:szCs w:val="24"/>
                <w:highlight w:val="none"/>
                <w:vertAlign w:val="baseline"/>
                <w:lang w:val="en-US" w:eastAsia="zh-CN"/>
              </w:rPr>
              <w:t>2</w:t>
            </w:r>
            <w:r>
              <w:rPr>
                <w:rFonts w:hint="eastAsia" w:ascii="Times New Roman" w:hAnsi="Times New Roman" w:cs="Times New Roman"/>
                <w:color w:val="auto"/>
                <w:sz w:val="24"/>
                <w:szCs w:val="24"/>
                <w:highlight w:val="none"/>
                <w:vertAlign w:val="baseline"/>
                <w:lang w:val="en-US" w:eastAsia="zh-CN"/>
              </w:rPr>
              <w:t>、避免长期反复接触；</w:t>
            </w:r>
            <w:r>
              <w:rPr>
                <w:rFonts w:hint="default" w:ascii="Times New Roman" w:hAnsi="Times New Roman" w:cs="Times New Roman"/>
                <w:color w:val="auto"/>
                <w:sz w:val="24"/>
                <w:szCs w:val="24"/>
                <w:highlight w:val="none"/>
                <w:vertAlign w:val="baseline"/>
                <w:lang w:val="en-US" w:eastAsia="zh-CN"/>
              </w:rPr>
              <w:t>3</w:t>
            </w:r>
            <w:r>
              <w:rPr>
                <w:rFonts w:hint="eastAsia" w:ascii="Times New Roman" w:hAnsi="Times New Roman" w:cs="Times New Roman"/>
                <w:color w:val="auto"/>
                <w:sz w:val="24"/>
                <w:szCs w:val="24"/>
                <w:highlight w:val="none"/>
                <w:vertAlign w:val="baseline"/>
                <w:lang w:val="en-US" w:eastAsia="zh-CN"/>
              </w:rPr>
              <w:t>、进入罐区或其它高浓度区作业时须有人监护。</w:t>
            </w:r>
          </w:p>
        </w:tc>
      </w:tr>
    </w:tbl>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5.8.2</w:t>
      </w:r>
      <w:r>
        <w:rPr>
          <w:rFonts w:hint="eastAsia" w:ascii="Times New Roman" w:hAnsi="Times New Roman" w:eastAsia="宋体" w:cs="Times New Roman"/>
          <w:color w:val="auto"/>
          <w:kern w:val="0"/>
          <w:sz w:val="28"/>
          <w:szCs w:val="28"/>
          <w:highlight w:val="none"/>
          <w:lang w:val="en-US" w:eastAsia="zh-CN" w:bidi="ar"/>
        </w:rPr>
        <w:t>风险识别</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本项目钻井过程中最可能发生的环境污染事故为井喷和柴油罐泄漏，其影响环境的途径分析如下：</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（1）井喷</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井作业是通过地面钻机等设备带动钻杆、钻头，破碎地层岩石，使井不断加深，直至目的层。当钻井作业进入含气层后，存在发生井喷事故的可能性。另外，完井和井下作业过程中也有发生井喷的可能性。井喷时大量的天然气从井口喷出，喷出气体可达几万到几十万方，并且井喷发生时，当天然气在空气中的浓度达到</w:t>
      </w: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15%</w:t>
      </w:r>
      <w:r>
        <w:rPr>
          <w:rFonts w:hint="eastAsia" w:ascii="Times New Roman" w:hAnsi="Times New Roman" w:eastAsia="宋体" w:cs="Times New Roman"/>
          <w:color w:val="auto"/>
          <w:kern w:val="0"/>
          <w:sz w:val="28"/>
          <w:szCs w:val="28"/>
          <w:highlight w:val="none"/>
          <w:lang w:val="en-US" w:eastAsia="zh-CN" w:bidi="ar"/>
        </w:rPr>
        <w:t>时，遇火可形成爆炸，而在爆炸浓度范围以外，则极易发生火灾。</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可能造成井喷事故的原因：</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1）压井液密度小于地层压力；</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2）起钻未按要求灌浆；</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3）不能及时准确的发现溢流；溢流后处理措施不当。如，有的井发现溢流后不是及时正确的关井，而是继续循环观察，致使气侵段钻井液或气柱迅速上移，再想关井，为时已晚。</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4）井身结构设计不合理。表层套管下的深度不够，技术套管下的深度又靠上，当钻到下地层遇有异常压力而关井时，在表层套管鞋外憋漏，钻井液窜至井场地表，无法实施关井。</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（2）套管破损</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为保证钻井期间不对地下水造成污染，本项目在钻井过程中使用三层套管（由表层套管、技术套管、生产套管组成）。一旦套管发生破损，天然气主要物质为烃类气体，含轻组分较多，其在水中溶解度较小，故对地下水影响有限。但发生气水穿层，可能导致其他物质进入地下含水层，造成地下水污染。</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套管破损可能的污染途径包括：污染物通过破损的套管运移、通过井套管与钻孔器之间的圆环缝隙运移等。</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（3）柴油储罐泄漏</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钻井施工过程使用柴油机，储存过程罐体开裂导致柴油外泄。本项目对柴油储罐区实行重点防渗处置。柴油储罐为地上钢制卧罐，为撬装式结构，容积为40m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/座，占地面积40m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，柴油储罐区外设置围堰，若发生储罐柴油泄露，泄露的柴油可截留在围堰内，及时收集并转移。储罐区进行重点防渗处置，防渗系数K≤1.0×10</w:t>
      </w:r>
      <w:r>
        <w:rPr>
          <w:rFonts w:hint="eastAsia" w:ascii="Times New Roman" w:hAnsi="Times New Roman" w:eastAsia="宋体" w:cs="Times New Roman"/>
          <w:color w:val="auto"/>
          <w:kern w:val="0"/>
          <w:sz w:val="28"/>
          <w:szCs w:val="28"/>
          <w:highlight w:val="none"/>
          <w:vertAlign w:val="superscript"/>
          <w:lang w:val="en-US" w:eastAsia="zh-CN" w:bidi="ar"/>
        </w:rPr>
        <w:t>-10</w:t>
      </w:r>
      <w:r>
        <w:rPr>
          <w:rFonts w:hint="eastAsia" w:ascii="Times New Roman" w:hAnsi="Times New Roman" w:eastAsia="宋体" w:cs="Times New Roman"/>
          <w:color w:val="auto"/>
          <w:kern w:val="0"/>
          <w:sz w:val="28"/>
          <w:szCs w:val="28"/>
          <w:highlight w:val="none"/>
          <w:lang w:val="en-US" w:eastAsia="zh-CN" w:bidi="ar"/>
        </w:rPr>
        <w:t>cm/s。</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若单座柴油储罐发生泄露，泄露的柴油，可</w:t>
      </w:r>
      <w:r>
        <w:rPr>
          <w:rFonts w:hint="eastAsia" w:ascii="Times New Roman" w:hAnsi="Times New Roman" w:eastAsia="宋体" w:cs="Times New Roman"/>
          <w:color w:val="auto"/>
          <w:kern w:val="0"/>
          <w:sz w:val="28"/>
          <w:szCs w:val="28"/>
          <w:highlight w:val="none"/>
          <w:lang w:val="en-US" w:eastAsia="zh-CN" w:bidi="ar"/>
        </w:rPr>
        <w:t>转移至另一座储罐内</w:t>
      </w:r>
      <w:r>
        <w:rPr>
          <w:rFonts w:hint="default" w:ascii="Times New Roman" w:hAnsi="Times New Roman" w:eastAsia="宋体" w:cs="Times New Roman"/>
          <w:color w:val="auto"/>
          <w:kern w:val="0"/>
          <w:sz w:val="28"/>
          <w:szCs w:val="28"/>
          <w:highlight w:val="none"/>
          <w:lang w:val="en-US" w:eastAsia="zh-CN" w:bidi="ar"/>
        </w:rPr>
        <w:t>，每座井场2座储罐同时发生泄露概率极小。</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w:t>
      </w:r>
      <w:r>
        <w:rPr>
          <w:rFonts w:hint="default" w:ascii="Times New Roman" w:hAnsi="Times New Roman" w:eastAsia="宋体" w:cs="Times New Roman"/>
          <w:color w:val="auto"/>
          <w:kern w:val="0"/>
          <w:sz w:val="28"/>
          <w:szCs w:val="28"/>
          <w:highlight w:val="none"/>
          <w:lang w:val="en-US" w:eastAsia="zh-CN" w:bidi="ar"/>
        </w:rPr>
        <w:t>井漏因素</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井漏是钻井过程中遇到复杂地层，钻井泥浆或其他介质（固井水泥浆等）漏入地层孔隙、裂缝等空间的现象。若漏失地层与含水层之间存在较多的断裂或裂隙，漏失的钻井液就有可能顺着岩层断裂、裂隙进入高渗地层地下水，造成地下水污染。</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本项目主要作业场所、生产设备设施环境风险识别见表</w:t>
      </w:r>
      <w:r>
        <w:rPr>
          <w:rFonts w:hint="default" w:ascii="Times New Roman" w:hAnsi="Times New Roman" w:eastAsia="宋体" w:cs="Times New Roman"/>
          <w:color w:val="auto"/>
          <w:kern w:val="0"/>
          <w:sz w:val="28"/>
          <w:szCs w:val="28"/>
          <w:highlight w:val="none"/>
          <w:lang w:val="en-US" w:eastAsia="zh-CN" w:bidi="ar"/>
        </w:rPr>
        <w:t>5.8-3</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5.8-3</w:t>
      </w:r>
      <w:r>
        <w:rPr>
          <w:rFonts w:hint="eastAsia" w:ascii="Times New Roman" w:hAnsi="Times New Roman" w:eastAsia="宋体" w:cs="Times New Roman"/>
          <w:b/>
          <w:bCs/>
          <w:color w:val="auto"/>
          <w:kern w:val="0"/>
          <w:sz w:val="24"/>
          <w:szCs w:val="24"/>
          <w:highlight w:val="none"/>
          <w:lang w:val="en-US" w:eastAsia="zh-CN" w:bidi="ar"/>
        </w:rPr>
        <w:t>项目环境风险识别表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主要设备及场所名称</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危险介质</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主要危险特性</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影响环境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钻井井场</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天然气、柴油、KOH</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火灾、爆炸、中毒</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空气、地表水、地下水</w:t>
            </w:r>
          </w:p>
        </w:tc>
      </w:tr>
    </w:tbl>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5.8.3</w:t>
      </w:r>
      <w:r>
        <w:rPr>
          <w:rFonts w:hint="eastAsia" w:ascii="Times New Roman" w:hAnsi="Times New Roman" w:eastAsia="宋体" w:cs="Times New Roman"/>
          <w:color w:val="auto"/>
          <w:kern w:val="0"/>
          <w:sz w:val="28"/>
          <w:szCs w:val="28"/>
          <w:highlight w:val="none"/>
          <w:lang w:val="en-US" w:eastAsia="zh-CN" w:bidi="ar"/>
        </w:rPr>
        <w:t>风险潜势初判</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根据《建设项目环境风险评价技术导则》（</w:t>
      </w:r>
      <w:r>
        <w:rPr>
          <w:rFonts w:hint="default" w:ascii="Times New Roman" w:hAnsi="Times New Roman" w:eastAsia="宋体" w:cs="Times New Roman"/>
          <w:color w:val="auto"/>
          <w:kern w:val="0"/>
          <w:sz w:val="28"/>
          <w:szCs w:val="28"/>
          <w:highlight w:val="none"/>
          <w:lang w:val="en-US" w:eastAsia="zh-CN" w:bidi="ar"/>
        </w:rPr>
        <w:t>HJ169-2018</w:t>
      </w:r>
      <w:r>
        <w:rPr>
          <w:rFonts w:hint="eastAsia" w:ascii="Times New Roman" w:hAnsi="Times New Roman" w:eastAsia="宋体" w:cs="Times New Roman"/>
          <w:color w:val="auto"/>
          <w:kern w:val="0"/>
          <w:sz w:val="28"/>
          <w:szCs w:val="28"/>
          <w:highlight w:val="none"/>
          <w:lang w:val="en-US" w:eastAsia="zh-CN" w:bidi="ar"/>
        </w:rPr>
        <w:t>），定量分析危险物质数量与临界量的比值（</w:t>
      </w:r>
      <w:r>
        <w:rPr>
          <w:rFonts w:hint="default" w:ascii="Times New Roman" w:hAnsi="Times New Roman" w:eastAsia="宋体" w:cs="Times New Roman"/>
          <w:color w:val="auto"/>
          <w:kern w:val="0"/>
          <w:sz w:val="28"/>
          <w:szCs w:val="28"/>
          <w:highlight w:val="none"/>
          <w:lang w:val="en-US" w:eastAsia="zh-CN" w:bidi="ar"/>
        </w:rPr>
        <w:t>Q</w:t>
      </w:r>
      <w:r>
        <w:rPr>
          <w:rFonts w:hint="eastAsia" w:ascii="Times New Roman" w:hAnsi="Times New Roman" w:eastAsia="宋体" w:cs="Times New Roman"/>
          <w:color w:val="auto"/>
          <w:kern w:val="0"/>
          <w:sz w:val="28"/>
          <w:szCs w:val="28"/>
          <w:highlight w:val="none"/>
          <w:lang w:val="en-US" w:eastAsia="zh-CN" w:bidi="ar"/>
        </w:rPr>
        <w:t>），当</w:t>
      </w:r>
      <w:r>
        <w:rPr>
          <w:rFonts w:hint="default" w:ascii="Times New Roman" w:hAnsi="Times New Roman" w:eastAsia="宋体" w:cs="Times New Roman"/>
          <w:color w:val="auto"/>
          <w:kern w:val="0"/>
          <w:sz w:val="28"/>
          <w:szCs w:val="28"/>
          <w:highlight w:val="none"/>
          <w:lang w:val="en-US" w:eastAsia="zh-CN" w:bidi="ar"/>
        </w:rPr>
        <w:t>Q</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时，该项目环境风险潜势为Ⅰ。本项目功能单元施工期为柴油罐区（钻井期间单座井场存储柴油67.2</w:t>
      </w:r>
      <w:r>
        <w:rPr>
          <w:rFonts w:hint="default" w:ascii="Times New Roman" w:hAnsi="Times New Roman" w:eastAsia="宋体" w:cs="Times New Roman"/>
          <w:color w:val="auto"/>
          <w:kern w:val="0"/>
          <w:sz w:val="28"/>
          <w:szCs w:val="28"/>
          <w:highlight w:val="none"/>
          <w:lang w:val="en-US" w:eastAsia="zh-CN" w:bidi="ar"/>
        </w:rPr>
        <w:t>t</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本项目井场不设置专门天然气存储容器，施工期间仅为试气阶段，少量天然气在放空火炬处引燃，因此本项目不进行天然气Q值计算。本项目的</w:t>
      </w:r>
      <w:r>
        <w:rPr>
          <w:rFonts w:hint="default" w:ascii="Times New Roman" w:hAnsi="Times New Roman" w:eastAsia="宋体" w:cs="Times New Roman"/>
          <w:color w:val="auto"/>
          <w:kern w:val="0"/>
          <w:sz w:val="28"/>
          <w:szCs w:val="28"/>
          <w:highlight w:val="none"/>
          <w:lang w:val="en-US" w:eastAsia="zh-CN" w:bidi="ar"/>
        </w:rPr>
        <w:t>Q</w:t>
      </w:r>
      <w:r>
        <w:rPr>
          <w:rFonts w:hint="eastAsia" w:ascii="Times New Roman" w:hAnsi="Times New Roman" w:eastAsia="宋体" w:cs="Times New Roman"/>
          <w:color w:val="auto"/>
          <w:kern w:val="0"/>
          <w:sz w:val="28"/>
          <w:szCs w:val="28"/>
          <w:highlight w:val="none"/>
          <w:lang w:val="en-US" w:eastAsia="zh-CN" w:bidi="ar"/>
        </w:rPr>
        <w:t>值确定情况见表</w:t>
      </w:r>
      <w:r>
        <w:rPr>
          <w:rFonts w:hint="default" w:ascii="Times New Roman" w:hAnsi="Times New Roman" w:eastAsia="宋体" w:cs="Times New Roman"/>
          <w:color w:val="auto"/>
          <w:kern w:val="0"/>
          <w:sz w:val="28"/>
          <w:szCs w:val="28"/>
          <w:highlight w:val="none"/>
          <w:lang w:val="en-US" w:eastAsia="zh-CN" w:bidi="ar"/>
        </w:rPr>
        <w:t>5.8-4</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482" w:firstLineChars="200"/>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5.8-4</w:t>
      </w:r>
      <w:r>
        <w:rPr>
          <w:rFonts w:hint="eastAsia" w:ascii="Times New Roman" w:hAnsi="Times New Roman" w:eastAsia="宋体" w:cs="Times New Roman"/>
          <w:b/>
          <w:bCs/>
          <w:color w:val="auto"/>
          <w:kern w:val="0"/>
          <w:sz w:val="24"/>
          <w:szCs w:val="24"/>
          <w:highlight w:val="none"/>
          <w:lang w:val="en-US" w:eastAsia="zh-CN" w:bidi="ar"/>
        </w:rPr>
        <w:t>危险物质数量与临界量的比值（</w:t>
      </w:r>
      <w:r>
        <w:rPr>
          <w:rFonts w:hint="default" w:ascii="Times New Roman" w:hAnsi="Times New Roman" w:eastAsia="宋体" w:cs="Times New Roman"/>
          <w:b/>
          <w:bCs/>
          <w:color w:val="auto"/>
          <w:kern w:val="0"/>
          <w:sz w:val="24"/>
          <w:szCs w:val="24"/>
          <w:highlight w:val="none"/>
          <w:lang w:val="en-US" w:eastAsia="zh-CN" w:bidi="ar"/>
        </w:rPr>
        <w:t>Q</w:t>
      </w:r>
      <w:r>
        <w:rPr>
          <w:rFonts w:hint="eastAsia" w:ascii="Times New Roman" w:hAnsi="Times New Roman" w:eastAsia="宋体" w:cs="Times New Roman"/>
          <w:b/>
          <w:bCs/>
          <w:color w:val="auto"/>
          <w:kern w:val="0"/>
          <w:sz w:val="24"/>
          <w:szCs w:val="24"/>
          <w:highlight w:val="none"/>
          <w:lang w:val="en-US" w:eastAsia="zh-CN" w:bidi="ar"/>
        </w:rPr>
        <w:t>）确定情况</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4"/>
        <w:gridCol w:w="2173"/>
        <w:gridCol w:w="1419"/>
        <w:gridCol w:w="1419"/>
        <w:gridCol w:w="1419"/>
        <w:gridCol w:w="14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2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危险物质</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CAS</w:t>
            </w:r>
            <w:r>
              <w:rPr>
                <w:rFonts w:hint="eastAsia" w:ascii="Times New Roman" w:hAnsi="Times New Roman" w:cs="Times New Roman"/>
                <w:color w:val="auto"/>
                <w:sz w:val="24"/>
                <w:szCs w:val="24"/>
                <w:highlight w:val="none"/>
                <w:vertAlign w:val="baseline"/>
                <w:lang w:val="en-US" w:eastAsia="zh-CN"/>
              </w:rPr>
              <w:t>号</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最大存在总量（</w:t>
            </w:r>
            <w:r>
              <w:rPr>
                <w:rFonts w:hint="default" w:ascii="Times New Roman" w:hAnsi="Times New Roman" w:cs="Times New Roman"/>
                <w:color w:val="auto"/>
                <w:sz w:val="24"/>
                <w:szCs w:val="24"/>
                <w:highlight w:val="none"/>
                <w:vertAlign w:val="baseline"/>
                <w:lang w:val="en-US" w:eastAsia="zh-CN"/>
              </w:rPr>
              <w:t>t</w:t>
            </w:r>
            <w:r>
              <w:rPr>
                <w:rFonts w:hint="eastAsia" w:ascii="Times New Roman" w:hAnsi="Times New Roman" w:cs="Times New Roman"/>
                <w:color w:val="auto"/>
                <w:sz w:val="24"/>
                <w:szCs w:val="24"/>
                <w:highlight w:val="none"/>
                <w:vertAlign w:val="baseline"/>
                <w:lang w:val="en-US" w:eastAsia="zh-CN"/>
              </w:rPr>
              <w:t>）</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临界量（</w:t>
            </w:r>
            <w:r>
              <w:rPr>
                <w:rFonts w:hint="default" w:ascii="Times New Roman" w:hAnsi="Times New Roman" w:cs="Times New Roman"/>
                <w:color w:val="auto"/>
                <w:sz w:val="24"/>
                <w:szCs w:val="24"/>
                <w:highlight w:val="none"/>
                <w:vertAlign w:val="baseline"/>
                <w:lang w:val="en-US" w:eastAsia="zh-CN"/>
              </w:rPr>
              <w:t>t</w:t>
            </w:r>
            <w:r>
              <w:rPr>
                <w:rFonts w:hint="eastAsia" w:ascii="Times New Roman" w:hAnsi="Times New Roman" w:cs="Times New Roman"/>
                <w:color w:val="auto"/>
                <w:sz w:val="24"/>
                <w:szCs w:val="24"/>
                <w:highlight w:val="none"/>
                <w:vertAlign w:val="baseline"/>
                <w:lang w:val="en-US" w:eastAsia="zh-CN"/>
              </w:rPr>
              <w:t>）</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物质</w:t>
            </w:r>
            <w:r>
              <w:rPr>
                <w:rFonts w:hint="default" w:ascii="Times New Roman" w:hAnsi="Times New Roman" w:cs="Times New Roman"/>
                <w:color w:val="auto"/>
                <w:sz w:val="24"/>
                <w:szCs w:val="24"/>
                <w:highlight w:val="none"/>
                <w:vertAlign w:val="baseline"/>
                <w:lang w:val="en-US" w:eastAsia="zh-CN"/>
              </w:rPr>
              <w:t>Q</w:t>
            </w:r>
            <w:r>
              <w:rPr>
                <w:rFonts w:hint="eastAsia" w:ascii="Times New Roman" w:hAnsi="Times New Roman" w:cs="Times New Roman"/>
                <w:color w:val="auto"/>
                <w:sz w:val="24"/>
                <w:szCs w:val="24"/>
                <w:highlight w:val="none"/>
                <w:vertAlign w:val="baseline"/>
                <w:lang w:val="en-US" w:eastAsia="zh-CN"/>
              </w:rPr>
              <w:t>值</w:t>
            </w:r>
            <w:r>
              <w:rPr>
                <w:rFonts w:hint="default" w:ascii="Times New Roman" w:hAnsi="Times New Roman" w:cs="Times New Roman"/>
                <w:color w:val="auto"/>
                <w:sz w:val="24"/>
                <w:szCs w:val="24"/>
                <w:highlight w:val="none"/>
                <w:vertAlign w:val="baseline"/>
                <w:lang w:val="en-US" w:eastAsia="zh-CN"/>
              </w:rPr>
              <w:t>qn/Qn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2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202</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2500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21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氢氧化钾</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1310-58-3</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2.8</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50</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4"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项目</w:t>
            </w:r>
            <w:r>
              <w:rPr>
                <w:rFonts w:hint="default" w:ascii="Times New Roman" w:hAnsi="Times New Roman" w:cs="Times New Roman"/>
                <w:color w:val="auto"/>
                <w:sz w:val="24"/>
                <w:szCs w:val="24"/>
                <w:highlight w:val="none"/>
                <w:vertAlign w:val="baseline"/>
                <w:lang w:val="en-US" w:eastAsia="zh-CN"/>
              </w:rPr>
              <w:t>Q=Σqn/Qn</w:t>
            </w:r>
          </w:p>
        </w:tc>
        <w:tc>
          <w:tcPr>
            <w:tcW w:w="14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0.137</w:t>
            </w:r>
          </w:p>
        </w:tc>
      </w:tr>
    </w:tbl>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根据上表，本项目</w:t>
      </w:r>
      <w:r>
        <w:rPr>
          <w:rFonts w:hint="default" w:ascii="Times New Roman" w:hAnsi="Times New Roman" w:eastAsia="宋体" w:cs="Times New Roman"/>
          <w:color w:val="auto"/>
          <w:kern w:val="0"/>
          <w:sz w:val="28"/>
          <w:szCs w:val="28"/>
          <w:highlight w:val="none"/>
          <w:lang w:val="en-US" w:eastAsia="zh-CN" w:bidi="ar"/>
        </w:rPr>
        <w:t>Q</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1</w:t>
      </w:r>
      <w:r>
        <w:rPr>
          <w:rFonts w:hint="eastAsia" w:ascii="Times New Roman" w:hAnsi="Times New Roman" w:eastAsia="宋体" w:cs="Times New Roman"/>
          <w:color w:val="auto"/>
          <w:kern w:val="0"/>
          <w:sz w:val="28"/>
          <w:szCs w:val="28"/>
          <w:highlight w:val="none"/>
          <w:lang w:val="en-US" w:eastAsia="zh-CN" w:bidi="ar"/>
        </w:rPr>
        <w:t>时，环境风险潜势为Ⅰ。根据《建设项目环境 风险评价技术导则》（</w:t>
      </w:r>
      <w:r>
        <w:rPr>
          <w:rFonts w:hint="default" w:ascii="Times New Roman" w:hAnsi="Times New Roman" w:eastAsia="宋体" w:cs="Times New Roman"/>
          <w:color w:val="auto"/>
          <w:kern w:val="0"/>
          <w:sz w:val="28"/>
          <w:szCs w:val="28"/>
          <w:highlight w:val="none"/>
          <w:lang w:val="en-US" w:eastAsia="zh-CN" w:bidi="ar"/>
        </w:rPr>
        <w:t>HJ169-2018</w:t>
      </w:r>
      <w:r>
        <w:rPr>
          <w:rFonts w:hint="eastAsia" w:ascii="Times New Roman" w:hAnsi="Times New Roman" w:eastAsia="宋体" w:cs="Times New Roman"/>
          <w:color w:val="auto"/>
          <w:kern w:val="0"/>
          <w:sz w:val="28"/>
          <w:szCs w:val="28"/>
          <w:highlight w:val="none"/>
          <w:lang w:val="en-US" w:eastAsia="zh-CN" w:bidi="ar"/>
        </w:rPr>
        <w:t>）中评价等级的判定方法见表</w:t>
      </w:r>
      <w:r>
        <w:rPr>
          <w:rFonts w:hint="default" w:ascii="Times New Roman" w:hAnsi="Times New Roman" w:eastAsia="宋体" w:cs="Times New Roman"/>
          <w:color w:val="auto"/>
          <w:kern w:val="0"/>
          <w:sz w:val="28"/>
          <w:szCs w:val="28"/>
          <w:highlight w:val="none"/>
          <w:lang w:val="en-US" w:eastAsia="zh-CN" w:bidi="ar"/>
        </w:rPr>
        <w:t>5.8-5</w:t>
      </w:r>
      <w:r>
        <w:rPr>
          <w:rFonts w:hint="eastAsia" w:ascii="Times New Roman" w:hAnsi="Times New Roman" w:eastAsia="宋体" w:cs="Times New Roman"/>
          <w:color w:val="auto"/>
          <w:kern w:val="0"/>
          <w:sz w:val="28"/>
          <w:szCs w:val="28"/>
          <w:highlight w:val="none"/>
          <w:lang w:val="en-US" w:eastAsia="zh-CN" w:bidi="ar"/>
        </w:rPr>
        <w:t>，本项目风险潜势为Ⅰ，确定本项目风险评价等级为简单分析。</w:t>
      </w:r>
    </w:p>
    <w:p>
      <w:pPr>
        <w:keepNext w:val="0"/>
        <w:keepLines w:val="0"/>
        <w:widowControl/>
        <w:suppressLineNumbers w:val="0"/>
        <w:ind w:firstLine="482" w:firstLineChars="200"/>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5.8-5</w:t>
      </w:r>
      <w:r>
        <w:rPr>
          <w:rFonts w:hint="eastAsia" w:ascii="Times New Roman" w:hAnsi="Times New Roman" w:eastAsia="宋体" w:cs="Times New Roman"/>
          <w:b/>
          <w:bCs/>
          <w:color w:val="auto"/>
          <w:kern w:val="0"/>
          <w:sz w:val="24"/>
          <w:szCs w:val="24"/>
          <w:highlight w:val="none"/>
          <w:lang w:val="en-US" w:eastAsia="zh-CN" w:bidi="ar"/>
        </w:rPr>
        <w:t>环境风险评价工作级别</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03"/>
        <w:gridCol w:w="1703"/>
        <w:gridCol w:w="1703"/>
        <w:gridCol w:w="1703"/>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环境风险潜势</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Ⅳ、Ⅳ</w:t>
            </w:r>
            <w:r>
              <w:rPr>
                <w:rFonts w:hint="default" w:ascii="Times New Roman" w:hAnsi="Times New Roman" w:cs="Times New Roman"/>
                <w:color w:val="auto"/>
                <w:sz w:val="24"/>
                <w:szCs w:val="24"/>
                <w:highlight w:val="none"/>
                <w:vertAlign w:val="baseline"/>
                <w:lang w:val="en-US" w:eastAsia="zh-CN"/>
              </w:rPr>
              <w:t>+</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Ⅲ</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Ⅱ</w:t>
            </w:r>
          </w:p>
        </w:tc>
        <w:tc>
          <w:tcPr>
            <w:tcW w:w="170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评价工作等级</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二</w:t>
            </w:r>
          </w:p>
        </w:tc>
        <w:tc>
          <w:tcPr>
            <w:tcW w:w="170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w:t>
            </w:r>
          </w:p>
        </w:tc>
        <w:tc>
          <w:tcPr>
            <w:tcW w:w="170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简单分析</w:t>
            </w:r>
          </w:p>
        </w:tc>
      </w:tr>
    </w:tbl>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5.8.4</w:t>
      </w:r>
      <w:r>
        <w:rPr>
          <w:rFonts w:hint="eastAsia" w:ascii="Times New Roman" w:hAnsi="Times New Roman" w:eastAsia="宋体" w:cs="Times New Roman"/>
          <w:color w:val="auto"/>
          <w:kern w:val="0"/>
          <w:sz w:val="28"/>
          <w:szCs w:val="28"/>
          <w:highlight w:val="none"/>
          <w:lang w:val="en-US" w:eastAsia="zh-CN" w:bidi="ar"/>
        </w:rPr>
        <w:t>环境风险分析</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（1）大气环境影响分析</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发生井喷事故时会试气期间天然气泄漏，直接引入放喷管线处引燃，短时间燃烧烟气中携带大量二氧化硫，对周围环境空气造成污染；若直接外扩至大气环境中，产生可爆炸云团，若未遇到明火及电火花，天然气快速扩散，引发周围居民H</w:t>
      </w:r>
      <w:r>
        <w:rPr>
          <w:rFonts w:hint="eastAsia" w:ascii="Times New Roman" w:hAnsi="Times New Roman" w:eastAsia="宋体" w:cs="Times New Roman"/>
          <w:color w:val="auto"/>
          <w:kern w:val="0"/>
          <w:sz w:val="28"/>
          <w:szCs w:val="28"/>
          <w:highlight w:val="none"/>
          <w:vertAlign w:val="sub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S中毒；若与空气形成的混合物发生爆炸，产生爆炸冲击波。</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本项目在施工过程中，安装井控装置；施工前加强安全培训，举行应急演练。建设单位已制定环境应急预案。在施工过程中，杜绝井喷事件发生。</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（2）地表水环境影响分析</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发生井喷事故时可能导致钻井液或钻井污水直接进入北大干渠，北大干渠在非降雨期未干涸状态，事故废水可随雨水下流，进入八一水库，造成水库污染。溶入水中的石油类组份漂浮在水面上，水体中氧气成分降低，导致水体变质发臭，改变原有水体的功能性。</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（3）地下水环境影响分析</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bookmarkStart w:id="175" w:name="_Toc38114352"/>
      <w:bookmarkStart w:id="176" w:name="_Toc38114351"/>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套损对地下水的影响</w:t>
      </w:r>
      <w:bookmarkEnd w:id="175"/>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bookmarkStart w:id="177" w:name="_Toc38114353"/>
      <w:r>
        <w:rPr>
          <w:rFonts w:hint="default" w:ascii="Times New Roman" w:hAnsi="Times New Roman" w:eastAsia="宋体" w:cs="Times New Roman"/>
          <w:color w:val="auto"/>
          <w:kern w:val="0"/>
          <w:sz w:val="28"/>
          <w:szCs w:val="28"/>
          <w:highlight w:val="none"/>
          <w:lang w:val="en-US" w:eastAsia="zh-CN" w:bidi="ar"/>
        </w:rPr>
        <w:t>事故状态下对地下水的环境影响主要为套管发生破裂发生泄漏。由于井管是由不同长度的节管连接而成，容易在节点处发生破损。根据大庆油田生产实际统计，套管破损的机率一般为万分之一至五万分之一，破损在某一固定结点的机率约为百分之一，则套损泄漏污染地下水的最大概率约为二百万分之一。可见，套管破损的情况虽然存在，但经过层层防护，危险逐级递减，破损后最终发生气水串层</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天然气主要物质为烃类气体，含轻组分较多，其在水中溶解度较小，故对地下水影响有限。但发生气水穿层，可能导致其他物质进入地下含水层，造成地下水污染。</w:t>
      </w:r>
    </w:p>
    <w:bookmarkEnd w:id="177"/>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bookmarkStart w:id="178" w:name="_Toc38114354"/>
      <w:bookmarkStart w:id="179" w:name="_Toc11047940"/>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井漏对地下水环境的影响</w:t>
      </w:r>
      <w:bookmarkEnd w:id="178"/>
      <w:bookmarkEnd w:id="179"/>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bookmarkStart w:id="180" w:name="_Toc38114355"/>
      <w:bookmarkStart w:id="181" w:name="_Toc11047941"/>
      <w:r>
        <w:rPr>
          <w:rFonts w:hint="default" w:ascii="Times New Roman" w:hAnsi="Times New Roman" w:eastAsia="宋体" w:cs="Times New Roman"/>
          <w:color w:val="auto"/>
          <w:kern w:val="0"/>
          <w:sz w:val="28"/>
          <w:szCs w:val="28"/>
          <w:highlight w:val="none"/>
          <w:lang w:val="en-US" w:eastAsia="zh-CN" w:bidi="ar"/>
        </w:rPr>
        <w:t>井漏是钻井过程中遇到复杂地层，钻井泥浆漏入地层孔隙、裂缝等空间的现象。若漏失地层与含水层之间存在较多的断裂或裂隙，漏失的钻井泥浆就有可能顺着岩层断裂、裂隙进入地下水，造成地下水污染。</w:t>
      </w:r>
      <w:bookmarkEnd w:id="180"/>
      <w:bookmarkEnd w:id="181"/>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bookmarkStart w:id="182" w:name="_Toc11047942"/>
      <w:bookmarkStart w:id="183" w:name="_Toc38114356"/>
      <w:r>
        <w:rPr>
          <w:rFonts w:hint="default" w:ascii="Times New Roman" w:hAnsi="Times New Roman" w:eastAsia="宋体" w:cs="Times New Roman"/>
          <w:color w:val="auto"/>
          <w:kern w:val="0"/>
          <w:sz w:val="28"/>
          <w:szCs w:val="28"/>
          <w:highlight w:val="none"/>
          <w:lang w:val="en-US" w:eastAsia="zh-CN" w:bidi="ar"/>
        </w:rPr>
        <w:t>本项目一开、二开、三开均采用水基</w:t>
      </w:r>
      <w:r>
        <w:rPr>
          <w:rFonts w:hint="eastAsia" w:ascii="Times New Roman" w:hAnsi="Times New Roman" w:eastAsia="宋体" w:cs="Times New Roman"/>
          <w:color w:val="auto"/>
          <w:kern w:val="0"/>
          <w:sz w:val="28"/>
          <w:szCs w:val="28"/>
          <w:highlight w:val="none"/>
          <w:lang w:val="en-US" w:eastAsia="zh-CN" w:bidi="ar"/>
        </w:rPr>
        <w:t>钻井液</w:t>
      </w:r>
      <w:r>
        <w:rPr>
          <w:rFonts w:hint="default" w:ascii="Times New Roman" w:hAnsi="Times New Roman" w:eastAsia="宋体" w:cs="Times New Roman"/>
          <w:color w:val="auto"/>
          <w:kern w:val="0"/>
          <w:sz w:val="28"/>
          <w:szCs w:val="28"/>
          <w:highlight w:val="none"/>
          <w:lang w:val="en-US" w:eastAsia="zh-CN" w:bidi="ar"/>
        </w:rPr>
        <w:t>，高分子有机化合物经生物降解后产生的低分子有机化合物和碱性物质，有害成分进入含水层会对地下水造成污染。</w:t>
      </w:r>
      <w:bookmarkEnd w:id="182"/>
      <w:bookmarkEnd w:id="183"/>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bookmarkStart w:id="184" w:name="_Toc11047943"/>
      <w:bookmarkStart w:id="185" w:name="_Toc38114357"/>
      <w:r>
        <w:rPr>
          <w:rFonts w:hint="default" w:ascii="Times New Roman" w:hAnsi="Times New Roman" w:eastAsia="宋体" w:cs="Times New Roman"/>
          <w:color w:val="auto"/>
          <w:kern w:val="0"/>
          <w:sz w:val="28"/>
          <w:szCs w:val="28"/>
          <w:highlight w:val="none"/>
          <w:lang w:val="en-US" w:eastAsia="zh-CN" w:bidi="ar"/>
        </w:rPr>
        <w:t>本项目表层套管下至潜水含水层以下，在套管的保护下能有效地保护浅层地下水；每开钻井结束后通过固井作业封隔地层与套管之间的环形空间，也可降低污染物进入地层的风险；在钻井过程对泥浆进行实时监测，一旦有漏失发生，立即采取堵漏措施。施工区块集中储备随钻堵漏剂，以备井漏发生时应急使用，堵漏剂由多种天然植物、腐植酸盐、羧甲基纤维素等多种高份子化合物复配而成，属于清洁、无毒、对人体无害、无环境污染的种类。因此，事故状态下泥浆泄漏对地下水环境影响较小。</w:t>
      </w:r>
      <w:bookmarkEnd w:id="184"/>
      <w:bookmarkEnd w:id="185"/>
    </w:p>
    <w:bookmarkEnd w:id="176"/>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（4）土壤环境影响分析</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发生井喷事故时钻井液或钻井污水泄漏渗入土壤孔隙，会降低土壤的通透性，抑制土壤中酶活性，使土壤生物减少。一般而言，泄露的废弃泥浆或污油污水集中于土壤表层</w:t>
      </w:r>
      <w:r>
        <w:rPr>
          <w:rFonts w:hint="default" w:ascii="Times New Roman" w:hAnsi="Times New Roman" w:eastAsia="宋体" w:cs="Times New Roman"/>
          <w:color w:val="auto"/>
          <w:kern w:val="0"/>
          <w:sz w:val="28"/>
          <w:szCs w:val="28"/>
          <w:highlight w:val="none"/>
          <w:lang w:val="en-US" w:eastAsia="zh-CN" w:bidi="ar"/>
        </w:rPr>
        <w:t>0</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30cm</w:t>
      </w:r>
      <w:r>
        <w:rPr>
          <w:rFonts w:hint="eastAsia" w:ascii="Times New Roman" w:hAnsi="Times New Roman" w:eastAsia="宋体" w:cs="Times New Roman"/>
          <w:color w:val="auto"/>
          <w:kern w:val="0"/>
          <w:sz w:val="28"/>
          <w:szCs w:val="28"/>
          <w:highlight w:val="none"/>
          <w:lang w:val="en-US" w:eastAsia="zh-CN" w:bidi="ar"/>
        </w:rPr>
        <w:t>的范围内，使得根系分布于此深度的植物不能生长。污油中的石油类对土壤的污染，可使土地肥力下降，改变土壤的理化性质，影响局部区域土壤正常的结构和功能。</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（5）生态影响分析</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该项目区域内的生态系统主要是耕地，大量污水泄漏可对耕地产生影响，其危害最大的是</w:t>
      </w:r>
      <w:r>
        <w:rPr>
          <w:rFonts w:hint="eastAsia" w:ascii="Times New Roman" w:hAnsi="Times New Roman" w:eastAsia="宋体" w:cs="Times New Roman"/>
          <w:color w:val="auto"/>
          <w:kern w:val="0"/>
          <w:sz w:val="28"/>
          <w:szCs w:val="28"/>
          <w:highlight w:val="none"/>
          <w:lang w:val="en-US" w:eastAsia="zh-CN" w:bidi="ar"/>
        </w:rPr>
        <w:t>农耕作物</w:t>
      </w:r>
      <w:r>
        <w:rPr>
          <w:rFonts w:hint="default" w:ascii="Times New Roman" w:hAnsi="Times New Roman" w:eastAsia="宋体" w:cs="Times New Roman"/>
          <w:color w:val="auto"/>
          <w:kern w:val="0"/>
          <w:sz w:val="28"/>
          <w:szCs w:val="28"/>
          <w:highlight w:val="none"/>
          <w:lang w:val="en-US" w:eastAsia="zh-CN" w:bidi="ar"/>
        </w:rPr>
        <w:t>，含油物质黏附于枝叶上，就会影响植物的光合作用，可使植物枯萎死亡</w:t>
      </w:r>
      <w:r>
        <w:rPr>
          <w:rFonts w:hint="eastAsia" w:ascii="Times New Roman" w:hAnsi="Times New Roman" w:eastAsia="宋体" w:cs="Times New Roman"/>
          <w:color w:val="auto"/>
          <w:kern w:val="0"/>
          <w:sz w:val="28"/>
          <w:szCs w:val="28"/>
          <w:highlight w:val="none"/>
          <w:lang w:val="en-US" w:eastAsia="zh-CN" w:bidi="ar"/>
        </w:rPr>
        <w:t>，粮食减产</w:t>
      </w:r>
      <w:r>
        <w:rPr>
          <w:rFonts w:hint="default" w:ascii="Times New Roman" w:hAnsi="Times New Roman" w:eastAsia="宋体" w:cs="Times New Roman"/>
          <w:color w:val="auto"/>
          <w:kern w:val="0"/>
          <w:sz w:val="28"/>
          <w:szCs w:val="28"/>
          <w:highlight w:val="none"/>
          <w:lang w:val="en-US" w:eastAsia="zh-CN" w:bidi="ar"/>
        </w:rPr>
        <w:t>；污水喷溅到植物上或散落到土壤中，黏附于植物根系，可阻止植物吸收水分和矿物质，导致植物死亡，通过根系吸收，影响其品质，</w:t>
      </w:r>
      <w:r>
        <w:rPr>
          <w:rFonts w:hint="eastAsia" w:ascii="Times New Roman" w:hAnsi="Times New Roman" w:eastAsia="宋体" w:cs="Times New Roman"/>
          <w:color w:val="auto"/>
          <w:kern w:val="0"/>
          <w:sz w:val="28"/>
          <w:szCs w:val="28"/>
          <w:highlight w:val="none"/>
          <w:lang w:val="en-US" w:eastAsia="zh-CN" w:bidi="ar"/>
        </w:rPr>
        <w:t>使粮食中有毒有害物质含量增加</w:t>
      </w:r>
      <w:r>
        <w:rPr>
          <w:rFonts w:hint="default"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bookmarkStart w:id="186" w:name="_Toc771"/>
      <w:bookmarkStart w:id="187" w:name="_Toc19814"/>
      <w:bookmarkStart w:id="188" w:name="_Toc19030"/>
      <w:bookmarkStart w:id="189" w:name="_Toc20612"/>
      <w:bookmarkStart w:id="190" w:name="_Toc16317"/>
      <w:bookmarkStart w:id="191" w:name="_Toc26378"/>
      <w:bookmarkStart w:id="192" w:name="_Toc297028844"/>
      <w:bookmarkStart w:id="193" w:name="_Toc49174874"/>
      <w:bookmarkStart w:id="194" w:name="_Toc49175049"/>
      <w:r>
        <w:rPr>
          <w:rFonts w:hint="default" w:ascii="Times New Roman" w:hAnsi="Times New Roman" w:eastAsia="宋体" w:cs="Times New Roman"/>
          <w:color w:val="auto"/>
          <w:kern w:val="0"/>
          <w:sz w:val="28"/>
          <w:szCs w:val="28"/>
          <w:highlight w:val="none"/>
          <w:lang w:val="en-US" w:eastAsia="zh-CN" w:bidi="ar"/>
        </w:rPr>
        <w:t>5.8.</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风险评价结论</w:t>
      </w:r>
      <w:bookmarkEnd w:id="186"/>
      <w:bookmarkEnd w:id="187"/>
      <w:bookmarkEnd w:id="188"/>
      <w:bookmarkEnd w:id="189"/>
      <w:bookmarkEnd w:id="190"/>
      <w:bookmarkEnd w:id="191"/>
      <w:bookmarkEnd w:id="192"/>
      <w:bookmarkEnd w:id="193"/>
      <w:bookmarkEnd w:id="194"/>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通过对本项目钻井和压裂试气工程的环境风险分析可知，本项目的主要环境风险是井喷、柴油泄漏和火灾爆炸，对区域内的水环境和空气环境有潜在危害性。在项目采取一系列风险防范措施和应急措施后，可以控制和降低发生事故情况下对周围环境的影响。但建设单位应加强员工的环保教育和培训，完善项目的事故应急预案，并定期演习，可有效减轻事故发生时对周围环境的危害。</w:t>
      </w:r>
    </w:p>
    <w:p>
      <w:pPr>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表5.8-6建设项目环境风险简单分析</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72"/>
        <w:gridCol w:w="67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建设项目</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名称</w:t>
            </w:r>
          </w:p>
        </w:tc>
        <w:tc>
          <w:tcPr>
            <w:tcW w:w="6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肇深19—斜1等3口井钻井工程项目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建设地点</w:t>
            </w:r>
          </w:p>
        </w:tc>
        <w:tc>
          <w:tcPr>
            <w:tcW w:w="6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黑龙江省大庆市肇州县双发乡境内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地理坐标</w:t>
            </w:r>
          </w:p>
        </w:tc>
        <w:tc>
          <w:tcPr>
            <w:tcW w:w="6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125°16′34.163″～125°17′17.572″，45°47′47.440″～45°48′22.154″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主要危险物</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质分布</w:t>
            </w:r>
          </w:p>
        </w:tc>
        <w:tc>
          <w:tcPr>
            <w:tcW w:w="6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本项目井场材料库房贮存钻井液配制助剂，其中氢氧化钾最大存量2.8t；每个井场柴油储罐区布设2座40m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柴油储罐，井场柴油最大存量202t；每个井场设置1座水基钢制泥浆槽，容积33m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，1座油基钢制泥浆槽，容积100m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；地上井场不设置天然气储罐，仅通过气液分离后，通过放喷管线引致放喷池处燃烧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环境影响途径及危害后果</w:t>
            </w:r>
          </w:p>
        </w:tc>
        <w:tc>
          <w:tcPr>
            <w:tcW w:w="6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1.影响途径：井喷、井漏、套损、泄漏、火灾爆炸事故，伴生次生环境污染事件；试气期间天然气泄露，与空气形成气团，引发爆炸，产生爆炸冲击波</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2.井喷事故高浓度油气引起窒息或者不完全燃烧产物CH</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vertAlign w:val="baseline"/>
                <w:lang w:val="en-US" w:eastAsia="zh-CN"/>
              </w:rPr>
              <w:t>及CO引起中毒，燃烧烟气中产生大量二氧化硫，污染周围环境；天然气燃烧产生大量辐射热，对周围生态植物造成影响。</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井喷污油形成土壤污染及生态环境破坏。井漏、套管破损事故有可能进一步引起井喷事故；若地层为含水层，钻井液漏失可能对地下水造成污染。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6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3.泥浆槽渗漏携带污染物形成包气带土壤污染及地下潜水污染。柴油储罐泄漏导致土壤、地下水污染；泄漏油遇明火，发生不完全燃烧产生CO；消防废水、火灾爆炸烟团引发环境次生环境污染事故。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风险防范措施要求</w:t>
            </w:r>
          </w:p>
        </w:tc>
        <w:tc>
          <w:tcPr>
            <w:tcW w:w="67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井下作业应按《石油天然气安全规程》（AQ2012-2007）和《井下作业安全规程》（SY/T5727-2020）等标准规范的要求进行施工作业。井控还应《钻井井控技术规范》（Q/SY02552-2018）要求。修井及封堵作业过程应符合《常规修井作业规程第9部分∶换井口装置》（SY/T5587.9-2007）、《常规修井作业规程第3部分油气井压井、替喷、诱喷》（SY/T5587.3-2013）和《常规修井作业规程第14部分∶注塞、钻塞》（SY/T5587.14-2013）等标准规范的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完井测试作业应按《天然气井试井技术规范》（SY/T5440-2019）、《高压油气井测试工艺技术规程》（SY/T6581-2012）和《石油天然气钻井、开发、储运防火防爆安全生产技术规程》（SY/T5225-2019）等标准规范的要求进行。试气前应进行井筒完整性评价。测试前应疏散井场和放喷口500m范围内的居民，并在井场周围设置警戒线。放喷测试应在白天进行，现场工作人员应佩戴正压式空气呼吸器和便携式硫化氢和二氧化硫监测报警仪。</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r>
              <w:rPr>
                <w:rFonts w:hint="default" w:ascii="Times New Roman" w:hAnsi="Times New Roman" w:cs="Times New Roman"/>
                <w:color w:val="auto"/>
                <w:sz w:val="24"/>
                <w:szCs w:val="24"/>
                <w:highlight w:val="none"/>
                <w:vertAlign w:val="baseline"/>
                <w:lang w:val="en-US" w:eastAsia="zh-CN"/>
              </w:rPr>
              <w:t>钻、完井作业硫化氢防控应满足《石油天然气安全规程》（AQ2012-2007）、《硫化氢环境钻井场所作业安全规范》（SY/T5087-2017）、《硫化氢环境井下作业场所作业安全规范》（SY/T6610-2017）和《硫化氢环境人身防护规范》(SY/T6277-2017)等相关标准、规范的要求。按照《石油天然气作业场所劳动防护用具配备规范》（SY/T6524-2017）和《硫化氢环境人身防护规范》（SY/T6277-2017）的规定为作业人员配备各种防护用具。</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r>
    </w:tbl>
    <w:p>
      <w:pPr>
        <w:rPr>
          <w:color w:val="auto"/>
          <w:highlight w:val="none"/>
        </w:rPr>
      </w:pPr>
      <w:r>
        <w:rPr>
          <w:color w:val="auto"/>
          <w:highlight w:val="none"/>
        </w:rPr>
        <w:br w:type="page"/>
      </w:r>
    </w:p>
    <w:p>
      <w:pPr>
        <w:pStyle w:val="5"/>
        <w:keepNext w:val="0"/>
        <w:keepLines w:val="0"/>
        <w:pageBreakBefore w:val="0"/>
        <w:numPr>
          <w:ilvl w:val="0"/>
          <w:numId w:val="0"/>
        </w:numPr>
        <w:tabs>
          <w:tab w:val="left" w:pos="1080"/>
        </w:tabs>
        <w:bidi w:val="0"/>
        <w:adjustRightInd w:val="0"/>
        <w:snapToGrid w:val="0"/>
        <w:spacing w:before="240" w:after="0" w:line="360" w:lineRule="auto"/>
        <w:ind w:left="0" w:firstLine="0" w:firstLineChars="0"/>
        <w:jc w:val="center"/>
        <w:rPr>
          <w:rFonts w:hint="eastAsia" w:ascii="Times New Roman" w:hAnsi="Times New Roman" w:eastAsia="宋体" w:cs="Times New Roman"/>
          <w:b/>
          <w:bCs/>
          <w:caps w:val="0"/>
          <w:smallCaps w:val="0"/>
          <w:color w:val="auto"/>
          <w:spacing w:val="0"/>
          <w:w w:val="100"/>
          <w:sz w:val="32"/>
          <w:szCs w:val="32"/>
          <w:highlight w:val="none"/>
          <w:lang w:val="en-US" w:eastAsia="zh-CN"/>
        </w:rPr>
      </w:pPr>
      <w:bookmarkStart w:id="195" w:name="_Toc1229"/>
      <w:r>
        <w:rPr>
          <w:rFonts w:hint="eastAsia" w:ascii="Times New Roman" w:hAnsi="Times New Roman" w:eastAsia="宋体" w:cs="Times New Roman"/>
          <w:b/>
          <w:bCs/>
          <w:caps w:val="0"/>
          <w:smallCaps w:val="0"/>
          <w:color w:val="auto"/>
          <w:spacing w:val="0"/>
          <w:w w:val="100"/>
          <w:sz w:val="32"/>
          <w:szCs w:val="32"/>
          <w:highlight w:val="none"/>
          <w:lang w:val="en-US" w:eastAsia="zh-CN"/>
        </w:rPr>
        <w:t>第六章   环境保护措施及可行性论证</w:t>
      </w:r>
      <w:bookmarkEnd w:id="195"/>
    </w:p>
    <w:p>
      <w:pPr>
        <w:keepNext/>
        <w:keepLines/>
        <w:pageBreakBefore w:val="0"/>
        <w:widowControl w:val="0"/>
        <w:numPr>
          <w:ilvl w:val="0"/>
          <w:numId w:val="0"/>
        </w:numPr>
        <w:bidi w:val="0"/>
        <w:spacing w:before="78" w:beforeLines="25" w:after="78" w:afterLines="25" w:line="360" w:lineRule="auto"/>
        <w:jc w:val="left"/>
        <w:outlineLvl w:val="1"/>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96" w:name="_Toc7078"/>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6.1</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污染防治措施</w:t>
      </w:r>
      <w:bookmarkEnd w:id="196"/>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6.1.1大气污染防治措施</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柴油机烟气及机械尾气</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①采用节能环保型柴油动力设备，减少污染物排放对环境空气的影响</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②钻井柴油机和施工机械采用低标号的柴油</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③加强对机械设备的维护、保养，减少不必要的运转时间，以控制尾气的排放</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④严禁在施工现场焚烧任何废弃物和可能产生有毒有害气体、烟尘和臭气的物质。</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施工扬尘污染防治措施</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①为防止因交通运输量的增加而导致的扬尘污染，应在施工初期合理规划道路运输路线，尽量利用现有公路网络。</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②运输道路、施工场地应定时洒水抑尘，定期清扫散落在施工场地的泥土，应实行湿法吸扫，严禁干扫和吹扫，以减少扬尘对周边土壤和植被的影响。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③运输车辆进入沙地时，应以不高于40km/h的中、低速行驶。</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④运料车辆在运输时，车辆应当采取全密闭措施，需要在运料顶部加盖篷布，严禁敞开式、半敞开式运输，不得装载过满，以防洒落在地，形成二次扬尘。</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⑤土方开挖应采取遮盖、围挡、洒水等防尘措施。临时弃土集中堆放在背风侧，临时堆放土堆应采取覆盖、洒水等防尘措施；缩短土方裸露时间，且不宜堆积过久、过高，堆放过程中应在顶部加盖纱网或草栅。</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⑥合理规划施工进度，及时开挖，及时回填，防止弃土风化失水而起沙起尘；遇大风天气应停止土方工程施工作业。</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⑦钻井井场使用的泥浆配置材料，应集中堆放，并在顶部加盖篷布。</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⑧施工结束后，应及时进行施工场地的清理，清除积土、堆物。</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施工车辆尾气</w:t>
      </w:r>
    </w:p>
    <w:p>
      <w:pPr>
        <w:keepNext w:val="0"/>
        <w:keepLines w:val="0"/>
        <w:widowControl/>
        <w:suppressLineNumbers w:val="0"/>
        <w:ind w:firstLine="560" w:firstLineChars="200"/>
        <w:jc w:val="both"/>
        <w:rPr>
          <w:rFonts w:hint="eastAsia" w:ascii="宋体" w:hAnsi="宋体" w:eastAsia="宋体" w:cs="宋体"/>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施工井场运输车辆尾气含有NO</w:t>
      </w:r>
      <w:r>
        <w:rPr>
          <w:rFonts w:hint="eastAsia" w:ascii="Times New Roman" w:hAnsi="Times New Roman" w:eastAsia="宋体" w:cs="Times New Roman"/>
          <w:color w:val="auto"/>
          <w:kern w:val="0"/>
          <w:sz w:val="28"/>
          <w:szCs w:val="28"/>
          <w:highlight w:val="none"/>
          <w:vertAlign w:val="subscript"/>
          <w:lang w:val="en-US" w:eastAsia="zh-CN" w:bidi="ar"/>
        </w:rPr>
        <w:t>X</w:t>
      </w:r>
      <w:r>
        <w:rPr>
          <w:rFonts w:hint="default" w:ascii="Times New Roman" w:hAnsi="Times New Roman" w:eastAsia="宋体" w:cs="Times New Roman"/>
          <w:color w:val="auto"/>
          <w:kern w:val="0"/>
          <w:sz w:val="28"/>
          <w:szCs w:val="28"/>
          <w:highlight w:val="none"/>
          <w:lang w:val="en-US" w:eastAsia="zh-CN" w:bidi="ar"/>
        </w:rPr>
        <w:t>、CO、THC等污染物，一般情况下，各种污染物的排放量不大，对周围环境的影响较小。本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施工井场分布区域平坦开阔，施工机械等在野外作业区时有利于尾气扩散，不会对环境产生污染。</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（4）压裂试气放空火炬燃烧烟气</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①试气作业期间产气不直接放空，全部引入火炬充分燃烧后排放。</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②放空火炬仅在施工期设置，并用于燃烧试气作业期间井场产生的天然气，火炬设置自动点火装置，确保引入火炬的气体充分燃烧后排放。</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③放空火炬布置于井口下风向处，距离井口预留75</w:t>
      </w:r>
      <w:r>
        <w:rPr>
          <w:rFonts w:hint="default"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lang w:val="en-US" w:eastAsia="zh-CN" w:bidi="ar"/>
        </w:rPr>
        <w:t>安全距离，确保使用安全。</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④试气期间严格按照《天然气井试井技术规范》（SY/T5440-2019）规程操作；建议建设单位气井试气时间选为白天，且试气期间临时疏散井口和放喷口周围500m范围内的居民。</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⑤应科学设置燃烧排放口，使天然气完全燃烧，减轻对环境空气的污染。</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⑥同时建议建设单位对试气排放的</w:t>
      </w:r>
      <w:r>
        <w:rPr>
          <w:rFonts w:hint="eastAsia" w:ascii="Times New Roman" w:hAnsi="Times New Roman" w:eastAsia="宋体" w:cs="Times New Roman"/>
          <w:color w:val="auto"/>
          <w:kern w:val="0"/>
          <w:sz w:val="28"/>
          <w:szCs w:val="28"/>
          <w:highlight w:val="none"/>
          <w:lang w:val="en-US" w:eastAsia="zh-CN" w:bidi="ar"/>
        </w:rPr>
        <w:t>天然气</w:t>
      </w:r>
      <w:r>
        <w:rPr>
          <w:rFonts w:hint="default" w:ascii="Times New Roman" w:hAnsi="Times New Roman" w:eastAsia="宋体" w:cs="Times New Roman"/>
          <w:color w:val="auto"/>
          <w:kern w:val="0"/>
          <w:sz w:val="28"/>
          <w:szCs w:val="28"/>
          <w:highlight w:val="none"/>
          <w:lang w:val="en-US" w:eastAsia="zh-CN" w:bidi="ar"/>
        </w:rPr>
        <w:t>考虑收集措施，在试气前可预铺管道收集试气废气至集气站，以实现试气过程中天然气的资源化利用，同时减轻试气废气对环境的影响。</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通过采取上述措施，能够确保施工场界扬尘浓度满足《大气污染物综合排放标准》（</w:t>
      </w:r>
      <w:r>
        <w:rPr>
          <w:rFonts w:hint="default" w:ascii="Times New Roman" w:hAnsi="Times New Roman" w:eastAsia="宋体" w:cs="Times New Roman"/>
          <w:color w:val="auto"/>
          <w:kern w:val="0"/>
          <w:sz w:val="28"/>
          <w:szCs w:val="28"/>
          <w:highlight w:val="none"/>
          <w:lang w:val="en-US" w:eastAsia="zh-CN" w:bidi="ar"/>
        </w:rPr>
        <w:t>GB16297-1996</w:t>
      </w:r>
      <w:r>
        <w:rPr>
          <w:rFonts w:hint="eastAsia" w:ascii="Times New Roman" w:hAnsi="Times New Roman" w:eastAsia="宋体" w:cs="Times New Roman"/>
          <w:color w:val="auto"/>
          <w:kern w:val="0"/>
          <w:sz w:val="28"/>
          <w:szCs w:val="28"/>
          <w:highlight w:val="none"/>
          <w:lang w:val="en-US" w:eastAsia="zh-CN" w:bidi="ar"/>
        </w:rPr>
        <w:t>）中表2无组织排放监控浓度限值</w:t>
      </w:r>
      <w:r>
        <w:rPr>
          <w:rFonts w:hint="default" w:ascii="Times New Roman" w:hAnsi="Times New Roman" w:eastAsia="宋体" w:cs="Times New Roman"/>
          <w:color w:val="auto"/>
          <w:kern w:val="0"/>
          <w:sz w:val="28"/>
          <w:szCs w:val="28"/>
          <w:highlight w:val="none"/>
          <w:lang w:val="en-US" w:eastAsia="zh-CN" w:bidi="ar"/>
        </w:rPr>
        <w:t>1.0mg/m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要求，不会对大气环境产生较大影响，施工期大气污染防治措施可行。同时减少试气期间排放的天然气及燃烧烟气对周围环境的影响。</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6.1.2</w:t>
      </w:r>
      <w:r>
        <w:rPr>
          <w:rFonts w:hint="eastAsia" w:ascii="Times New Roman" w:hAnsi="Times New Roman" w:eastAsia="宋体" w:cs="Times New Roman"/>
          <w:color w:val="auto"/>
          <w:kern w:val="0"/>
          <w:sz w:val="28"/>
          <w:szCs w:val="28"/>
          <w:highlight w:val="none"/>
          <w:lang w:val="en-US" w:eastAsia="zh-CN" w:bidi="ar"/>
        </w:rPr>
        <w:t>地表水污染防治措施</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本项目施工期废水包括钻井污水、压裂返排液、试气采出液及人员生活污水等。其中一般钻井污水产生量1947t，与水基岩屑及废弃水基钻井液由罐车拉运至拉运至黑龙江</w:t>
      </w:r>
      <w:r>
        <w:rPr>
          <w:rFonts w:hint="default" w:ascii="Times New Roman" w:hAnsi="Times New Roman" w:eastAsia="宋体" w:cs="Times New Roman"/>
          <w:color w:val="auto"/>
          <w:kern w:val="0"/>
          <w:sz w:val="28"/>
          <w:szCs w:val="28"/>
          <w:highlight w:val="none"/>
          <w:lang w:val="en-US" w:eastAsia="zh-CN" w:bidi="ar"/>
        </w:rPr>
        <w:t>龙之润五厂处理站</w:t>
      </w:r>
      <w:r>
        <w:rPr>
          <w:rFonts w:hint="eastAsia" w:ascii="Times New Roman" w:hAnsi="Times New Roman" w:eastAsia="宋体" w:cs="Times New Roman"/>
          <w:color w:val="auto"/>
          <w:kern w:val="0"/>
          <w:sz w:val="28"/>
          <w:szCs w:val="28"/>
          <w:highlight w:val="none"/>
          <w:lang w:val="en-US" w:eastAsia="zh-CN" w:bidi="ar"/>
        </w:rPr>
        <w:t>处理，处理产生的滤液水</w:t>
      </w:r>
      <w:r>
        <w:rPr>
          <w:rFonts w:hint="default" w:ascii="Times New Roman" w:hAnsi="Times New Roman" w:eastAsia="宋体" w:cs="Times New Roman"/>
          <w:color w:val="auto"/>
          <w:kern w:val="0"/>
          <w:sz w:val="28"/>
          <w:szCs w:val="28"/>
          <w:highlight w:val="none"/>
          <w:lang w:val="en-US" w:eastAsia="zh-CN" w:bidi="ar"/>
        </w:rPr>
        <w:t>由罐车送至杏十五一联合站污水处理站处理</w:t>
      </w:r>
      <w:r>
        <w:rPr>
          <w:rFonts w:hint="eastAsia" w:ascii="Times New Roman" w:hAnsi="Times New Roman" w:eastAsia="宋体" w:cs="Times New Roman"/>
          <w:color w:val="auto"/>
          <w:kern w:val="0"/>
          <w:sz w:val="28"/>
          <w:szCs w:val="28"/>
          <w:highlight w:val="none"/>
          <w:lang w:val="en-US" w:eastAsia="zh-CN" w:bidi="ar"/>
        </w:rPr>
        <w:t>，满足《大庆油田地面工程建设设计规定》（Q/SYDQ0639-2015）限值要求“含油量≤20mg/L、悬浮固体含量≤20mg/L”，回注现役油层。</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含油钻井废水产生量5118t，定期与油基岩屑及废弃油基钻井液由罐车拉运至大庆市云泰石化产品有限公司建设的废弃泥浆无害化处理油基泥浆站处理。处理过程中产生的滤液由罐车运至龙一联含油污水站处理，处理后水质满足《大庆油田地面工程建设设计规定》（Q/SYDQ0639-2015）限值要求（含油量≤8mg/L、悬浮固体含量≤3mg/L）后回注。</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压裂返排液产生量约17100</w:t>
      </w:r>
      <w:r>
        <w:rPr>
          <w:rFonts w:hint="default"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。由罐车拉运至哈19卸液站处理，处理后水质满足《大庆油田地面工程建设设计规定》（Q/SYDQ0639-2015）限值要求（含油量≤20mg/L，悬浮固体含量≤20mg/L），回注现役油层。</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本项目试气采出液产生量约为34m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，试气采出液拉运至升一联气田污水预处理站处理，满足《大庆油田地面工程建设设计规定》（Q/SYDQ0639-2015）限值要求（含油量≤10mg/L，悬浮固体含量≤5mg/L）回注现役油层。</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生活污水产生量约192</w:t>
      </w:r>
      <w:r>
        <w:rPr>
          <w:rFonts w:hint="default"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vertAlign w:val="superscript"/>
          <w:lang w:val="en-US" w:eastAsia="zh-CN" w:bidi="ar"/>
        </w:rPr>
        <w:t>3</w:t>
      </w:r>
      <w:r>
        <w:rPr>
          <w:rFonts w:hint="eastAsia" w:ascii="Times New Roman" w:hAnsi="Times New Roman" w:eastAsia="宋体" w:cs="Times New Roman"/>
          <w:color w:val="auto"/>
          <w:kern w:val="0"/>
          <w:sz w:val="28"/>
          <w:szCs w:val="28"/>
          <w:highlight w:val="none"/>
          <w:lang w:val="en-US" w:eastAsia="zh-CN" w:bidi="ar"/>
        </w:rPr>
        <w:t>，排入生活污水池内，施工结束后进行卫生填埋处理，不外排。</w:t>
      </w:r>
    </w:p>
    <w:p>
      <w:pPr>
        <w:keepNext w:val="0"/>
        <w:keepLines w:val="0"/>
        <w:widowControl/>
        <w:suppressLineNumbers w:val="0"/>
        <w:ind w:firstLine="560" w:firstLineChars="200"/>
        <w:jc w:val="left"/>
        <w:rPr>
          <w:rFonts w:hint="eastAsia" w:eastAsia="宋体"/>
          <w:color w:val="auto"/>
          <w:highlight w:val="none"/>
          <w:lang w:eastAsia="zh-CN"/>
        </w:rPr>
      </w:pPr>
      <w:r>
        <w:rPr>
          <w:rFonts w:hint="eastAsia" w:ascii="宋体" w:hAnsi="宋体" w:eastAsia="宋体" w:cs="宋体"/>
          <w:color w:val="auto"/>
          <w:kern w:val="0"/>
          <w:sz w:val="28"/>
          <w:szCs w:val="28"/>
          <w:highlight w:val="none"/>
          <w:lang w:val="en-US" w:eastAsia="zh-CN" w:bidi="ar"/>
        </w:rPr>
        <w:t>本项目废水拉运过程要求建设拉运视频监控装置，并接入市局监控平台，废水拉运前向局申报，明确拉运量、拉运时间，并接受视频监管。本项目施工期各类废水均能得到合理妥善处置，不外排，采取的水污染防治措施可行</w:t>
      </w:r>
      <w:r>
        <w:rPr>
          <w:rFonts w:hint="eastAsia" w:eastAsia="宋体"/>
          <w:color w:val="auto"/>
          <w:highlight w:val="none"/>
          <w:lang w:eastAsia="zh-CN"/>
        </w:rPr>
        <w:t>。</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6.1.3</w:t>
      </w:r>
      <w:r>
        <w:rPr>
          <w:rFonts w:hint="eastAsia" w:ascii="Times New Roman" w:hAnsi="Times New Roman" w:eastAsia="宋体" w:cs="Times New Roman"/>
          <w:color w:val="auto"/>
          <w:kern w:val="0"/>
          <w:sz w:val="28"/>
          <w:szCs w:val="28"/>
          <w:highlight w:val="none"/>
          <w:lang w:val="en-US" w:eastAsia="zh-CN" w:bidi="ar"/>
        </w:rPr>
        <w:t>地下水污染防治措施</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本项目地下水污染防治措施按照“源头控制、分区防治、污染监控、应急响应”相结合的原则，从污染物的产生、入渗、扩散、应急响应进行控制。</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（1）源头控制措施</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本项目在施工建设前应充分研究地质设计和钻井设计等资料，并在此基础上优化钻井施工工艺、泥浆体系等，防范钻井过程中可能发生的泥浆漏失情况。钻井施工过程在套管的保护下能有效地保护浅层地下水，需注意防范套管破损等风险，防止钻井液对浅层地下水造成影响。</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2）钻开油气层前应调整好钻井液性能，降低钻井液滤失量，使钻井液滤失量不大于</w:t>
      </w:r>
      <w:r>
        <w:rPr>
          <w:rFonts w:hint="default" w:ascii="Times New Roman" w:hAnsi="Times New Roman" w:eastAsia="宋体" w:cs="Times New Roman"/>
          <w:color w:val="auto"/>
          <w:kern w:val="0"/>
          <w:sz w:val="28"/>
          <w:szCs w:val="28"/>
          <w:highlight w:val="none"/>
          <w:lang w:val="en-US" w:eastAsia="zh-CN" w:bidi="ar"/>
        </w:rPr>
        <w:t>4mL</w:t>
      </w:r>
      <w:r>
        <w:rPr>
          <w:rFonts w:hint="eastAsia" w:ascii="Times New Roman" w:hAnsi="Times New Roman" w:eastAsia="宋体" w:cs="Times New Roman"/>
          <w:color w:val="auto"/>
          <w:kern w:val="0"/>
          <w:sz w:val="28"/>
          <w:szCs w:val="28"/>
          <w:highlight w:val="none"/>
          <w:lang w:val="en-US" w:eastAsia="zh-CN" w:bidi="ar"/>
        </w:rPr>
        <w:t>。钻开气层后，在气层部位起下钻速度不大于</w:t>
      </w:r>
      <w:r>
        <w:rPr>
          <w:rFonts w:hint="default" w:ascii="Times New Roman" w:hAnsi="Times New Roman" w:eastAsia="宋体" w:cs="Times New Roman"/>
          <w:color w:val="auto"/>
          <w:kern w:val="0"/>
          <w:sz w:val="28"/>
          <w:szCs w:val="28"/>
          <w:highlight w:val="none"/>
          <w:lang w:val="en-US" w:eastAsia="zh-CN" w:bidi="ar"/>
        </w:rPr>
        <w:t>0.5m/s</w:t>
      </w:r>
      <w:r>
        <w:rPr>
          <w:rFonts w:hint="eastAsia" w:ascii="Times New Roman" w:hAnsi="Times New Roman" w:eastAsia="宋体" w:cs="Times New Roman"/>
          <w:color w:val="auto"/>
          <w:kern w:val="0"/>
          <w:sz w:val="28"/>
          <w:szCs w:val="28"/>
          <w:highlight w:val="none"/>
          <w:lang w:val="en-US" w:eastAsia="zh-CN" w:bidi="ar"/>
        </w:rPr>
        <w:t>，操作要平稳，减少激动压力和抽汲压力。</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3）为了避免污染地下水，钻井施工采用水基钻井液；钻井液密度要严格执行设计，正常施工情况下（无油气侵等复杂情况）钻井液密度宜接近设计下限。</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4）井施工中应加强管理和生产组织协调，维护好设备，认真做好井漏、井喷、井塌及卡钻的预防工作，避免在钻开气层后组织停工，确保钻井完井施工顺利进行，以减少固相对油气层的堵塞和滤液对油气层的浸泡时间。</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5）在施工过程中要做好对废钻井液、岩屑、废射孔液、压裂返排液、钻井污水的回收处理工作，消除对地下水的污染隐患。</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6）每次钻井结束后的固井作业可有效封隔地层与套管之间的环空，防止污染地下水。选用高标号的固井水泥，提高固井质量，固井水泥浆必须返至地面，确保安全封闭此深度内的潜水层和承压水层，可有效防止因为井漏事故造成的地下水环境污染。</w:t>
      </w:r>
    </w:p>
    <w:p>
      <w:pPr>
        <w:keepNext w:val="0"/>
        <w:keepLines w:val="0"/>
        <w:widowControl/>
        <w:suppressLineNumbers w:val="0"/>
        <w:ind w:firstLine="560" w:firstLineChars="20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7）定期对采气井的套管情况进行检测，发现异常情况及时处理。</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（2）分区防渗措施</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正常状况下施工期对区域地下水环境影响极小，事故状况下井场物料泄漏、垂直下渗将对区域地下水环境产生不利影响。为防范施工期对地下水环境产生不利影响，本次评价要求对施工期井场采取相应分区防渗措施：井场地面进行平整压实；水基泥浆钢制泥浆槽、生活污水池、材料房、计量池、储液罐、压裂液罐进行一般防渗，防渗性能等效</w:t>
      </w:r>
      <w:r>
        <w:rPr>
          <w:rFonts w:hint="default" w:ascii="Times New Roman" w:hAnsi="Times New Roman" w:eastAsia="宋体" w:cs="Times New Roman"/>
          <w:color w:val="auto"/>
          <w:kern w:val="0"/>
          <w:sz w:val="28"/>
          <w:szCs w:val="28"/>
          <w:highlight w:val="none"/>
          <w:lang w:val="en-US" w:eastAsia="zh-CN" w:bidi="ar"/>
        </w:rPr>
        <w:t>Mb≥1.5m</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K≤1.0×10</w:t>
      </w:r>
      <w:r>
        <w:rPr>
          <w:rFonts w:hint="eastAsia" w:ascii="Times New Roman" w:hAnsi="Times New Roman" w:eastAsia="宋体" w:cs="Times New Roman"/>
          <w:color w:val="auto"/>
          <w:kern w:val="0"/>
          <w:sz w:val="28"/>
          <w:szCs w:val="28"/>
          <w:highlight w:val="none"/>
          <w:vertAlign w:val="superscript"/>
          <w:lang w:val="en-US" w:eastAsia="zh-CN" w:bidi="ar"/>
        </w:rPr>
        <w:t>-7</w:t>
      </w:r>
      <w:r>
        <w:rPr>
          <w:rFonts w:hint="default" w:ascii="Times New Roman" w:hAnsi="Times New Roman" w:eastAsia="宋体" w:cs="Times New Roman"/>
          <w:color w:val="auto"/>
          <w:kern w:val="0"/>
          <w:sz w:val="28"/>
          <w:szCs w:val="28"/>
          <w:highlight w:val="none"/>
          <w:lang w:val="en-US" w:eastAsia="zh-CN" w:bidi="ar"/>
        </w:rPr>
        <w:t>cm/s</w:t>
      </w:r>
      <w:r>
        <w:rPr>
          <w:rFonts w:hint="eastAsia" w:ascii="Times New Roman" w:hAnsi="Times New Roman" w:eastAsia="宋体" w:cs="Times New Roman"/>
          <w:color w:val="auto"/>
          <w:kern w:val="0"/>
          <w:sz w:val="28"/>
          <w:szCs w:val="28"/>
          <w:highlight w:val="none"/>
          <w:lang w:val="en-US" w:eastAsia="zh-CN" w:bidi="ar"/>
        </w:rPr>
        <w:t>黏土防渗层；油基泥浆钢制泥浆槽、柴油罐区、放喷池进行重点防渗，防渗系数</w:t>
      </w:r>
      <w:r>
        <w:rPr>
          <w:rFonts w:hint="default" w:ascii="Times New Roman" w:hAnsi="Times New Roman" w:eastAsia="宋体" w:cs="Times New Roman"/>
          <w:color w:val="auto"/>
          <w:kern w:val="0"/>
          <w:sz w:val="28"/>
          <w:szCs w:val="28"/>
          <w:highlight w:val="none"/>
          <w:lang w:val="en-US" w:eastAsia="zh-CN" w:bidi="ar"/>
        </w:rPr>
        <w:t>K≤1.0×10</w:t>
      </w:r>
      <w:r>
        <w:rPr>
          <w:rFonts w:hint="eastAsia" w:ascii="Times New Roman" w:hAnsi="Times New Roman" w:eastAsia="宋体" w:cs="Times New Roman"/>
          <w:color w:val="auto"/>
          <w:kern w:val="0"/>
          <w:sz w:val="28"/>
          <w:szCs w:val="28"/>
          <w:highlight w:val="none"/>
          <w:vertAlign w:val="superscript"/>
          <w:lang w:val="en-US" w:eastAsia="zh-CN" w:bidi="ar"/>
        </w:rPr>
        <w:t>-10</w:t>
      </w:r>
      <w:r>
        <w:rPr>
          <w:rFonts w:hint="default" w:ascii="Times New Roman" w:hAnsi="Times New Roman" w:eastAsia="宋体" w:cs="Times New Roman"/>
          <w:color w:val="auto"/>
          <w:kern w:val="0"/>
          <w:sz w:val="28"/>
          <w:szCs w:val="28"/>
          <w:highlight w:val="none"/>
          <w:lang w:val="en-US" w:eastAsia="zh-CN" w:bidi="ar"/>
        </w:rPr>
        <w:t>cm/s</w:t>
      </w:r>
      <w:r>
        <w:rPr>
          <w:rFonts w:hint="eastAsia" w:ascii="Times New Roman" w:hAnsi="Times New Roman" w:eastAsia="宋体" w:cs="Times New Roman"/>
          <w:color w:val="auto"/>
          <w:kern w:val="0"/>
          <w:sz w:val="28"/>
          <w:szCs w:val="28"/>
          <w:highlight w:val="none"/>
          <w:lang w:val="en-US" w:eastAsia="zh-CN" w:bidi="ar"/>
        </w:rPr>
        <w:t>。井场分区防渗具体情况见表</w:t>
      </w:r>
      <w:r>
        <w:rPr>
          <w:rFonts w:hint="default" w:ascii="Times New Roman" w:hAnsi="Times New Roman" w:eastAsia="宋体" w:cs="Times New Roman"/>
          <w:color w:val="auto"/>
          <w:kern w:val="0"/>
          <w:sz w:val="28"/>
          <w:szCs w:val="28"/>
          <w:highlight w:val="none"/>
          <w:lang w:val="en-US" w:eastAsia="zh-CN" w:bidi="ar"/>
        </w:rPr>
        <w:t>6.1-1</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表6.1-1井场分区防渗情况</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32"/>
        <w:gridCol w:w="3681"/>
        <w:gridCol w:w="32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防渗等级</w:t>
            </w:r>
          </w:p>
        </w:tc>
        <w:tc>
          <w:tcPr>
            <w:tcW w:w="36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防渗区域</w:t>
            </w:r>
          </w:p>
        </w:tc>
        <w:tc>
          <w:tcPr>
            <w:tcW w:w="32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防渗技术要求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重点防渗</w:t>
            </w:r>
          </w:p>
        </w:tc>
        <w:tc>
          <w:tcPr>
            <w:tcW w:w="36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油基泥浆钢制泥浆槽、柴油罐区、放喷池</w:t>
            </w:r>
          </w:p>
        </w:tc>
        <w:tc>
          <w:tcPr>
            <w:tcW w:w="32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防渗系数</w:t>
            </w:r>
            <w:r>
              <w:rPr>
                <w:rFonts w:hint="default" w:ascii="Times New Roman" w:hAnsi="Times New Roman" w:cs="Times New Roman"/>
                <w:color w:val="auto"/>
                <w:sz w:val="24"/>
                <w:szCs w:val="24"/>
                <w:highlight w:val="none"/>
                <w:vertAlign w:val="baseline"/>
                <w:lang w:val="en-US" w:eastAsia="zh-CN"/>
              </w:rPr>
              <w:t>K≤1.0×10</w:t>
            </w:r>
            <w:r>
              <w:rPr>
                <w:rFonts w:hint="default" w:ascii="Times New Roman" w:hAnsi="Times New Roman" w:cs="Times New Roman"/>
                <w:color w:val="auto"/>
                <w:sz w:val="24"/>
                <w:szCs w:val="24"/>
                <w:highlight w:val="none"/>
                <w:vertAlign w:val="superscript"/>
                <w:lang w:val="en-US" w:eastAsia="zh-CN"/>
              </w:rPr>
              <w:t>-</w:t>
            </w:r>
            <w:r>
              <w:rPr>
                <w:rFonts w:hint="eastAsia" w:ascii="Times New Roman" w:hAnsi="Times New Roman" w:cs="Times New Roman"/>
                <w:color w:val="auto"/>
                <w:sz w:val="24"/>
                <w:szCs w:val="24"/>
                <w:highlight w:val="none"/>
                <w:vertAlign w:val="superscript"/>
                <w:lang w:val="en-US" w:eastAsia="zh-CN"/>
              </w:rPr>
              <w:t>10</w:t>
            </w:r>
            <w:r>
              <w:rPr>
                <w:rFonts w:hint="default" w:ascii="Times New Roman" w:hAnsi="Times New Roman" w:cs="Times New Roman"/>
                <w:color w:val="auto"/>
                <w:sz w:val="24"/>
                <w:szCs w:val="24"/>
                <w:highlight w:val="none"/>
                <w:vertAlign w:val="baseline"/>
                <w:lang w:val="en-US" w:eastAsia="zh-CN"/>
              </w:rPr>
              <w:t>cm/s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一般防渗</w:t>
            </w:r>
          </w:p>
        </w:tc>
        <w:tc>
          <w:tcPr>
            <w:tcW w:w="36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水基泥浆钢制泥浆槽、生活污水池、材料房、计量池、储液罐、压裂液罐</w:t>
            </w:r>
          </w:p>
        </w:tc>
        <w:tc>
          <w:tcPr>
            <w:tcW w:w="32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防渗性能等效</w:t>
            </w:r>
            <w:r>
              <w:rPr>
                <w:rFonts w:hint="default" w:ascii="Times New Roman" w:hAnsi="Times New Roman" w:cs="Times New Roman"/>
                <w:color w:val="auto"/>
                <w:sz w:val="24"/>
                <w:szCs w:val="24"/>
                <w:highlight w:val="none"/>
                <w:vertAlign w:val="baseline"/>
                <w:lang w:val="en-US" w:eastAsia="zh-CN"/>
              </w:rPr>
              <w:t>Mb≥1.5m</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K≤1.0×10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vertAlign w:val="baseline"/>
                <w:lang w:val="en-US" w:eastAsia="zh-CN"/>
              </w:rPr>
              <w:t>cm/s</w:t>
            </w:r>
            <w:r>
              <w:rPr>
                <w:rFonts w:hint="eastAsia" w:ascii="Times New Roman" w:hAnsi="Times New Roman" w:cs="Times New Roman"/>
                <w:color w:val="auto"/>
                <w:sz w:val="24"/>
                <w:szCs w:val="24"/>
                <w:highlight w:val="none"/>
                <w:vertAlign w:val="baseline"/>
                <w:lang w:val="en-US" w:eastAsia="zh-CN"/>
              </w:rPr>
              <w:t>黏土防渗层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简单防渗</w:t>
            </w:r>
          </w:p>
        </w:tc>
        <w:tc>
          <w:tcPr>
            <w:tcW w:w="368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井场地面</w:t>
            </w:r>
          </w:p>
        </w:tc>
        <w:tc>
          <w:tcPr>
            <w:tcW w:w="32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平整压实</w:t>
            </w:r>
          </w:p>
        </w:tc>
      </w:tr>
    </w:tbl>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（3）地下水环境环境监测和管理</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定期对地下水环境进行监测，监测委托具有资质的单位进行，建设单位应存档监测报告以及建设项目所在地及其影响区地下水环境跟踪监测数据，同时对监测结果定期进行信息公开。根据地下水影响预测结果，项目建设对环境敏感点产生影响的可能性小，所以根据地下水流向，在建设项目区域上游设1个背景监测点、下游设2个跟踪监测点，跟踪监测计划见表</w:t>
      </w:r>
      <w:r>
        <w:rPr>
          <w:rFonts w:hint="default" w:ascii="Times New Roman" w:hAnsi="Times New Roman" w:eastAsia="宋体" w:cs="Times New Roman"/>
          <w:color w:val="auto"/>
          <w:kern w:val="0"/>
          <w:sz w:val="28"/>
          <w:szCs w:val="28"/>
          <w:highlight w:val="none"/>
          <w:lang w:val="en-US" w:eastAsia="zh-CN" w:bidi="ar"/>
        </w:rPr>
        <w:t>6.1-2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6.1-2</w:t>
      </w:r>
      <w:r>
        <w:rPr>
          <w:rFonts w:hint="eastAsia" w:ascii="Times New Roman" w:hAnsi="Times New Roman" w:eastAsia="宋体" w:cs="Times New Roman"/>
          <w:b/>
          <w:bCs/>
          <w:color w:val="auto"/>
          <w:kern w:val="0"/>
          <w:sz w:val="24"/>
          <w:szCs w:val="24"/>
          <w:highlight w:val="none"/>
          <w:lang w:val="en-US" w:eastAsia="zh-CN" w:bidi="ar"/>
        </w:rPr>
        <w:t>地下水环境监测计划表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77"/>
        <w:gridCol w:w="1255"/>
        <w:gridCol w:w="1525"/>
        <w:gridCol w:w="1021"/>
        <w:gridCol w:w="920"/>
        <w:gridCol w:w="920"/>
        <w:gridCol w:w="977"/>
        <w:gridCol w:w="9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跟踪监测井</w:t>
            </w:r>
          </w:p>
        </w:tc>
        <w:tc>
          <w:tcPr>
            <w:tcW w:w="12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坐标</w:t>
            </w:r>
          </w:p>
        </w:tc>
        <w:tc>
          <w:tcPr>
            <w:tcW w:w="15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相对厂址方位</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距离</w:t>
            </w:r>
          </w:p>
        </w:tc>
        <w:tc>
          <w:tcPr>
            <w:tcW w:w="10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井深（</w:t>
            </w:r>
            <w:r>
              <w:rPr>
                <w:rFonts w:hint="default"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baseline"/>
                <w:lang w:val="en-US" w:eastAsia="zh-CN"/>
              </w:rPr>
              <w:t>）</w:t>
            </w:r>
          </w:p>
        </w:tc>
        <w:tc>
          <w:tcPr>
            <w:tcW w:w="9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井结构</w:t>
            </w:r>
          </w:p>
        </w:tc>
        <w:tc>
          <w:tcPr>
            <w:tcW w:w="9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功能</w:t>
            </w:r>
          </w:p>
        </w:tc>
        <w:tc>
          <w:tcPr>
            <w:tcW w:w="9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因子</w:t>
            </w:r>
          </w:p>
        </w:tc>
        <w:tc>
          <w:tcPr>
            <w:tcW w:w="9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53" w:hRule="atLeast"/>
        </w:trPr>
        <w:tc>
          <w:tcPr>
            <w:tcW w:w="9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上游监测井（依托李珍窝棚水井）</w:t>
            </w:r>
          </w:p>
        </w:tc>
        <w:tc>
          <w:tcPr>
            <w:tcW w:w="12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g125.281343，45.811839</w:t>
            </w:r>
          </w:p>
        </w:tc>
        <w:tc>
          <w:tcPr>
            <w:tcW w:w="15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拟建肇深19-平3井西北侧276m</w:t>
            </w:r>
          </w:p>
        </w:tc>
        <w:tc>
          <w:tcPr>
            <w:tcW w:w="10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w:t>
            </w:r>
          </w:p>
        </w:tc>
        <w:tc>
          <w:tcPr>
            <w:tcW w:w="9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水泥</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管井</w:t>
            </w:r>
          </w:p>
        </w:tc>
        <w:tc>
          <w:tcPr>
            <w:tcW w:w="9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背景值监测点</w:t>
            </w:r>
          </w:p>
        </w:tc>
        <w:tc>
          <w:tcPr>
            <w:tcW w:w="97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石油类、石油烃（C</w:t>
            </w:r>
            <w:r>
              <w:rPr>
                <w:rFonts w:hint="eastAsia" w:ascii="Times New Roman" w:hAnsi="Times New Roman" w:cs="Times New Roman"/>
                <w:color w:val="auto"/>
                <w:sz w:val="24"/>
                <w:szCs w:val="24"/>
                <w:highlight w:val="none"/>
                <w:vertAlign w:val="subscript"/>
                <w:lang w:val="en-US" w:eastAsia="zh-CN"/>
              </w:rPr>
              <w:t>6</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9</w:t>
            </w:r>
            <w:r>
              <w:rPr>
                <w:rFonts w:hint="eastAsia" w:ascii="Times New Roman" w:hAnsi="Times New Roman" w:cs="Times New Roman"/>
                <w:color w:val="auto"/>
                <w:sz w:val="24"/>
                <w:szCs w:val="24"/>
                <w:highlight w:val="none"/>
                <w:vertAlign w:val="baseline"/>
                <w:lang w:val="en-US" w:eastAsia="zh-CN"/>
              </w:rPr>
              <w:t>）、石油烃（C</w:t>
            </w:r>
            <w:r>
              <w:rPr>
                <w:rFonts w:hint="eastAsia" w:ascii="Times New Roman" w:hAnsi="Times New Roman" w:cs="Times New Roman"/>
                <w:color w:val="auto"/>
                <w:sz w:val="24"/>
                <w:szCs w:val="24"/>
                <w:highlight w:val="none"/>
                <w:vertAlign w:val="subscript"/>
                <w:lang w:val="en-US" w:eastAsia="zh-CN"/>
              </w:rPr>
              <w:t>10</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40</w:t>
            </w:r>
            <w:r>
              <w:rPr>
                <w:rFonts w:hint="eastAsia" w:ascii="Times New Roman" w:hAnsi="Times New Roman" w:cs="Times New Roman"/>
                <w:color w:val="auto"/>
                <w:sz w:val="24"/>
                <w:szCs w:val="24"/>
                <w:highlight w:val="none"/>
                <w:vertAlign w:val="baseline"/>
                <w:lang w:val="en-US" w:eastAsia="zh-CN"/>
              </w:rPr>
              <w:t>）、砷、六价铬、硫化物</w:t>
            </w:r>
          </w:p>
        </w:tc>
        <w:tc>
          <w:tcPr>
            <w:tcW w:w="92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次</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半年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下游监测井（依托三门董家水井）</w:t>
            </w:r>
          </w:p>
        </w:tc>
        <w:tc>
          <w:tcPr>
            <w:tcW w:w="12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g125.275417，45.805872</w:t>
            </w:r>
          </w:p>
        </w:tc>
        <w:tc>
          <w:tcPr>
            <w:tcW w:w="15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拟建肇深19-平2井西北0.610km</w:t>
            </w:r>
          </w:p>
        </w:tc>
        <w:tc>
          <w:tcPr>
            <w:tcW w:w="10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w:t>
            </w:r>
          </w:p>
        </w:tc>
        <w:tc>
          <w:tcPr>
            <w:tcW w:w="9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水泥</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管井</w:t>
            </w:r>
          </w:p>
        </w:tc>
        <w:tc>
          <w:tcPr>
            <w:tcW w:w="92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污染扩散监测点</w:t>
            </w:r>
          </w:p>
        </w:tc>
        <w:tc>
          <w:tcPr>
            <w:tcW w:w="97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下游监测井（依托平等村水井）</w:t>
            </w:r>
          </w:p>
        </w:tc>
        <w:tc>
          <w:tcPr>
            <w:tcW w:w="12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g125.291883，45.785324</w:t>
            </w:r>
          </w:p>
        </w:tc>
        <w:tc>
          <w:tcPr>
            <w:tcW w:w="15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拟建肇深19-斜1井南1.349km</w:t>
            </w:r>
          </w:p>
        </w:tc>
        <w:tc>
          <w:tcPr>
            <w:tcW w:w="102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w:t>
            </w:r>
          </w:p>
        </w:tc>
        <w:tc>
          <w:tcPr>
            <w:tcW w:w="9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水泥</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管井</w:t>
            </w:r>
          </w:p>
        </w:tc>
        <w:tc>
          <w:tcPr>
            <w:tcW w:w="92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7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92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bl>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综上所述，通过采取以上措施，能够有效地控制和减少污染物对地下水的污染，本项目的地下水污染防治措施合理可行。</w:t>
      </w:r>
    </w:p>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6.1.4</w:t>
      </w:r>
      <w:r>
        <w:rPr>
          <w:rFonts w:hint="eastAsia" w:ascii="Times New Roman" w:hAnsi="Times New Roman" w:eastAsia="宋体" w:cs="Times New Roman"/>
          <w:color w:val="auto"/>
          <w:kern w:val="0"/>
          <w:sz w:val="28"/>
          <w:szCs w:val="28"/>
          <w:highlight w:val="none"/>
          <w:lang w:val="en-US" w:eastAsia="zh-CN" w:bidi="ar"/>
        </w:rPr>
        <w:t>噪声污染控制措施</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本项目主要声环境影响产生于施工期，为了减轻施工噪声的环境影响，须采取以下噪声污染控制措施：</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①在钻进设备选型时选取高效低噪声设备。</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②对于柴油发电机的噪声，安装减振垫层和阻尼涂料。</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③施工单位必须选用符合国家有关标准的施工机具，尽量选用低噪声的施工机械或工艺，从根本上降低噪声源强。同时加强施工机械的维护保养，避免由于设备性能差而使机械噪声增大的现象发生。</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④合理安排施工强度，作好施工组织设计，将高噪声施工机械尽量远离周围的敏感目标，减轻施工噪声对周边环境的影响。</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⑤合理安排施工进度，减少施工时间，尽量避免大量高噪声设备同时施工。除钻机外，其它施工严格禁止夜间进行。调整同时作业的施工机械数量，降低对周围环境的影响。</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本项目施工期将产生短期噪声影响，通过以上措施，井场施工期噪声满足《建筑施工场界环境噪声排放标准》（</w:t>
      </w:r>
      <w:r>
        <w:rPr>
          <w:rFonts w:hint="default" w:ascii="Times New Roman" w:hAnsi="Times New Roman" w:eastAsia="宋体" w:cs="Times New Roman"/>
          <w:color w:val="auto"/>
          <w:kern w:val="0"/>
          <w:sz w:val="28"/>
          <w:szCs w:val="28"/>
          <w:highlight w:val="none"/>
          <w:lang w:val="en-US" w:eastAsia="zh-CN" w:bidi="ar"/>
        </w:rPr>
        <w:t>GB12523-2011</w:t>
      </w:r>
      <w:r>
        <w:rPr>
          <w:rFonts w:hint="eastAsia" w:ascii="Times New Roman" w:hAnsi="Times New Roman" w:eastAsia="宋体" w:cs="Times New Roman"/>
          <w:color w:val="auto"/>
          <w:kern w:val="0"/>
          <w:sz w:val="28"/>
          <w:szCs w:val="28"/>
          <w:highlight w:val="none"/>
          <w:lang w:val="en-US" w:eastAsia="zh-CN" w:bidi="ar"/>
        </w:rPr>
        <w:t>）（昼间</w:t>
      </w:r>
      <w:r>
        <w:rPr>
          <w:rFonts w:hint="default" w:ascii="Times New Roman" w:hAnsi="Times New Roman" w:eastAsia="宋体" w:cs="Times New Roman"/>
          <w:color w:val="auto"/>
          <w:kern w:val="0"/>
          <w:sz w:val="28"/>
          <w:szCs w:val="28"/>
          <w:highlight w:val="none"/>
          <w:lang w:val="en-US" w:eastAsia="zh-CN" w:bidi="ar"/>
        </w:rPr>
        <w:t>70dB</w:t>
      </w:r>
      <w:r>
        <w:rPr>
          <w:rFonts w:hint="eastAsia" w:ascii="Times New Roman" w:hAnsi="Times New Roman" w:eastAsia="宋体" w:cs="Times New Roman"/>
          <w:color w:val="auto"/>
          <w:kern w:val="0"/>
          <w:sz w:val="28"/>
          <w:szCs w:val="28"/>
          <w:highlight w:val="none"/>
          <w:lang w:val="en-US" w:eastAsia="zh-CN" w:bidi="ar"/>
        </w:rPr>
        <w:t>，夜间</w:t>
      </w:r>
      <w:r>
        <w:rPr>
          <w:rFonts w:hint="default" w:ascii="Times New Roman" w:hAnsi="Times New Roman" w:eastAsia="宋体" w:cs="Times New Roman"/>
          <w:color w:val="auto"/>
          <w:kern w:val="0"/>
          <w:sz w:val="28"/>
          <w:szCs w:val="28"/>
          <w:highlight w:val="none"/>
          <w:lang w:val="en-US" w:eastAsia="zh-CN" w:bidi="ar"/>
        </w:rPr>
        <w:t>55dB</w:t>
      </w:r>
      <w:r>
        <w:rPr>
          <w:rFonts w:hint="eastAsia" w:ascii="Times New Roman" w:hAnsi="Times New Roman" w:eastAsia="宋体" w:cs="Times New Roman"/>
          <w:color w:val="auto"/>
          <w:kern w:val="0"/>
          <w:sz w:val="28"/>
          <w:szCs w:val="28"/>
          <w:highlight w:val="none"/>
          <w:lang w:val="en-US" w:eastAsia="zh-CN" w:bidi="ar"/>
        </w:rPr>
        <w:t>）要求，对拟建井场周围声环境保护目标的影响是可以接受的，噪声污染控制措施可行。</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6.1.5</w:t>
      </w:r>
      <w:r>
        <w:rPr>
          <w:rFonts w:hint="eastAsia" w:ascii="宋体" w:hAnsi="宋体" w:eastAsia="宋体" w:cs="宋体"/>
          <w:color w:val="auto"/>
          <w:kern w:val="0"/>
          <w:sz w:val="28"/>
          <w:szCs w:val="28"/>
          <w:highlight w:val="none"/>
          <w:lang w:val="en-US" w:eastAsia="zh-CN" w:bidi="ar"/>
        </w:rPr>
        <w:t>固体废弃物控制措施</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本项目施工期产生的固体废物包括</w:t>
      </w:r>
      <w:r>
        <w:rPr>
          <w:rFonts w:hint="eastAsia" w:ascii="Times New Roman" w:hAnsi="Times New Roman" w:eastAsia="宋体" w:cs="Times New Roman"/>
          <w:color w:val="auto"/>
          <w:kern w:val="0"/>
          <w:sz w:val="28"/>
          <w:szCs w:val="28"/>
          <w:highlight w:val="none"/>
          <w:lang w:val="en-US" w:eastAsia="zh-CN" w:bidi="ar"/>
        </w:rPr>
        <w:t>废钻井液、</w:t>
      </w:r>
      <w:r>
        <w:rPr>
          <w:rFonts w:hint="eastAsia" w:ascii="宋体" w:hAnsi="宋体" w:eastAsia="宋体" w:cs="宋体"/>
          <w:color w:val="auto"/>
          <w:kern w:val="0"/>
          <w:sz w:val="28"/>
          <w:szCs w:val="28"/>
          <w:highlight w:val="none"/>
          <w:lang w:val="en-US" w:eastAsia="zh-CN" w:bidi="ar"/>
        </w:rPr>
        <w:t>废射孔液、钻井岩屑、废弃包装袋、废防渗布和生活垃圾等。</w:t>
      </w:r>
    </w:p>
    <w:p>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一般工业固体废物</w:t>
      </w:r>
    </w:p>
    <w:p>
      <w:pPr>
        <w:keepNext w:val="0"/>
        <w:keepLines w:val="0"/>
        <w:widowControl/>
        <w:suppressLineNumbers w:val="0"/>
        <w:spacing w:line="360" w:lineRule="auto"/>
        <w:ind w:firstLine="560" w:firstLineChars="200"/>
        <w:jc w:val="both"/>
        <w:rPr>
          <w:rFonts w:hint="eastAsia" w:ascii="宋体" w:hAnsi="宋体" w:eastAsia="宋体" w:cs="宋体"/>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）本项目钻井过程产生的废弃水基钻井液、废射孔液及水基岩屑经井口设置的水基钢制泥浆槽收集后，由罐车拉运至黑龙江龙之润五厂处理站处理进行处理；</w:t>
      </w:r>
    </w:p>
    <w:p>
      <w:pPr>
        <w:keepNext w:val="0"/>
        <w:keepLines w:val="0"/>
        <w:widowControl/>
        <w:suppressLineNumbers w:val="0"/>
        <w:spacing w:line="360" w:lineRule="auto"/>
        <w:ind w:firstLine="560" w:firstLineChars="200"/>
        <w:jc w:val="both"/>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废弃油基钻井液及油基岩屑经井口设置的油基钢制泥浆槽收集后，由罐车拉运至废弃泥浆无害化处理油基泥浆站处理。</w:t>
      </w:r>
    </w:p>
    <w:p>
      <w:pPr>
        <w:keepNext w:val="0"/>
        <w:keepLines w:val="0"/>
        <w:widowControl/>
        <w:suppressLineNumbers w:val="0"/>
        <w:spacing w:line="360" w:lineRule="auto"/>
        <w:ind w:firstLine="560" w:firstLineChars="200"/>
        <w:jc w:val="both"/>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处理后的废渣满足国家《一般工业固体废物贮存和填埋污染控制标准》（</w:t>
      </w:r>
      <w:r>
        <w:rPr>
          <w:rFonts w:hint="default" w:ascii="Times New Roman" w:hAnsi="Times New Roman" w:eastAsia="宋体" w:cs="Times New Roman"/>
          <w:color w:val="auto"/>
          <w:kern w:val="0"/>
          <w:sz w:val="28"/>
          <w:szCs w:val="28"/>
          <w:highlight w:val="none"/>
          <w:lang w:val="en-US" w:eastAsia="zh-CN" w:bidi="ar"/>
        </w:rPr>
        <w:t>GB18599-2020</w:t>
      </w:r>
      <w:r>
        <w:rPr>
          <w:rFonts w:hint="eastAsia" w:ascii="宋体" w:hAnsi="宋体" w:eastAsia="宋体" w:cs="宋体"/>
          <w:color w:val="auto"/>
          <w:kern w:val="0"/>
          <w:sz w:val="28"/>
          <w:szCs w:val="28"/>
          <w:highlight w:val="none"/>
          <w:lang w:val="en-US" w:eastAsia="zh-CN" w:bidi="ar"/>
        </w:rPr>
        <w:t>）中的第</w:t>
      </w:r>
      <w:r>
        <w:rPr>
          <w:rFonts w:hint="default" w:ascii="Times New Roman" w:hAnsi="Times New Roman" w:eastAsia="宋体" w:cs="Times New Roman"/>
          <w:color w:val="auto"/>
          <w:kern w:val="0"/>
          <w:sz w:val="28"/>
          <w:szCs w:val="28"/>
          <w:highlight w:val="none"/>
          <w:lang w:val="en-US" w:eastAsia="zh-CN" w:bidi="ar"/>
        </w:rPr>
        <w:t>I</w:t>
      </w:r>
      <w:r>
        <w:rPr>
          <w:rFonts w:hint="eastAsia" w:ascii="宋体" w:hAnsi="宋体" w:eastAsia="宋体" w:cs="宋体"/>
          <w:color w:val="auto"/>
          <w:kern w:val="0"/>
          <w:sz w:val="28"/>
          <w:szCs w:val="28"/>
          <w:highlight w:val="none"/>
          <w:lang w:val="en-US" w:eastAsia="zh-CN" w:bidi="ar"/>
        </w:rPr>
        <w:t>类一般工业固体废物要求及</w:t>
      </w:r>
      <w:r>
        <w:rPr>
          <w:rFonts w:hint="eastAsia" w:ascii="Times New Roman" w:hAnsi="Times New Roman" w:eastAsia="宋体" w:cs="Times New Roman"/>
          <w:color w:val="auto"/>
          <w:kern w:val="0"/>
          <w:sz w:val="28"/>
          <w:szCs w:val="28"/>
          <w:highlight w:val="none"/>
          <w:lang w:val="en-US" w:eastAsia="zh-CN" w:bidi="ar"/>
        </w:rPr>
        <w:t>《废弃钻井液处理规范》（DB23/T693-2000）后，由油田统一调配用于井场平整及道路建设等综合利用。</w:t>
      </w:r>
    </w:p>
    <w:p>
      <w:pPr>
        <w:keepNext w:val="0"/>
        <w:keepLines w:val="0"/>
        <w:widowControl/>
        <w:suppressLineNumbers w:val="0"/>
        <w:ind w:firstLine="560" w:firstLineChars="200"/>
        <w:jc w:val="left"/>
        <w:rPr>
          <w:color w:val="auto"/>
          <w:sz w:val="28"/>
          <w:szCs w:val="28"/>
          <w:highlight w:val="none"/>
        </w:rPr>
      </w:pPr>
      <w:r>
        <w:rPr>
          <w:rFonts w:hint="default"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）本项目产生的一般废弃包装袋和废弃防渗布属于一般废物，统一收集后送大庆市岗源环保科技有限责任公司工业废弃物处置中心处置。</w:t>
      </w:r>
    </w:p>
    <w:p>
      <w:pPr>
        <w:keepNext w:val="0"/>
        <w:keepLines w:val="0"/>
        <w:widowControl/>
        <w:suppressLineNumbers w:val="0"/>
        <w:ind w:firstLine="560" w:firstLineChars="200"/>
        <w:jc w:val="left"/>
        <w:rPr>
          <w:rFonts w:hint="default" w:ascii="宋体" w:hAnsi="宋体" w:eastAsia="宋体" w:cs="宋体"/>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w:t>
      </w:r>
      <w:r>
        <w:rPr>
          <w:rFonts w:hint="eastAsia" w:ascii="宋体" w:hAnsi="宋体" w:eastAsia="宋体" w:cs="宋体"/>
          <w:color w:val="auto"/>
          <w:kern w:val="0"/>
          <w:sz w:val="28"/>
          <w:szCs w:val="28"/>
          <w:highlight w:val="none"/>
          <w:lang w:val="en-US" w:eastAsia="zh-CN" w:bidi="ar"/>
        </w:rPr>
        <w:t>）施工人员产生的生活垃圾统一收集后，</w:t>
      </w:r>
      <w:r>
        <w:rPr>
          <w:rFonts w:hint="default" w:ascii="Times New Roman" w:hAnsi="Times New Roman" w:cs="Times New Roman"/>
          <w:color w:val="auto"/>
          <w:sz w:val="28"/>
          <w:szCs w:val="28"/>
          <w:highlight w:val="none"/>
          <w:vertAlign w:val="baseline"/>
          <w:lang w:val="en-US" w:eastAsia="zh-CN"/>
        </w:rPr>
        <w:t>委托大庆三联实业有限公司拉运处置</w:t>
      </w:r>
      <w:r>
        <w:rPr>
          <w:rFonts w:hint="eastAsia" w:ascii="Times New Roman" w:hAnsi="Times New Roman" w:cs="Times New Roman"/>
          <w:color w:val="auto"/>
          <w:sz w:val="28"/>
          <w:szCs w:val="28"/>
          <w:highlight w:val="none"/>
          <w:vertAlign w:val="baseline"/>
          <w:lang w:val="en-US" w:eastAsia="zh-CN"/>
        </w:rPr>
        <w:t>。</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（2）危险废物</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本项目产生的废弃过硫酸钾和氢氧化钾包装袋及含油废弃防渗布属于危险废物，委托有资质的危废处理单位处理。</w:t>
      </w:r>
      <w:r>
        <w:rPr>
          <w:rFonts w:hint="default" w:ascii="Times New Roman" w:hAnsi="Times New Roman" w:eastAsia="宋体" w:cs="Times New Roman"/>
          <w:color w:val="auto"/>
          <w:kern w:val="0"/>
          <w:sz w:val="28"/>
          <w:szCs w:val="28"/>
          <w:highlight w:val="none"/>
          <w:lang w:val="en-US" w:eastAsia="zh-CN" w:bidi="ar"/>
        </w:rPr>
        <w:t>危险废物应严格按照《</w:t>
      </w:r>
      <w:r>
        <w:rPr>
          <w:rFonts w:hint="eastAsia" w:ascii="Times New Roman" w:hAnsi="Times New Roman" w:eastAsia="宋体" w:cs="Times New Roman"/>
          <w:color w:val="auto"/>
          <w:kern w:val="0"/>
          <w:sz w:val="28"/>
          <w:szCs w:val="28"/>
          <w:highlight w:val="none"/>
          <w:lang w:val="en-US" w:eastAsia="zh-CN" w:bidi="ar"/>
        </w:rPr>
        <w:t>《危险废物收集贮存运输技术规范》（</w:t>
      </w:r>
      <w:r>
        <w:rPr>
          <w:rFonts w:hint="default" w:ascii="Times New Roman" w:hAnsi="Times New Roman" w:eastAsia="宋体" w:cs="Times New Roman"/>
          <w:color w:val="auto"/>
          <w:kern w:val="0"/>
          <w:sz w:val="28"/>
          <w:szCs w:val="28"/>
          <w:highlight w:val="none"/>
          <w:lang w:val="en-US" w:eastAsia="zh-CN" w:bidi="ar"/>
        </w:rPr>
        <w:t>HJ2025-2012</w:t>
      </w:r>
      <w:r>
        <w:rPr>
          <w:rFonts w:hint="eastAsia" w:ascii="Times New Roman" w:hAnsi="Times New Roman" w:eastAsia="宋体" w:cs="Times New Roman"/>
          <w:color w:val="auto"/>
          <w:kern w:val="0"/>
          <w:sz w:val="28"/>
          <w:szCs w:val="28"/>
          <w:highlight w:val="none"/>
          <w:lang w:val="en-US" w:eastAsia="zh-CN" w:bidi="ar"/>
        </w:rPr>
        <w:t>）及《建设项目危险废物环境影响评价指南》（环境保护部公告</w:t>
      </w:r>
      <w:r>
        <w:rPr>
          <w:rFonts w:hint="default" w:ascii="Times New Roman" w:hAnsi="Times New Roman" w:eastAsia="宋体" w:cs="Times New Roman"/>
          <w:color w:val="auto"/>
          <w:kern w:val="0"/>
          <w:sz w:val="28"/>
          <w:szCs w:val="28"/>
          <w:highlight w:val="none"/>
          <w:lang w:val="en-US" w:eastAsia="zh-CN" w:bidi="ar"/>
        </w:rPr>
        <w:t>2017</w:t>
      </w:r>
      <w:r>
        <w:rPr>
          <w:rFonts w:hint="eastAsia" w:ascii="Times New Roman" w:hAnsi="Times New Roman" w:eastAsia="宋体" w:cs="Times New Roman"/>
          <w:color w:val="auto"/>
          <w:kern w:val="0"/>
          <w:sz w:val="28"/>
          <w:szCs w:val="28"/>
          <w:highlight w:val="none"/>
          <w:lang w:val="en-US" w:eastAsia="zh-CN" w:bidi="ar"/>
        </w:rPr>
        <w:t>年第</w:t>
      </w:r>
      <w:r>
        <w:rPr>
          <w:rFonts w:hint="default" w:ascii="Times New Roman" w:hAnsi="Times New Roman" w:eastAsia="宋体" w:cs="Times New Roman"/>
          <w:color w:val="auto"/>
          <w:kern w:val="0"/>
          <w:sz w:val="28"/>
          <w:szCs w:val="28"/>
          <w:highlight w:val="none"/>
          <w:lang w:val="en-US" w:eastAsia="zh-CN" w:bidi="ar"/>
        </w:rPr>
        <w:t>43</w:t>
      </w:r>
      <w:r>
        <w:rPr>
          <w:rFonts w:hint="eastAsia" w:ascii="Times New Roman" w:hAnsi="Times New Roman" w:eastAsia="宋体" w:cs="Times New Roman"/>
          <w:color w:val="auto"/>
          <w:kern w:val="0"/>
          <w:sz w:val="28"/>
          <w:szCs w:val="28"/>
          <w:highlight w:val="none"/>
          <w:lang w:val="en-US" w:eastAsia="zh-CN" w:bidi="ar"/>
        </w:rPr>
        <w:t>号）相关规定</w:t>
      </w:r>
      <w:r>
        <w:rPr>
          <w:rFonts w:hint="default" w:ascii="Times New Roman" w:hAnsi="Times New Roman" w:eastAsia="宋体" w:cs="Times New Roman"/>
          <w:color w:val="auto"/>
          <w:kern w:val="0"/>
          <w:sz w:val="28"/>
          <w:szCs w:val="28"/>
          <w:highlight w:val="none"/>
          <w:lang w:val="en-US" w:eastAsia="zh-CN" w:bidi="ar"/>
        </w:rPr>
        <w:t>进行危险废物收集、贮存、运输、处置工作。</w:t>
      </w:r>
    </w:p>
    <w:p>
      <w:pPr>
        <w:keepNext w:val="0"/>
        <w:keepLines w:val="0"/>
        <w:widowControl/>
        <w:suppressLineNumbers w:val="0"/>
        <w:ind w:firstLine="560" w:firstLineChars="20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）危险废物收集</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①根据废弃过硫酸钾和氢氧化钾包装袋产生的工序、产生频次、产生量及危险废物属性等因素制定收集计划。</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②制定详细的操作规程，内容应包括收集操作程序和方法、专用设备和工具、转移与移交、安全保障和应急防护。</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③在危险废物的收集和转运过程中，采取相应的措施杜绝抛洒地漏。</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④必须按照清洁生产的原则，从源头上加以控制，废弃危险包装袋产生后立即盛装在符合规范的金属容器中，实行</w:t>
      </w:r>
      <w:r>
        <w:rPr>
          <w:rFonts w:hint="eastAsia" w:ascii="Times New Roman" w:hAnsi="Times New Roman" w:eastAsia="宋体" w:cs="Times New Roman"/>
          <w:color w:val="auto"/>
          <w:kern w:val="0"/>
          <w:sz w:val="28"/>
          <w:szCs w:val="28"/>
          <w:highlight w:val="none"/>
          <w:lang w:val="en-US" w:eastAsia="zh-CN" w:bidi="ar"/>
        </w:rPr>
        <w:t>“</w:t>
      </w:r>
      <w:r>
        <w:rPr>
          <w:rFonts w:hint="eastAsia" w:ascii="宋体" w:hAnsi="宋体" w:eastAsia="宋体" w:cs="宋体"/>
          <w:color w:val="auto"/>
          <w:kern w:val="0"/>
          <w:sz w:val="28"/>
          <w:szCs w:val="28"/>
          <w:highlight w:val="none"/>
          <w:lang w:val="en-US" w:eastAsia="zh-CN" w:bidi="ar"/>
        </w:rPr>
        <w:t>不落地</w:t>
      </w:r>
      <w:r>
        <w:rPr>
          <w:rFonts w:hint="eastAsia" w:ascii="Times New Roman" w:hAnsi="Times New Roman" w:eastAsia="宋体" w:cs="Times New Roman"/>
          <w:color w:val="auto"/>
          <w:kern w:val="0"/>
          <w:sz w:val="28"/>
          <w:szCs w:val="28"/>
          <w:highlight w:val="none"/>
          <w:lang w:val="en-US" w:eastAsia="zh-CN" w:bidi="ar"/>
        </w:rPr>
        <w:t>”政策</w:t>
      </w:r>
      <w:r>
        <w:rPr>
          <w:rFonts w:hint="eastAsia" w:ascii="宋体" w:hAnsi="宋体" w:eastAsia="宋体" w:cs="宋体"/>
          <w:color w:val="auto"/>
          <w:kern w:val="0"/>
          <w:sz w:val="28"/>
          <w:szCs w:val="28"/>
          <w:highlight w:val="none"/>
          <w:lang w:val="en-US" w:eastAsia="zh-CN" w:bidi="ar"/>
        </w:rPr>
        <w:t>。</w:t>
      </w:r>
    </w:p>
    <w:p>
      <w:pPr>
        <w:keepNext w:val="0"/>
        <w:keepLines w:val="0"/>
        <w:widowControl/>
        <w:suppressLineNumbers w:val="0"/>
        <w:ind w:firstLine="560" w:firstLineChars="20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）危险废物贮存措施</w:t>
      </w:r>
    </w:p>
    <w:p>
      <w:pPr>
        <w:keepNext w:val="0"/>
        <w:keepLines w:val="0"/>
        <w:widowControl/>
        <w:suppressLineNumbers w:val="0"/>
        <w:ind w:firstLine="560" w:firstLineChars="200"/>
        <w:jc w:val="left"/>
        <w:rPr>
          <w:color w:val="auto"/>
          <w:sz w:val="28"/>
          <w:szCs w:val="28"/>
          <w:highlight w:val="none"/>
        </w:rPr>
      </w:pPr>
      <w:r>
        <w:rPr>
          <w:rFonts w:hint="eastAsia" w:ascii="宋体" w:hAnsi="宋体" w:eastAsia="宋体" w:cs="宋体"/>
          <w:color w:val="auto"/>
          <w:kern w:val="0"/>
          <w:sz w:val="28"/>
          <w:szCs w:val="28"/>
          <w:highlight w:val="none"/>
          <w:lang w:val="en-US" w:eastAsia="zh-CN" w:bidi="ar"/>
        </w:rPr>
        <w:t>本项目危险废物不进行贮存，危险废物产生之后及时清运，委托有资质单位处理。</w:t>
      </w:r>
    </w:p>
    <w:p>
      <w:pPr>
        <w:pageBreakBefore w:val="0"/>
        <w:bidi w:val="0"/>
        <w:spacing w:line="360" w:lineRule="auto"/>
        <w:ind w:firstLine="560" w:firstLineChars="200"/>
        <w:rPr>
          <w:rFonts w:hint="default" w:ascii="Times New Roman" w:hAnsi="Times New Roman" w:eastAsia="宋体" w:cs="Times New Roman"/>
          <w:caps w:val="0"/>
          <w:smallCaps w:val="0"/>
          <w:color w:val="auto"/>
          <w:spacing w:val="0"/>
          <w:w w:val="100"/>
          <w:sz w:val="28"/>
          <w:szCs w:val="28"/>
          <w:highlight w:val="none"/>
        </w:rPr>
      </w:pPr>
      <w:r>
        <w:rPr>
          <w:rFonts w:hint="default" w:ascii="Times New Roman" w:hAnsi="Times New Roman" w:eastAsia="宋体" w:cs="Times New Roman"/>
          <w:caps w:val="0"/>
          <w:smallCaps w:val="0"/>
          <w:color w:val="auto"/>
          <w:spacing w:val="0"/>
          <w:w w:val="100"/>
          <w:sz w:val="28"/>
          <w:szCs w:val="28"/>
          <w:highlight w:val="none"/>
        </w:rPr>
        <w:t>3）危险废物运输措施</w:t>
      </w:r>
    </w:p>
    <w:p>
      <w:pPr>
        <w:pageBreakBefore w:val="0"/>
        <w:bidi w:val="0"/>
        <w:spacing w:line="360" w:lineRule="auto"/>
        <w:ind w:firstLine="560"/>
        <w:rPr>
          <w:rFonts w:hint="default" w:ascii="Times New Roman" w:hAnsi="Times New Roman" w:eastAsia="宋体" w:cs="Times New Roman"/>
          <w:caps w:val="0"/>
          <w:smallCaps w:val="0"/>
          <w:color w:val="auto"/>
          <w:spacing w:val="0"/>
          <w:w w:val="100"/>
          <w:sz w:val="28"/>
          <w:szCs w:val="28"/>
          <w:highlight w:val="none"/>
          <w:lang w:val="en-US"/>
        </w:rPr>
      </w:pPr>
      <w:r>
        <w:rPr>
          <w:rFonts w:hint="default" w:ascii="Times New Roman" w:hAnsi="Times New Roman" w:eastAsia="宋体" w:cs="Times New Roman"/>
          <w:caps w:val="0"/>
          <w:smallCaps w:val="0"/>
          <w:color w:val="auto"/>
          <w:spacing w:val="0"/>
          <w:w w:val="100"/>
          <w:sz w:val="28"/>
          <w:szCs w:val="28"/>
          <w:highlight w:val="none"/>
        </w:rPr>
        <w:t>①运输转移危险废物的，按照《</w:t>
      </w:r>
      <w:r>
        <w:rPr>
          <w:rFonts w:hint="default" w:ascii="Times New Roman" w:hAnsi="Times New Roman" w:eastAsia="宋体" w:cs="Times New Roman"/>
          <w:color w:val="auto"/>
          <w:kern w:val="0"/>
          <w:sz w:val="28"/>
          <w:szCs w:val="28"/>
          <w:highlight w:val="none"/>
          <w:lang w:val="en-US" w:eastAsia="zh-CN" w:bidi="ar"/>
        </w:rPr>
        <w:t>《危险废物收集贮存运输技术规范》（HJ2025-2012）及《危险废物转移管理办法》（部令第23号）</w:t>
      </w:r>
      <w:r>
        <w:rPr>
          <w:rFonts w:hint="eastAsia" w:ascii="宋体" w:hAnsi="宋体" w:eastAsia="宋体" w:cs="宋体"/>
          <w:color w:val="auto"/>
          <w:kern w:val="0"/>
          <w:sz w:val="28"/>
          <w:szCs w:val="28"/>
          <w:highlight w:val="none"/>
          <w:lang w:val="en-US" w:eastAsia="zh-CN" w:bidi="ar"/>
        </w:rPr>
        <w:t>执行危险废物转移联单制度。</w:t>
      </w:r>
    </w:p>
    <w:p>
      <w:pPr>
        <w:pageBreakBefore w:val="0"/>
        <w:bidi w:val="0"/>
        <w:spacing w:line="360" w:lineRule="auto"/>
        <w:ind w:firstLine="560"/>
        <w:rPr>
          <w:rFonts w:hint="eastAsia" w:ascii="Times New Roman" w:hAnsi="Times New Roman" w:eastAsia="宋体" w:cs="Times New Roman"/>
          <w:caps w:val="0"/>
          <w:smallCaps w:val="0"/>
          <w:color w:val="auto"/>
          <w:spacing w:val="0"/>
          <w:w w:val="100"/>
          <w:sz w:val="28"/>
          <w:szCs w:val="28"/>
          <w:highlight w:val="none"/>
          <w:lang w:eastAsia="zh-CN"/>
        </w:rPr>
      </w:pPr>
      <w:r>
        <w:rPr>
          <w:rFonts w:hint="default" w:ascii="Times New Roman" w:hAnsi="Times New Roman" w:eastAsia="宋体" w:cs="Times New Roman"/>
          <w:caps w:val="0"/>
          <w:smallCaps w:val="0"/>
          <w:color w:val="auto"/>
          <w:spacing w:val="0"/>
          <w:w w:val="100"/>
          <w:sz w:val="28"/>
          <w:szCs w:val="28"/>
          <w:highlight w:val="none"/>
        </w:rPr>
        <w:t>②联单转移</w:t>
      </w:r>
      <w:r>
        <w:rPr>
          <w:rFonts w:hint="eastAsia" w:ascii="Times New Roman" w:hAnsi="Times New Roman" w:eastAsia="宋体" w:cs="Times New Roman"/>
          <w:caps w:val="0"/>
          <w:smallCaps w:val="0"/>
          <w:color w:val="auto"/>
          <w:spacing w:val="0"/>
          <w:w w:val="100"/>
          <w:sz w:val="28"/>
          <w:szCs w:val="28"/>
          <w:highlight w:val="none"/>
          <w:lang w:val="en-US" w:eastAsia="zh-CN"/>
        </w:rPr>
        <w:t>的格式及内容需按照生态环境部规定填写，联单</w:t>
      </w:r>
      <w:r>
        <w:rPr>
          <w:rFonts w:hint="default" w:ascii="Times New Roman" w:hAnsi="Times New Roman" w:eastAsia="宋体" w:cs="Times New Roman"/>
          <w:caps w:val="0"/>
          <w:smallCaps w:val="0"/>
          <w:color w:val="auto"/>
          <w:spacing w:val="0"/>
          <w:w w:val="100"/>
          <w:sz w:val="28"/>
          <w:szCs w:val="28"/>
          <w:highlight w:val="none"/>
        </w:rPr>
        <w:t>总数量应与企业申报登记数量、台账记录转移数量基本一致</w:t>
      </w:r>
      <w:r>
        <w:rPr>
          <w:rFonts w:hint="eastAsia" w:ascii="Times New Roman" w:hAnsi="Times New Roman" w:eastAsia="宋体" w:cs="Times New Roman"/>
          <w:caps w:val="0"/>
          <w:smallCaps w:val="0"/>
          <w:color w:val="auto"/>
          <w:spacing w:val="0"/>
          <w:w w:val="100"/>
          <w:sz w:val="28"/>
          <w:szCs w:val="28"/>
          <w:highlight w:val="none"/>
          <w:lang w:eastAsia="zh-CN"/>
        </w:rPr>
        <w:t>。</w:t>
      </w:r>
    </w:p>
    <w:p>
      <w:pPr>
        <w:pageBreakBefore w:val="0"/>
        <w:bidi w:val="0"/>
        <w:spacing w:line="360" w:lineRule="auto"/>
        <w:ind w:firstLine="560"/>
        <w:rPr>
          <w:rFonts w:hint="default" w:ascii="Times New Roman" w:hAnsi="Times New Roman" w:eastAsia="宋体" w:cs="Times New Roman"/>
          <w:caps w:val="0"/>
          <w:smallCaps w:val="0"/>
          <w:color w:val="auto"/>
          <w:spacing w:val="0"/>
          <w:w w:val="100"/>
          <w:sz w:val="28"/>
          <w:szCs w:val="28"/>
          <w:highlight w:val="none"/>
        </w:rPr>
      </w:pPr>
      <w:r>
        <w:rPr>
          <w:rFonts w:hint="default" w:ascii="Times New Roman" w:hAnsi="Times New Roman" w:eastAsia="宋体" w:cs="Times New Roman"/>
          <w:caps w:val="0"/>
          <w:smallCaps w:val="0"/>
          <w:color w:val="auto"/>
          <w:spacing w:val="0"/>
          <w:w w:val="100"/>
          <w:sz w:val="28"/>
          <w:szCs w:val="28"/>
          <w:highlight w:val="none"/>
        </w:rPr>
        <w:t>③担任储运人员须经过上岗培训，经定期考核通过后方能持证上岗，工作人员应熟悉事故应急设备的使用和维护，了解应急手册应急处理流程，一旦发生意外，在采取应急处理的同时，迅速报告公安、交通部门和环保等有关部门，必要时疏散群众，防止事态进一步步扩大和恶化。</w:t>
      </w:r>
    </w:p>
    <w:p>
      <w:pPr>
        <w:pageBreakBefore w:val="0"/>
        <w:bidi w:val="0"/>
        <w:spacing w:line="360" w:lineRule="auto"/>
        <w:ind w:firstLine="560"/>
        <w:rPr>
          <w:rFonts w:hint="eastAsia" w:ascii="Times New Roman" w:hAnsi="Times New Roman" w:eastAsia="宋体" w:cs="Times New Roman"/>
          <w:caps w:val="0"/>
          <w:smallCaps w:val="0"/>
          <w:color w:val="auto"/>
          <w:spacing w:val="0"/>
          <w:w w:val="100"/>
          <w:sz w:val="28"/>
          <w:szCs w:val="28"/>
          <w:highlight w:val="none"/>
          <w:lang w:eastAsia="zh-CN"/>
        </w:rPr>
      </w:pPr>
      <w:r>
        <w:rPr>
          <w:rFonts w:hint="default" w:ascii="Times New Roman" w:hAnsi="Times New Roman" w:eastAsia="宋体" w:cs="Times New Roman"/>
          <w:caps w:val="0"/>
          <w:smallCaps w:val="0"/>
          <w:color w:val="auto"/>
          <w:spacing w:val="0"/>
          <w:w w:val="100"/>
          <w:sz w:val="28"/>
          <w:szCs w:val="28"/>
          <w:highlight w:val="none"/>
        </w:rPr>
        <w:t>④企业对运输信息进行审核，包括运输单位、运输车辆、驾驶员及押运员应具有相关的运输资质，以及运输过程中的应急预案及应急物质的准备</w:t>
      </w:r>
      <w:r>
        <w:rPr>
          <w:rFonts w:hint="eastAsia" w:ascii="Times New Roman" w:hAnsi="Times New Roman" w:eastAsia="宋体" w:cs="Times New Roman"/>
          <w:caps w:val="0"/>
          <w:smallCaps w:val="0"/>
          <w:color w:val="auto"/>
          <w:spacing w:val="0"/>
          <w:w w:val="100"/>
          <w:sz w:val="28"/>
          <w:szCs w:val="28"/>
          <w:highlight w:val="none"/>
          <w:lang w:eastAsia="zh-CN"/>
        </w:rPr>
        <w:t>。</w:t>
      </w:r>
    </w:p>
    <w:p>
      <w:pPr>
        <w:pageBreakBefore w:val="0"/>
        <w:bidi w:val="0"/>
        <w:spacing w:line="360" w:lineRule="auto"/>
        <w:ind w:firstLine="560"/>
        <w:rPr>
          <w:rFonts w:hint="default" w:ascii="Times New Roman" w:hAnsi="Times New Roman" w:eastAsia="宋体" w:cs="Times New Roman"/>
          <w:caps w:val="0"/>
          <w:smallCaps w:val="0"/>
          <w:color w:val="auto"/>
          <w:spacing w:val="0"/>
          <w:w w:val="100"/>
          <w:sz w:val="28"/>
          <w:szCs w:val="28"/>
          <w:highlight w:val="none"/>
        </w:rPr>
      </w:pPr>
      <w:r>
        <w:rPr>
          <w:rFonts w:hint="default" w:ascii="Times New Roman" w:hAnsi="Times New Roman" w:eastAsia="宋体" w:cs="Times New Roman"/>
          <w:caps w:val="0"/>
          <w:smallCaps w:val="0"/>
          <w:color w:val="auto"/>
          <w:spacing w:val="0"/>
          <w:w w:val="100"/>
          <w:sz w:val="28"/>
          <w:szCs w:val="28"/>
          <w:highlight w:val="none"/>
        </w:rPr>
        <w:t>⑤</w:t>
      </w:r>
      <w:r>
        <w:rPr>
          <w:rFonts w:hint="eastAsia" w:ascii="宋体" w:hAnsi="宋体" w:eastAsia="宋体" w:cs="宋体"/>
          <w:color w:val="auto"/>
          <w:kern w:val="0"/>
          <w:sz w:val="28"/>
          <w:szCs w:val="28"/>
          <w:highlight w:val="none"/>
          <w:lang w:val="en-US" w:eastAsia="zh-CN" w:bidi="ar"/>
        </w:rPr>
        <w:t>运输的车辆必须是专用车或经有关部门批准使用符合安全规定的运载工具，并符合相关要求；制定运输车辆备案制度，制定安全、可行及便捷的输送路线；运输车辆及设备进行定期的维护和检查，防患于未然，保持运输车辆良好的工作状态，保证接地正常。</w:t>
      </w:r>
    </w:p>
    <w:p>
      <w:pPr>
        <w:pageBreakBefore w:val="0"/>
        <w:bidi w:val="0"/>
        <w:spacing w:line="360" w:lineRule="auto"/>
        <w:ind w:firstLine="560"/>
        <w:rPr>
          <w:rFonts w:hint="default" w:ascii="Times New Roman" w:hAnsi="Times New Roman" w:eastAsia="宋体" w:cs="Times New Roman"/>
          <w:caps w:val="0"/>
          <w:smallCaps w:val="0"/>
          <w:color w:val="auto"/>
          <w:spacing w:val="0"/>
          <w:w w:val="100"/>
          <w:sz w:val="28"/>
          <w:szCs w:val="28"/>
          <w:highlight w:val="none"/>
        </w:rPr>
      </w:pPr>
      <w:r>
        <w:rPr>
          <w:rFonts w:hint="default" w:ascii="Times New Roman" w:hAnsi="Times New Roman" w:eastAsia="宋体" w:cs="Times New Roman"/>
          <w:caps w:val="0"/>
          <w:smallCaps w:val="0"/>
          <w:color w:val="auto"/>
          <w:spacing w:val="0"/>
          <w:w w:val="100"/>
          <w:sz w:val="28"/>
          <w:szCs w:val="28"/>
          <w:highlight w:val="none"/>
        </w:rPr>
        <w:t>⑥</w:t>
      </w:r>
      <w:r>
        <w:rPr>
          <w:rFonts w:hint="eastAsia" w:ascii="宋体" w:hAnsi="宋体" w:eastAsia="宋体" w:cs="宋体"/>
          <w:color w:val="auto"/>
          <w:kern w:val="0"/>
          <w:sz w:val="28"/>
          <w:szCs w:val="28"/>
          <w:highlight w:val="none"/>
          <w:lang w:val="en-US" w:eastAsia="zh-CN" w:bidi="ar"/>
        </w:rPr>
        <w:t>运输、储存原料、溶剂、产品危险化学品所用的槽车、容器、设备必须符合《压力容器安全技术监察规程》的安全管理规定，企业对压力容器管理执行国家有关压力容器的规定。</w:t>
      </w:r>
    </w:p>
    <w:p>
      <w:pPr>
        <w:pageBreakBefore w:val="0"/>
        <w:bidi w:val="0"/>
        <w:spacing w:line="360" w:lineRule="auto"/>
        <w:ind w:firstLine="560"/>
        <w:rPr>
          <w:rFonts w:hint="eastAsia" w:ascii="Times New Roman" w:hAnsi="Times New Roman" w:eastAsia="宋体" w:cs="Times New Roman"/>
          <w:caps w:val="0"/>
          <w:smallCaps w:val="0"/>
          <w:color w:val="auto"/>
          <w:spacing w:val="0"/>
          <w:w w:val="100"/>
          <w:sz w:val="28"/>
          <w:szCs w:val="28"/>
          <w:highlight w:val="none"/>
          <w:lang w:eastAsia="zh-CN"/>
        </w:rPr>
      </w:pPr>
      <w:r>
        <w:rPr>
          <w:rFonts w:hint="default" w:ascii="Times New Roman" w:hAnsi="Times New Roman" w:eastAsia="宋体" w:cs="Times New Roman"/>
          <w:caps w:val="0"/>
          <w:smallCaps w:val="0"/>
          <w:color w:val="auto"/>
          <w:spacing w:val="0"/>
          <w:w w:val="100"/>
          <w:sz w:val="28"/>
          <w:szCs w:val="28"/>
          <w:highlight w:val="none"/>
        </w:rPr>
        <w:t>⑦危险废物转运要有明确的交接记录，包括转运的数量、时间、转运车牌号、驾驶员联系方式等</w:t>
      </w:r>
      <w:r>
        <w:rPr>
          <w:rFonts w:hint="eastAsia" w:ascii="Times New Roman" w:hAnsi="Times New Roman" w:eastAsia="宋体" w:cs="Times New Roman"/>
          <w:caps w:val="0"/>
          <w:smallCaps w:val="0"/>
          <w:color w:val="auto"/>
          <w:spacing w:val="0"/>
          <w:w w:val="100"/>
          <w:sz w:val="28"/>
          <w:szCs w:val="28"/>
          <w:highlight w:val="none"/>
          <w:lang w:eastAsia="zh-CN"/>
        </w:rPr>
        <w:t>。</w:t>
      </w:r>
    </w:p>
    <w:p>
      <w:pPr>
        <w:pageBreakBefore w:val="0"/>
        <w:bidi w:val="0"/>
        <w:spacing w:line="360" w:lineRule="auto"/>
        <w:ind w:firstLine="560"/>
        <w:rPr>
          <w:rFonts w:hint="default" w:ascii="Times New Roman" w:hAnsi="Times New Roman" w:eastAsia="宋体" w:cs="Times New Roman"/>
          <w:caps w:val="0"/>
          <w:smallCaps w:val="0"/>
          <w:color w:val="auto"/>
          <w:spacing w:val="0"/>
          <w:w w:val="100"/>
          <w:sz w:val="28"/>
          <w:szCs w:val="28"/>
          <w:highlight w:val="none"/>
        </w:rPr>
      </w:pPr>
      <w:r>
        <w:rPr>
          <w:rFonts w:hint="default" w:ascii="Times New Roman" w:hAnsi="Times New Roman" w:eastAsia="宋体" w:cs="Times New Roman"/>
          <w:caps w:val="0"/>
          <w:smallCaps w:val="0"/>
          <w:color w:val="auto"/>
          <w:spacing w:val="0"/>
          <w:w w:val="100"/>
          <w:sz w:val="28"/>
          <w:szCs w:val="28"/>
          <w:highlight w:val="none"/>
        </w:rPr>
        <w:t>⑧危险废物转运必须具有完善的应急预案，包括预防有处理</w:t>
      </w:r>
      <w:r>
        <w:rPr>
          <w:rFonts w:hint="default" w:ascii="Times New Roman" w:hAnsi="Times New Roman" w:eastAsia="宋体" w:cs="Times New Roman"/>
          <w:caps w:val="0"/>
          <w:smallCaps w:val="0"/>
          <w:color w:val="auto"/>
          <w:spacing w:val="0"/>
          <w:w w:val="100"/>
          <w:sz w:val="28"/>
          <w:szCs w:val="28"/>
          <w:highlight w:val="none"/>
          <w:lang w:eastAsia="zh-CN"/>
        </w:rPr>
        <w:t>泄漏</w:t>
      </w:r>
      <w:r>
        <w:rPr>
          <w:rFonts w:hint="default" w:ascii="Times New Roman" w:hAnsi="Times New Roman" w:eastAsia="宋体" w:cs="Times New Roman"/>
          <w:caps w:val="0"/>
          <w:smallCaps w:val="0"/>
          <w:color w:val="auto"/>
          <w:spacing w:val="0"/>
          <w:w w:val="100"/>
          <w:sz w:val="28"/>
          <w:szCs w:val="28"/>
          <w:highlight w:val="none"/>
        </w:rPr>
        <w:t>、交通事故等突发情况。</w:t>
      </w:r>
    </w:p>
    <w:p>
      <w:pPr>
        <w:pageBreakBefore w:val="0"/>
        <w:bidi w:val="0"/>
        <w:spacing w:line="360" w:lineRule="auto"/>
        <w:ind w:firstLine="280" w:firstLineChars="100"/>
        <w:rPr>
          <w:rFonts w:hint="default" w:ascii="Times New Roman" w:hAnsi="Times New Roman" w:eastAsia="宋体" w:cs="Times New Roman"/>
          <w:caps w:val="0"/>
          <w:smallCaps w:val="0"/>
          <w:color w:val="auto"/>
          <w:spacing w:val="0"/>
          <w:w w:val="100"/>
          <w:sz w:val="28"/>
          <w:szCs w:val="28"/>
          <w:highlight w:val="none"/>
        </w:rPr>
      </w:pPr>
      <w:r>
        <w:rPr>
          <w:rFonts w:hint="default" w:ascii="Times New Roman" w:hAnsi="Times New Roman" w:eastAsia="宋体" w:cs="Times New Roman"/>
          <w:caps w:val="0"/>
          <w:smallCaps w:val="0"/>
          <w:color w:val="auto"/>
          <w:spacing w:val="0"/>
          <w:w w:val="100"/>
          <w:sz w:val="28"/>
          <w:szCs w:val="28"/>
          <w:highlight w:val="none"/>
        </w:rPr>
        <w:t>4）危险废物处置措施</w:t>
      </w:r>
    </w:p>
    <w:p>
      <w:pPr>
        <w:pageBreakBefore w:val="0"/>
        <w:bidi w:val="0"/>
        <w:spacing w:line="360" w:lineRule="auto"/>
        <w:ind w:firstLine="560"/>
        <w:rPr>
          <w:rFonts w:hint="default" w:ascii="Times New Roman" w:hAnsi="Times New Roman" w:eastAsia="宋体" w:cs="Times New Roman"/>
          <w:caps w:val="0"/>
          <w:smallCaps w:val="0"/>
          <w:color w:val="auto"/>
          <w:spacing w:val="0"/>
          <w:w w:val="100"/>
          <w:sz w:val="28"/>
          <w:szCs w:val="28"/>
          <w:highlight w:val="none"/>
        </w:rPr>
      </w:pPr>
      <w:r>
        <w:rPr>
          <w:rFonts w:hint="default" w:ascii="Times New Roman" w:hAnsi="Times New Roman" w:eastAsia="宋体" w:cs="Times New Roman"/>
          <w:caps w:val="0"/>
          <w:smallCaps w:val="0"/>
          <w:color w:val="auto"/>
          <w:spacing w:val="0"/>
          <w:w w:val="100"/>
          <w:sz w:val="28"/>
          <w:szCs w:val="28"/>
          <w:highlight w:val="none"/>
        </w:rPr>
        <w:t>本</w:t>
      </w:r>
      <w:r>
        <w:rPr>
          <w:rFonts w:hint="eastAsia" w:ascii="Times New Roman" w:hAnsi="Times New Roman" w:eastAsia="宋体" w:cs="Times New Roman"/>
          <w:caps w:val="0"/>
          <w:smallCaps w:val="0"/>
          <w:color w:val="auto"/>
          <w:spacing w:val="0"/>
          <w:w w:val="100"/>
          <w:sz w:val="28"/>
          <w:szCs w:val="28"/>
          <w:highlight w:val="none"/>
          <w:lang w:val="en-US" w:eastAsia="zh-CN"/>
        </w:rPr>
        <w:t>项目</w:t>
      </w:r>
      <w:r>
        <w:rPr>
          <w:rFonts w:hint="default" w:ascii="Times New Roman" w:hAnsi="Times New Roman" w:eastAsia="宋体" w:cs="Times New Roman"/>
          <w:caps w:val="0"/>
          <w:smallCaps w:val="0"/>
          <w:color w:val="auto"/>
          <w:spacing w:val="0"/>
          <w:w w:val="100"/>
          <w:sz w:val="28"/>
          <w:szCs w:val="28"/>
          <w:highlight w:val="none"/>
        </w:rPr>
        <w:t>产生的危险废物均委托有资质单位处理，不自行处置。若危险废物运输过程发生意外事故，运输单位及相关部门应根据风险程度采取如下措施：</w:t>
      </w:r>
    </w:p>
    <w:p>
      <w:pPr>
        <w:pageBreakBefore w:val="0"/>
        <w:bidi w:val="0"/>
        <w:spacing w:line="360" w:lineRule="auto"/>
        <w:ind w:firstLine="560"/>
        <w:rPr>
          <w:rFonts w:hint="eastAsia" w:ascii="Times New Roman" w:hAnsi="Times New Roman" w:eastAsia="宋体" w:cs="Times New Roman"/>
          <w:caps w:val="0"/>
          <w:smallCaps w:val="0"/>
          <w:color w:val="auto"/>
          <w:spacing w:val="0"/>
          <w:w w:val="100"/>
          <w:sz w:val="28"/>
          <w:szCs w:val="28"/>
          <w:highlight w:val="none"/>
          <w:lang w:eastAsia="zh-CN"/>
        </w:rPr>
      </w:pPr>
      <w:r>
        <w:rPr>
          <w:rFonts w:hint="default" w:ascii="Times New Roman" w:hAnsi="Times New Roman" w:eastAsia="宋体" w:cs="Times New Roman"/>
          <w:caps w:val="0"/>
          <w:smallCaps w:val="0"/>
          <w:color w:val="auto"/>
          <w:spacing w:val="0"/>
          <w:w w:val="100"/>
          <w:sz w:val="28"/>
          <w:szCs w:val="28"/>
          <w:highlight w:val="none"/>
        </w:rPr>
        <w:t>①设立事故警戒线，启动应急预案，并及时向环境保护主管部门报告</w:t>
      </w:r>
      <w:r>
        <w:rPr>
          <w:rFonts w:hint="eastAsia" w:ascii="Times New Roman" w:hAnsi="Times New Roman" w:eastAsia="宋体" w:cs="Times New Roman"/>
          <w:caps w:val="0"/>
          <w:smallCaps w:val="0"/>
          <w:color w:val="auto"/>
          <w:spacing w:val="0"/>
          <w:w w:val="100"/>
          <w:sz w:val="28"/>
          <w:szCs w:val="28"/>
          <w:highlight w:val="none"/>
          <w:lang w:eastAsia="zh-CN"/>
        </w:rPr>
        <w:t>。</w:t>
      </w:r>
    </w:p>
    <w:p>
      <w:pPr>
        <w:pageBreakBefore w:val="0"/>
        <w:bidi w:val="0"/>
        <w:spacing w:line="360" w:lineRule="auto"/>
        <w:ind w:firstLine="560"/>
        <w:rPr>
          <w:rFonts w:hint="default" w:ascii="Times New Roman" w:hAnsi="Times New Roman" w:eastAsia="宋体" w:cs="Times New Roman"/>
          <w:caps w:val="0"/>
          <w:smallCaps w:val="0"/>
          <w:color w:val="auto"/>
          <w:spacing w:val="0"/>
          <w:w w:val="100"/>
          <w:sz w:val="28"/>
          <w:szCs w:val="28"/>
          <w:highlight w:val="none"/>
        </w:rPr>
      </w:pPr>
      <w:r>
        <w:rPr>
          <w:rFonts w:hint="default" w:ascii="Times New Roman" w:hAnsi="Times New Roman" w:eastAsia="宋体" w:cs="Times New Roman"/>
          <w:caps w:val="0"/>
          <w:smallCaps w:val="0"/>
          <w:color w:val="auto"/>
          <w:spacing w:val="0"/>
          <w:w w:val="100"/>
          <w:sz w:val="28"/>
          <w:szCs w:val="28"/>
          <w:highlight w:val="none"/>
        </w:rPr>
        <w:t>②应立即疏散人群，并请求环境保护、消防、医疗、公安等相关部门支援</w:t>
      </w:r>
      <w:r>
        <w:rPr>
          <w:rFonts w:hint="eastAsia" w:ascii="Times New Roman" w:hAnsi="Times New Roman" w:eastAsia="宋体" w:cs="Times New Roman"/>
          <w:caps w:val="0"/>
          <w:smallCaps w:val="0"/>
          <w:color w:val="auto"/>
          <w:spacing w:val="0"/>
          <w:w w:val="100"/>
          <w:sz w:val="28"/>
          <w:szCs w:val="28"/>
          <w:highlight w:val="none"/>
          <w:lang w:eastAsia="zh-CN"/>
        </w:rPr>
        <w:t>。</w:t>
      </w:r>
    </w:p>
    <w:p>
      <w:pPr>
        <w:keepNext w:val="0"/>
        <w:keepLines w:val="0"/>
        <w:pageBreakBefore w:val="0"/>
        <w:widowControl w:val="0"/>
        <w:kinsoku/>
        <w:wordWrap/>
        <w:overflowPunct/>
        <w:topLinePunct w:val="0"/>
        <w:bidi w:val="0"/>
        <w:snapToGrid/>
        <w:spacing w:line="360" w:lineRule="auto"/>
        <w:ind w:firstLine="560"/>
        <w:rPr>
          <w:rFonts w:hint="default" w:ascii="Times New Roman" w:hAnsi="Times New Roman" w:eastAsia="宋体" w:cs="Times New Roman"/>
          <w:caps w:val="0"/>
          <w:smallCaps w:val="0"/>
          <w:color w:val="auto"/>
          <w:spacing w:val="0"/>
          <w:w w:val="100"/>
          <w:sz w:val="28"/>
          <w:szCs w:val="28"/>
          <w:highlight w:val="none"/>
        </w:rPr>
      </w:pPr>
      <w:r>
        <w:rPr>
          <w:rFonts w:hint="default" w:ascii="Times New Roman" w:hAnsi="Times New Roman" w:eastAsia="宋体" w:cs="Times New Roman"/>
          <w:caps w:val="0"/>
          <w:smallCaps w:val="0"/>
          <w:color w:val="auto"/>
          <w:spacing w:val="0"/>
          <w:w w:val="100"/>
          <w:sz w:val="28"/>
          <w:szCs w:val="28"/>
          <w:highlight w:val="none"/>
        </w:rPr>
        <w:t>③对事故现场受到污染的土壤和水体等环境介质应进行相的清理和修复</w:t>
      </w:r>
      <w:r>
        <w:rPr>
          <w:rFonts w:hint="eastAsia" w:ascii="Times New Roman" w:hAnsi="Times New Roman" w:eastAsia="宋体" w:cs="Times New Roman"/>
          <w:caps w:val="0"/>
          <w:smallCaps w:val="0"/>
          <w:color w:val="auto"/>
          <w:spacing w:val="0"/>
          <w:w w:val="100"/>
          <w:sz w:val="28"/>
          <w:szCs w:val="28"/>
          <w:highlight w:val="none"/>
          <w:lang w:eastAsia="zh-CN"/>
        </w:rPr>
        <w:t>。</w:t>
      </w:r>
    </w:p>
    <w:p>
      <w:pPr>
        <w:keepNext w:val="0"/>
        <w:keepLines w:val="0"/>
        <w:pageBreakBefore w:val="0"/>
        <w:widowControl w:val="0"/>
        <w:kinsoku/>
        <w:wordWrap/>
        <w:overflowPunct/>
        <w:topLinePunct w:val="0"/>
        <w:bidi w:val="0"/>
        <w:snapToGrid/>
        <w:spacing w:line="360" w:lineRule="auto"/>
        <w:ind w:left="279" w:leftChars="133" w:firstLine="464" w:firstLineChars="166"/>
        <w:rPr>
          <w:rFonts w:hint="eastAsia" w:ascii="Times New Roman" w:hAnsi="Times New Roman" w:eastAsia="宋体" w:cs="Times New Roman"/>
          <w:caps w:val="0"/>
          <w:smallCaps w:val="0"/>
          <w:color w:val="auto"/>
          <w:spacing w:val="0"/>
          <w:w w:val="100"/>
          <w:sz w:val="28"/>
          <w:szCs w:val="28"/>
          <w:highlight w:val="none"/>
          <w:lang w:eastAsia="zh-CN"/>
        </w:rPr>
      </w:pPr>
      <w:r>
        <w:rPr>
          <w:rFonts w:hint="default" w:ascii="Times New Roman" w:hAnsi="Times New Roman" w:eastAsia="宋体" w:cs="Times New Roman"/>
          <w:caps w:val="0"/>
          <w:smallCaps w:val="0"/>
          <w:color w:val="auto"/>
          <w:spacing w:val="0"/>
          <w:w w:val="100"/>
          <w:sz w:val="28"/>
          <w:szCs w:val="28"/>
          <w:highlight w:val="none"/>
        </w:rPr>
        <w:t>④清理过程中产生的所有废物均应按危险废物进行管理和处置</w:t>
      </w:r>
      <w:r>
        <w:rPr>
          <w:rFonts w:hint="eastAsia" w:ascii="Times New Roman" w:hAnsi="Times New Roman" w:eastAsia="宋体" w:cs="Times New Roman"/>
          <w:caps w:val="0"/>
          <w:smallCaps w:val="0"/>
          <w:color w:val="auto"/>
          <w:spacing w:val="0"/>
          <w:w w:val="100"/>
          <w:sz w:val="28"/>
          <w:szCs w:val="28"/>
          <w:highlight w:val="none"/>
          <w:lang w:eastAsia="zh-CN"/>
        </w:rPr>
        <w:t>。</w:t>
      </w:r>
    </w:p>
    <w:p>
      <w:pPr>
        <w:keepNext w:val="0"/>
        <w:keepLines w:val="0"/>
        <w:pageBreakBefore w:val="0"/>
        <w:widowControl w:val="0"/>
        <w:kinsoku/>
        <w:wordWrap/>
        <w:overflowPunct/>
        <w:topLinePunct w:val="0"/>
        <w:bidi w:val="0"/>
        <w:snapToGrid/>
        <w:spacing w:line="360" w:lineRule="auto"/>
        <w:ind w:left="279" w:leftChars="133" w:firstLine="464" w:firstLineChars="166"/>
        <w:rPr>
          <w:rFonts w:hint="default" w:ascii="Times New Roman" w:hAnsi="Times New Roman" w:eastAsia="宋体" w:cs="Times New Roman"/>
          <w:caps w:val="0"/>
          <w:smallCaps w:val="0"/>
          <w:color w:val="auto"/>
          <w:spacing w:val="0"/>
          <w:w w:val="100"/>
          <w:sz w:val="28"/>
          <w:szCs w:val="28"/>
          <w:highlight w:val="none"/>
        </w:rPr>
      </w:pPr>
      <w:r>
        <w:rPr>
          <w:rFonts w:hint="default" w:ascii="Times New Roman" w:hAnsi="Times New Roman" w:eastAsia="宋体" w:cs="Times New Roman"/>
          <w:caps w:val="0"/>
          <w:smallCaps w:val="0"/>
          <w:color w:val="auto"/>
          <w:spacing w:val="0"/>
          <w:w w:val="100"/>
          <w:sz w:val="28"/>
          <w:szCs w:val="28"/>
          <w:highlight w:val="none"/>
        </w:rPr>
        <w:t>⑤进入现场清理和包装危险废物的人员应受过专业培训，穿防护服，并佩戴相应的防护工具。</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本项目产生的固体废弃物按照相关处置要求进行，处置方式可行，对周围环境和人体健康不会造成危险，对周围环境的影响可接受。</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6.1.6</w:t>
      </w:r>
      <w:r>
        <w:rPr>
          <w:rFonts w:hint="eastAsia" w:ascii="宋体" w:hAnsi="宋体" w:eastAsia="宋体" w:cs="宋体"/>
          <w:color w:val="auto"/>
          <w:kern w:val="0"/>
          <w:sz w:val="28"/>
          <w:szCs w:val="28"/>
          <w:highlight w:val="none"/>
          <w:lang w:val="en-US" w:eastAsia="zh-CN" w:bidi="ar"/>
        </w:rPr>
        <w:t>生态环境保护措施</w:t>
      </w:r>
    </w:p>
    <w:p>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施工期生态环境保护措施</w:t>
      </w:r>
    </w:p>
    <w:p>
      <w:pPr>
        <w:keepNext w:val="0"/>
        <w:keepLines w:val="0"/>
        <w:widowControl/>
        <w:suppressLineNumbers w:val="0"/>
        <w:ind w:firstLine="560" w:firstLineChars="20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本项目影响生态环境的因素主要是在钻井施工期间，在此期间会对井场所征用土地的植被进行清除，改变土地利用现状，为减轻工程实施产生的生态影响，本次评价提出以下措施：</w:t>
      </w:r>
    </w:p>
    <w:p>
      <w:pPr>
        <w:keepNext w:val="0"/>
        <w:keepLines w:val="0"/>
        <w:widowControl/>
        <w:suppressLineNumbers w:val="0"/>
        <w:ind w:firstLine="840" w:firstLineChars="30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）钻井施工应编制施工预案，科学安排作业，最大限度减少钻机搬迁等对植被的碾压和破坏。</w:t>
      </w:r>
    </w:p>
    <w:p>
      <w:pPr>
        <w:keepNext w:val="0"/>
        <w:keepLines w:val="0"/>
        <w:widowControl/>
        <w:suppressLineNumbers w:val="0"/>
        <w:ind w:firstLine="840" w:firstLineChars="300"/>
        <w:jc w:val="left"/>
        <w:rPr>
          <w:rFonts w:hint="default" w:ascii="宋体" w:hAnsi="宋体" w:eastAsia="宋体" w:cs="宋体"/>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）充分利用现有道路，对临时道路占用的基本农田，实行等质量耕地的复垦，对损失的粮食进行经济补偿。</w:t>
      </w:r>
    </w:p>
    <w:p>
      <w:pPr>
        <w:keepNext w:val="0"/>
        <w:keepLines w:val="0"/>
        <w:widowControl/>
        <w:suppressLineNumbers w:val="0"/>
        <w:ind w:firstLine="840" w:firstLineChars="30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3</w:t>
      </w:r>
      <w:r>
        <w:rPr>
          <w:rFonts w:hint="eastAsia" w:ascii="宋体" w:hAnsi="宋体" w:eastAsia="宋体" w:cs="宋体"/>
          <w:color w:val="auto"/>
          <w:kern w:val="0"/>
          <w:sz w:val="28"/>
          <w:szCs w:val="28"/>
          <w:highlight w:val="none"/>
          <w:lang w:val="en-US" w:eastAsia="zh-CN" w:bidi="ar"/>
        </w:rPr>
        <w:t>）搬运钻井设备利用现有公路、小路，执行</w:t>
      </w:r>
      <w:r>
        <w:rPr>
          <w:rFonts w:hint="eastAsia" w:ascii="Times New Roman" w:hAnsi="Times New Roman" w:eastAsia="宋体" w:cs="Times New Roman"/>
          <w:color w:val="auto"/>
          <w:kern w:val="0"/>
          <w:sz w:val="28"/>
          <w:szCs w:val="28"/>
          <w:highlight w:val="none"/>
          <w:lang w:val="en-US" w:eastAsia="zh-CN" w:bidi="ar"/>
        </w:rPr>
        <w:t>“</w:t>
      </w:r>
      <w:r>
        <w:rPr>
          <w:rFonts w:hint="eastAsia" w:ascii="宋体" w:hAnsi="宋体" w:eastAsia="宋体" w:cs="宋体"/>
          <w:color w:val="auto"/>
          <w:kern w:val="0"/>
          <w:sz w:val="28"/>
          <w:szCs w:val="28"/>
          <w:highlight w:val="none"/>
          <w:lang w:val="en-US" w:eastAsia="zh-CN" w:bidi="ar"/>
        </w:rPr>
        <w:t>无捷径</w:t>
      </w:r>
      <w:r>
        <w:rPr>
          <w:rFonts w:hint="eastAsia" w:ascii="Times New Roman" w:hAnsi="Times New Roman" w:eastAsia="宋体" w:cs="Times New Roman"/>
          <w:color w:val="auto"/>
          <w:kern w:val="0"/>
          <w:sz w:val="28"/>
          <w:szCs w:val="28"/>
          <w:highlight w:val="none"/>
          <w:lang w:val="en-US" w:eastAsia="zh-CN" w:bidi="ar"/>
        </w:rPr>
        <w:t>”</w:t>
      </w:r>
      <w:r>
        <w:rPr>
          <w:rFonts w:hint="eastAsia" w:ascii="宋体" w:hAnsi="宋体" w:eastAsia="宋体" w:cs="宋体"/>
          <w:color w:val="auto"/>
          <w:kern w:val="0"/>
          <w:sz w:val="28"/>
          <w:szCs w:val="28"/>
          <w:highlight w:val="none"/>
          <w:lang w:val="en-US" w:eastAsia="zh-CN" w:bidi="ar"/>
        </w:rPr>
        <w:t>原则，认真确定车辆行驶路线，不在道路、井场以外的地方行驶和作业，禁止碾压和破坏地表植被</w:t>
      </w:r>
    </w:p>
    <w:p>
      <w:pPr>
        <w:keepNext w:val="0"/>
        <w:keepLines w:val="0"/>
        <w:widowControl/>
        <w:suppressLineNumbers w:val="0"/>
        <w:ind w:firstLine="840" w:firstLineChars="3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4）井场布置必须遵守《大庆油田开发建设用地标准》及《石油天然气工程项目用地控制指标》（国土资规【2016】14号）规定，严格控制施工作业面积，以减少地表植被破坏。</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）钻井施工过程中，应尽量减少占地面积，并规范行车路线及施工人员行为，严禁随意践踏、碾压施工区范围外的植被，不准乱挖、乱采植物。</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6）缩短临时占地时间，施工完毕后尽快对全部的临时占地进行平整翻松，以利于植被自然恢复，井场地表恢复原有地貌。</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7）恢复土地生产能力，提高土壤肥力。施工过程中表土剥离和利用严格执行《建设占用耕地耕作层土壤剥离利用技术规范》（DB23/T2913-2021）及《黑龙江省人民政府办公厅关于建设占用耕地耕作层土壤剥离利用工作的指导意见》，不打乱土层，先挖表土层（</w:t>
      </w:r>
      <w:r>
        <w:rPr>
          <w:rFonts w:hint="default" w:ascii="Times New Roman" w:hAnsi="Times New Roman" w:eastAsia="宋体" w:cs="Times New Roman"/>
          <w:color w:val="auto"/>
          <w:kern w:val="0"/>
          <w:sz w:val="28"/>
          <w:szCs w:val="28"/>
          <w:highlight w:val="none"/>
          <w:lang w:val="en-US" w:eastAsia="zh-CN" w:bidi="ar"/>
        </w:rPr>
        <w:t>20cm-30cm</w:t>
      </w:r>
      <w:r>
        <w:rPr>
          <w:rFonts w:hint="eastAsia" w:ascii="Times New Roman" w:hAnsi="Times New Roman" w:eastAsia="宋体" w:cs="Times New Roman"/>
          <w:color w:val="auto"/>
          <w:kern w:val="0"/>
          <w:sz w:val="28"/>
          <w:szCs w:val="28"/>
          <w:highlight w:val="none"/>
          <w:lang w:val="en-US" w:eastAsia="zh-CN" w:bidi="ar"/>
        </w:rPr>
        <w:t>左右）单独堆放，堆土表面设纱网或草栅覆盖；然后挖心、底土层另外堆放。复原时先填心、底土，后平覆表土，以便尽快使土地复耕。</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w:t>
      </w:r>
      <w:r>
        <w:rPr>
          <w:rFonts w:hint="eastAsia" w:ascii="Times New Roman" w:hAnsi="Times New Roman" w:eastAsia="宋体" w:cs="Times New Roman"/>
          <w:color w:val="auto"/>
          <w:kern w:val="0"/>
          <w:sz w:val="28"/>
          <w:szCs w:val="28"/>
          <w:highlight w:val="none"/>
          <w:lang w:val="en-US" w:eastAsia="zh-CN" w:bidi="ar"/>
        </w:rPr>
        <w:t>）及时落实生态补偿和恢复措施，对临时占用的耕地进行整平翻松，对永久占用的耕地按“占一补一”的原则及相关规定缴纳土地补偿费，专款用于耕地的恢复及补偿。</w:t>
      </w:r>
    </w:p>
    <w:p>
      <w:pPr>
        <w:keepNext w:val="0"/>
        <w:keepLines w:val="0"/>
        <w:widowControl/>
        <w:suppressLineNumbers w:val="0"/>
        <w:ind w:firstLine="560" w:firstLineChars="20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9</w:t>
      </w:r>
      <w:r>
        <w:rPr>
          <w:rFonts w:hint="eastAsia" w:ascii="宋体" w:hAnsi="宋体" w:eastAsia="宋体" w:cs="宋体"/>
          <w:color w:val="auto"/>
          <w:kern w:val="0"/>
          <w:sz w:val="28"/>
          <w:szCs w:val="28"/>
          <w:highlight w:val="none"/>
          <w:lang w:val="en-US" w:eastAsia="zh-CN" w:bidi="ar"/>
        </w:rPr>
        <w:t>）施工结束后施工营地进行搬迁，料场做到工完、料净、场地清。井场生活污水池进行清理填埋，按照先填心、底土，后平覆表土，柴油罐区的防渗材料拆除，撬装储罐拉运出场地，临时占用耕地等质等量复垦。</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10）本项目临时及永久占用的耕地（基本农田），按照相关规定缴纳耕地开垦费、恢复费和补偿费，专款用于开垦新的耕地；将所占耕地的耕作层土壤用于新开垦耕地、劣质地或其它耕地的土壤改良。</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11）施工结束后，优先恢复生态环境，建于建设单位采取封禁等生态保护措施，将临时占地内现有生态种类的生态量及生产力恢复至施工前原有水平，再进行气井产能地面建设工程，在生态恢复期间可进行生态监测。垫高井场土壤优先选购本乡优质土壤，防止外来物种入侵。</w:t>
      </w:r>
    </w:p>
    <w:p>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基本农田保护措施</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本项目总占地面积3.12</w:t>
      </w:r>
      <w:r>
        <w:rPr>
          <w:rFonts w:hint="default" w:ascii="Times New Roman" w:hAnsi="Times New Roman" w:eastAsia="宋体" w:cs="Times New Roman"/>
          <w:color w:val="auto"/>
          <w:kern w:val="0"/>
          <w:sz w:val="28"/>
          <w:szCs w:val="28"/>
          <w:highlight w:val="none"/>
          <w:lang w:val="en-US" w:eastAsia="zh-CN" w:bidi="ar"/>
        </w:rPr>
        <w:t>hm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，全部为永久基本农田，须按相关要求进行保护管理：</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）建设前期</w:t>
      </w:r>
    </w:p>
    <w:p>
      <w:pPr>
        <w:keepNext w:val="0"/>
        <w:keepLines w:val="0"/>
        <w:widowControl/>
        <w:suppressLineNumbers w:val="0"/>
        <w:ind w:firstLine="560" w:firstLineChars="200"/>
        <w:jc w:val="left"/>
        <w:rPr>
          <w:color w:val="auto"/>
          <w:sz w:val="28"/>
          <w:szCs w:val="28"/>
          <w:highlight w:val="none"/>
        </w:rPr>
      </w:pPr>
      <w:r>
        <w:rPr>
          <w:rFonts w:hint="eastAsia" w:ascii="宋体" w:hAnsi="宋体" w:eastAsia="宋体" w:cs="宋体"/>
          <w:color w:val="auto"/>
          <w:kern w:val="0"/>
          <w:sz w:val="28"/>
          <w:szCs w:val="28"/>
          <w:highlight w:val="none"/>
          <w:lang w:val="en-US" w:eastAsia="zh-CN" w:bidi="ar"/>
        </w:rPr>
        <w:t>①优化井场选址。本项目选址占用农耕区，在选址过程应注意尽量减少占用基本农田、不破坏其水利设施。</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②合理安排工期。占用农田的施工活动尽量安排在农作物收获期以后进行，以减少农业生产损失。</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③施工便道应避开基本农田设置，减少对基本农田的占用。</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④建设单位应严格执行国家及地方法律、法规有关基本农田征占审批和补偿的规定，在施工前应办理好相关土地使用手续。</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⑤建设在单位在完成土地使用审批手续后应及时施工建设，严禁闲置基本农田。</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）施工期</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①占用基本农田前要将耕作层进行剥离，单独收集堆放，并采取防护措施。施工结束后新开垦耕地或其他耕地的土壤改良。耕作层剥离再利用所需资金列入建设项目概算。</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②严格控制好施工作业范围，尽量减少临时占用基本农田。</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③严格按照《基本农田保护条例》、《土地复垦条例》和《土地复垦条例实施办法》等相关规定和要求，严格做好对基本农田的保护及恢复措施，土壤应分层开挖、分层堆放、分层回填，确保不降低项目区域基本农田生产力。</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④妥善处理农田灌溉水利设施。对施工开挖可能破坏的灌溉水利设施，开挖前另建替代管道，避免中断农业灌溉。</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⑤本工程涉及的土石方应及时清运，严禁临时堆置于基本农田内。</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⑥施工期间应对施工废弃物实行集中堆放，及时清运处理，严禁随意弃置污染基本农田土壤。</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⑦各井场钻井期间针对各井场按照“源头控制、分区防治、污染监控、应急响应”相结合的原则，从污染物的产生、入渗、扩散、事故状态应急响应等各方面进行了土壤污染防治措施，确保各井场实施不会对当地基本农田产生不利影响。</w:t>
      </w:r>
    </w:p>
    <w:p>
      <w:pPr>
        <w:keepNext w:val="0"/>
        <w:keepLines w:val="0"/>
        <w:widowControl/>
        <w:suppressLineNumbers w:val="0"/>
        <w:ind w:firstLine="560" w:firstLineChars="200"/>
        <w:jc w:val="left"/>
        <w:rPr>
          <w:rFonts w:hint="default"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⑧井场垫高的土壤，优先选用表层土。可将放喷池剥离的表层土用于井场垫高，选用本乡优质土壤进行垫高，禁止发生外来物种入侵情况。</w:t>
      </w:r>
    </w:p>
    <w:p>
      <w:pPr>
        <w:keepNext w:val="0"/>
        <w:keepLines w:val="0"/>
        <w:widowControl/>
        <w:suppressLineNumbers w:val="0"/>
        <w:ind w:firstLine="560" w:firstLineChars="20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⑨施工结束后，建设单位负责开垦与所占基本农田的数量与质量相当的耕地；没有条件开垦或者开垦的耕地不符合要求的，应当按照相关规定缴纳耕地开垦费，专款用于开垦新的耕地。</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临时占地复垦时，首先是要将设备基础等拆除，清理完成的建筑石渣部分外运至当地建筑垃圾处理场处置。硬化物拆除以后，平整场地，对压实的土地进行翻松，松土厚度为</w:t>
      </w:r>
      <w:r>
        <w:rPr>
          <w:rFonts w:hint="default" w:ascii="Times New Roman" w:hAnsi="Times New Roman" w:eastAsia="宋体" w:cs="Times New Roman"/>
          <w:color w:val="auto"/>
          <w:kern w:val="0"/>
          <w:sz w:val="28"/>
          <w:szCs w:val="28"/>
          <w:highlight w:val="none"/>
          <w:lang w:val="en-US" w:eastAsia="zh-CN" w:bidi="ar"/>
        </w:rPr>
        <w:t>30cm</w:t>
      </w:r>
      <w:r>
        <w:rPr>
          <w:rFonts w:hint="eastAsia" w:ascii="宋体" w:hAnsi="宋体" w:eastAsia="宋体" w:cs="宋体"/>
          <w:color w:val="auto"/>
          <w:kern w:val="0"/>
          <w:sz w:val="28"/>
          <w:szCs w:val="28"/>
          <w:highlight w:val="none"/>
          <w:lang w:val="en-US" w:eastAsia="zh-CN" w:bidi="ar"/>
        </w:rPr>
        <w:t>。土方松动后将保存的剥离表土铺覆于复垦区，最后种植农作物。井区损毁土地尽可能地复垦为原土地利用类型，也保持了原土地利用功能、面积，也保持了与周围景观协调一致，更有利于生态环境的恢复，同时确保不降低项目区域基本农田生产力。</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3）临时占地土地复垦方案</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①以耕地优先，恢复农作物产量，需与项目建设前单位生产力相同</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②复垦率及工期、植被恢复期：</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复垦率100%，钻井完工后进行复垦，施工期3个月，复垦种植恢复期2年</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③复垦土壤：主要采用临时表土堆场耕植土以及其他临时占地原有耕植土，若土壤不够，优先选购本乡优质土壤，防止外来物种入侵。</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④</w:t>
      </w:r>
      <w:r>
        <w:rPr>
          <w:rFonts w:hint="eastAsia" w:ascii="Times New Roman" w:hAnsi="Times New Roman" w:eastAsia="宋体" w:cs="Times New Roman"/>
          <w:color w:val="auto"/>
          <w:kern w:val="0"/>
          <w:sz w:val="28"/>
          <w:szCs w:val="28"/>
          <w:highlight w:val="none"/>
          <w:lang w:val="en-US" w:eastAsia="zh-CN" w:bidi="ar"/>
        </w:rPr>
        <w:t>复垦范围：若新建气井无开采价值，井场除保留井口封井装置区外全部拆除，平整、翻耕、培肥改良复垦。</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若后续具有开发价值，根据后续地面集输工程征用占地，对占地外的区域全部拆除，平整、翻耕、培肥改良复垦。</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⑤复垦要求：对土壤进行翻耕、平整及培肥改良。工程应按照土地复垦方案的相关要求进行，复垦后应满足《土地复垦质量控制标准》（TD/T1036-2013）中规定的要求。</w:t>
      </w:r>
    </w:p>
    <w:p>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（3）</w:t>
      </w:r>
      <w:r>
        <w:rPr>
          <w:rFonts w:hint="eastAsia" w:ascii="宋体" w:hAnsi="宋体" w:eastAsia="宋体" w:cs="宋体"/>
          <w:color w:val="auto"/>
          <w:kern w:val="0"/>
          <w:sz w:val="28"/>
          <w:szCs w:val="28"/>
          <w:highlight w:val="none"/>
          <w:lang w:val="en-US" w:eastAsia="zh-CN" w:bidi="ar"/>
        </w:rPr>
        <w:t>防沙治沙措施</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根据现场调查，项目占地区域未出现土壤沙化现象。为保护区域生态环境，针对本项目的工程具体特点，应制定生态环境影响减缓措施和防沙治沙措施。</w:t>
      </w:r>
    </w:p>
    <w:p>
      <w:pPr>
        <w:keepNext w:val="0"/>
        <w:keepLines w:val="0"/>
        <w:widowControl/>
        <w:suppressLineNumbers w:val="0"/>
        <w:ind w:firstLine="560" w:firstLineChars="20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①</w:t>
      </w:r>
      <w:r>
        <w:rPr>
          <w:rFonts w:hint="eastAsia" w:ascii="宋体" w:hAnsi="宋体" w:eastAsia="宋体" w:cs="宋体"/>
          <w:color w:val="auto"/>
          <w:kern w:val="0"/>
          <w:sz w:val="28"/>
          <w:szCs w:val="28"/>
          <w:highlight w:val="none"/>
          <w:lang w:val="en-US" w:eastAsia="zh-CN" w:bidi="ar"/>
        </w:rPr>
        <w:t>井场临时占地主要为设备放置地，在设备放置时尽量不破坏原有地貌，施工结束后及时对现场进行清理，对破坏的土地进行平整并压实，利于植被自然恢复。</w:t>
      </w:r>
    </w:p>
    <w:p>
      <w:pPr>
        <w:keepNext w:val="0"/>
        <w:keepLines w:val="0"/>
        <w:widowControl/>
        <w:suppressLineNumbers w:val="0"/>
        <w:ind w:firstLine="560" w:firstLineChars="20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②</w:t>
      </w:r>
      <w:r>
        <w:rPr>
          <w:rFonts w:hint="eastAsia" w:ascii="宋体" w:hAnsi="宋体" w:eastAsia="宋体" w:cs="宋体"/>
          <w:color w:val="auto"/>
          <w:kern w:val="0"/>
          <w:sz w:val="28"/>
          <w:szCs w:val="28"/>
          <w:highlight w:val="none"/>
          <w:lang w:val="en-US" w:eastAsia="zh-CN" w:bidi="ar"/>
        </w:rPr>
        <w:t>在完钻后，要立即对施工现场进行平整，并尽可能覆土压实，基本程序是回填－平整－覆土－压实。项目井场垫高应首先考虑表层土及本乡优质土壤。</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③施工时要特别注意保护原始地表与天然植被，划定施工活动范围，严格控制和管理车辆及重型机械的运行范围，所有车辆采用</w:t>
      </w:r>
      <w:r>
        <w:rPr>
          <w:rFonts w:hint="eastAsia" w:ascii="Times New Roman" w:hAnsi="Times New Roman" w:eastAsia="宋体" w:cs="Times New Roman"/>
          <w:color w:val="auto"/>
          <w:kern w:val="0"/>
          <w:sz w:val="28"/>
          <w:szCs w:val="28"/>
          <w:highlight w:val="none"/>
          <w:lang w:val="en-US" w:eastAsia="zh-CN" w:bidi="ar"/>
        </w:rPr>
        <w:t>“</w:t>
      </w:r>
      <w:r>
        <w:rPr>
          <w:rFonts w:hint="eastAsia" w:ascii="宋体" w:hAnsi="宋体" w:eastAsia="宋体" w:cs="宋体"/>
          <w:color w:val="auto"/>
          <w:kern w:val="0"/>
          <w:sz w:val="28"/>
          <w:szCs w:val="28"/>
          <w:highlight w:val="none"/>
          <w:lang w:val="en-US" w:eastAsia="zh-CN" w:bidi="ar"/>
        </w:rPr>
        <w:t>一</w:t>
      </w:r>
      <w:r>
        <w:rPr>
          <w:rFonts w:hint="eastAsia" w:ascii="Times New Roman" w:hAnsi="Times New Roman" w:eastAsia="宋体" w:cs="Times New Roman"/>
          <w:color w:val="auto"/>
          <w:kern w:val="0"/>
          <w:sz w:val="28"/>
          <w:szCs w:val="28"/>
          <w:highlight w:val="none"/>
          <w:lang w:val="en-US" w:eastAsia="zh-CN" w:bidi="ar"/>
        </w:rPr>
        <w:t>”</w:t>
      </w:r>
      <w:r>
        <w:rPr>
          <w:rFonts w:hint="eastAsia" w:ascii="宋体" w:hAnsi="宋体" w:eastAsia="宋体" w:cs="宋体"/>
          <w:color w:val="auto"/>
          <w:kern w:val="0"/>
          <w:sz w:val="28"/>
          <w:szCs w:val="28"/>
          <w:highlight w:val="none"/>
          <w:lang w:val="en-US" w:eastAsia="zh-CN" w:bidi="ar"/>
        </w:rPr>
        <w:t>字型作业法，避免并行开辟新路，以减少风蚀沙化活动的范围。</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④施工作业避免在大风天施工。</w:t>
      </w:r>
    </w:p>
    <w:p>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（4）</w:t>
      </w:r>
      <w:r>
        <w:rPr>
          <w:rFonts w:hint="eastAsia" w:ascii="宋体" w:hAnsi="宋体" w:eastAsia="宋体" w:cs="宋体"/>
          <w:color w:val="auto"/>
          <w:kern w:val="0"/>
          <w:sz w:val="28"/>
          <w:szCs w:val="28"/>
          <w:highlight w:val="none"/>
          <w:lang w:val="en-US" w:eastAsia="zh-CN" w:bidi="ar"/>
        </w:rPr>
        <w:t>水土流失防治措施</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由于井场施工时车辆对土壤的碾压，人员对土壤的践踏，将改变原地表地貌状况，扰动原地貌，改变原地貌的状况和性质。工程施工破坏植被，新地貌失去植物根系的固土作用，雨水直接冲刷疏松、裸露的地表土，造成水土流失；施工过程中，开挖回填后产生的弃渣松散堆积，结构疏松，胶结力差，抗侵蚀能力极低，遇暴雨产生径流，加大水土流失。本次建议采取以下水土流失防治措施。</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①井场予以平整、压实，以免发生水土流失。对于建设开挖、回填产生的弃土石方要合理填埋、堆放、利用，并采取适当的压实平整措施。地面建设产生的弃方不得随处堆放，应合理利用。</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严格控制施工车辆、机械及施工人员活动范围，尽可能减少原有植被和土壤的破坏。利用现有公路和已有便道行车，不新建道路，避免造成新的裸露地表；执行“无捷径”原则，规范车辆行驶路线，不在道路、井场以外的地方行驶和作业，禁止碾压和破坏地表植被。</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③因地制宜选择施工季节，尽量避开植被生长季节、农作物耕种季节，减少损失，同时避开大风及强降水季节。施工期间应划定施工活动范围，严格控制和管理运输车辆、重型机械设备作业范围，以及施工人员的活动范围，由专人负责管理，减少施工作业对周围土壤和植被的破坏范围和程度。</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④场界周围设施防尘围挡，井场、柴油储罐区、压裂液罐、生活污水及泥浆槽周围设置排水沟。</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⑤临时堆放的土方设置草栅等水土保持毯，产生的建筑垃圾及时清运。严禁开发建设施工材料乱堆乱放，划定适宜的堆料场，以防对植物破坏范围的扩大，增加裸地面积而新增的水土流失。</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⑥严禁在大风天气下运输及装卸施工散料等。在便道出入口，竖立保护耕地的警示牌，以提醒施工作业人员，减少人员随意践踏造成的水土流失。</w:t>
      </w:r>
    </w:p>
    <w:p>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（5）</w:t>
      </w:r>
      <w:r>
        <w:rPr>
          <w:rFonts w:hint="eastAsia" w:ascii="宋体" w:hAnsi="宋体" w:eastAsia="宋体" w:cs="宋体"/>
          <w:color w:val="auto"/>
          <w:kern w:val="0"/>
          <w:sz w:val="28"/>
          <w:szCs w:val="28"/>
          <w:highlight w:val="none"/>
          <w:lang w:val="en-US" w:eastAsia="zh-CN" w:bidi="ar"/>
        </w:rPr>
        <w:t>黑土地保护措施</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①本项目新建井场严格遵守《石油天然气工程项目用地控制指标》要求，尽可能减少占地。</w:t>
      </w:r>
    </w:p>
    <w:p>
      <w:pPr>
        <w:keepNext w:val="0"/>
        <w:keepLines w:val="0"/>
        <w:widowControl/>
        <w:suppressLineNumbers w:val="0"/>
        <w:ind w:firstLine="560" w:firstLineChars="20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②本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建设过程中对占用的耕地，按照</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占多少，垦多少</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的原则，由建设单位负责开垦与所占用耕地的数量和质量相当的耕地；如果没有条件开垦时，按照省的规定缴纳耕地开垦费，专款用于开垦新的耕地。</w:t>
      </w:r>
    </w:p>
    <w:p>
      <w:pPr>
        <w:keepNext w:val="0"/>
        <w:keepLines w:val="0"/>
        <w:widowControl/>
        <w:suppressLineNumbers w:val="0"/>
        <w:ind w:firstLine="560" w:firstLineChars="200"/>
        <w:jc w:val="both"/>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③本工程实施前编制建设项目占用耕地耕作层土壤剥离利用方案，统筹安排剥离、储存和再利用工作。表土剥离和利用严格执行《建设占用耕地耕作层土壤剥离利用技术规范》（DB23/T2913-2021）和《黑龙江省人民政府办公厅关于建设占用耕地耕作层土壤剥离利用工作的指导意见》（黑政办规〔2021〕18号）。</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④本项目井场生活污水池等挖方施工剥离表土厚度为</w:t>
      </w:r>
      <w:r>
        <w:rPr>
          <w:rFonts w:hint="default" w:ascii="Times New Roman" w:hAnsi="Times New Roman" w:eastAsia="宋体" w:cs="Times New Roman"/>
          <w:color w:val="auto"/>
          <w:kern w:val="0"/>
          <w:sz w:val="28"/>
          <w:szCs w:val="28"/>
          <w:highlight w:val="none"/>
          <w:lang w:val="en-US" w:eastAsia="zh-CN" w:bidi="ar"/>
        </w:rPr>
        <w:t>0.3m</w:t>
      </w:r>
      <w:r>
        <w:rPr>
          <w:rFonts w:hint="eastAsia" w:ascii="宋体" w:hAnsi="宋体" w:eastAsia="宋体" w:cs="宋体"/>
          <w:color w:val="auto"/>
          <w:kern w:val="0"/>
          <w:sz w:val="28"/>
          <w:szCs w:val="28"/>
          <w:highlight w:val="none"/>
          <w:lang w:val="en-US" w:eastAsia="zh-CN" w:bidi="ar"/>
        </w:rPr>
        <w:t>，剥离的表土推放在井场临时占地范围内的存储区，堆土表面设纱网或草栅覆盖，防止出现水土流失，待本工程施工结束后运回原位分层回填。</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⑤本工程对临时占用的耕地采用深松深耕进行复垦。</w:t>
      </w:r>
    </w:p>
    <w:p>
      <w:pPr>
        <w:keepNext w:val="0"/>
        <w:keepLines w:val="0"/>
        <w:widowControl/>
        <w:suppressLineNumbers w:val="0"/>
        <w:ind w:firstLine="560" w:firstLineChars="20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⑥对占用耕地耕作层土壤剥离利用和临时占用的耕地采用深松深耕进行全过程监理。</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通过采取上述生态保护措施，能够确保本项目对区域生态的破坏得到有效控制，不会对区域生态产生较大影响，生态保护措施可行。</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6.1.7</w:t>
      </w:r>
      <w:r>
        <w:rPr>
          <w:rFonts w:hint="eastAsia" w:ascii="宋体" w:hAnsi="宋体" w:eastAsia="宋体" w:cs="宋体"/>
          <w:color w:val="auto"/>
          <w:kern w:val="0"/>
          <w:sz w:val="28"/>
          <w:szCs w:val="28"/>
          <w:highlight w:val="none"/>
          <w:lang w:val="en-US" w:eastAsia="zh-CN" w:bidi="ar"/>
        </w:rPr>
        <w:t>土壤污染防范措施</w:t>
      </w:r>
    </w:p>
    <w:p>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污染防治基本要求</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针对工程可能发生的土壤污染，按照源头控制、末端防治、污染监控、应急响应相结合的原则，从污染物的产生、入渗、扩散、应急响应等全阶段进行控制。</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1）源头控制措施</w:t>
      </w:r>
    </w:p>
    <w:p>
      <w:pPr>
        <w:keepNext w:val="0"/>
        <w:keepLines w:val="0"/>
        <w:widowControl/>
        <w:suppressLineNumbers w:val="0"/>
        <w:ind w:firstLine="560" w:firstLineChars="200"/>
        <w:jc w:val="both"/>
        <w:rPr>
          <w:rFonts w:hint="eastAsia" w:ascii="宋体" w:hAnsi="宋体" w:eastAsia="宋体" w:cs="宋体"/>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①本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钻井选用全井段套管保护+水泥固井工艺及清洁的水基钻井液体系，防止地下水、土壤污染。同时在设计中做好及时堵漏准备，防止钻井液流失进入土壤。</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②在施工过程中要做好钻井污水、废钻井液、钻屑、废射孔液和压裂返排液的回收处理工作，做到完全无外排。油罐区应做好防渗措施，防止油污洒落地面，污染土壤环境。</w:t>
      </w:r>
    </w:p>
    <w:p>
      <w:pPr>
        <w:keepNext w:val="0"/>
        <w:keepLines w:val="0"/>
        <w:widowControl/>
        <w:suppressLineNumbers w:val="0"/>
        <w:ind w:firstLine="560" w:firstLineChars="200"/>
        <w:jc w:val="both"/>
        <w:rPr>
          <w:color w:val="auto"/>
          <w:sz w:val="28"/>
          <w:szCs w:val="28"/>
          <w:highlight w:val="none"/>
        </w:rPr>
      </w:pPr>
      <w:r>
        <w:rPr>
          <w:rFonts w:hint="eastAsia" w:ascii="宋体" w:hAnsi="宋体" w:eastAsia="宋体" w:cs="宋体"/>
          <w:color w:val="auto"/>
          <w:kern w:val="0"/>
          <w:sz w:val="28"/>
          <w:szCs w:val="28"/>
          <w:highlight w:val="none"/>
          <w:lang w:val="en-US" w:eastAsia="zh-CN" w:bidi="ar"/>
        </w:rPr>
        <w:t>③每次钻井结束后的固井作业可有效封隔地层与套管之间的环空，防治污染土壤。选用高标号的固井水泥，提高固井质量，可有效防止因为井漏事故造成的土壤环境污染。</w:t>
      </w:r>
    </w:p>
    <w:p>
      <w:pPr>
        <w:keepNext w:val="0"/>
        <w:keepLines w:val="0"/>
        <w:widowControl/>
        <w:numPr>
          <w:ilvl w:val="0"/>
          <w:numId w:val="0"/>
        </w:numPr>
        <w:suppressLineNumbers w:val="0"/>
        <w:ind w:firstLine="560" w:firstLineChars="20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④施工现场的生活垃圾统一收集后，委托</w:t>
      </w:r>
      <w:r>
        <w:rPr>
          <w:rFonts w:hint="default" w:ascii="Times New Roman" w:hAnsi="Times New Roman" w:cs="Times New Roman"/>
          <w:color w:val="auto"/>
          <w:sz w:val="28"/>
          <w:szCs w:val="28"/>
          <w:highlight w:val="none"/>
          <w:vertAlign w:val="baseline"/>
          <w:lang w:val="en-US" w:eastAsia="zh-CN"/>
        </w:rPr>
        <w:t>大庆三联实业有限公司拉运处置</w:t>
      </w:r>
      <w:r>
        <w:rPr>
          <w:rFonts w:hint="eastAsia" w:ascii="Times New Roman" w:hAnsi="Times New Roman" w:cs="Times New Roman"/>
          <w:color w:val="auto"/>
          <w:sz w:val="28"/>
          <w:szCs w:val="28"/>
          <w:highlight w:val="none"/>
          <w:vertAlign w:val="baseline"/>
          <w:lang w:val="en-US" w:eastAsia="zh-CN"/>
        </w:rPr>
        <w:t>。</w:t>
      </w:r>
    </w:p>
    <w:p>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过程防控措施</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根据天然气开采行业项目特点与占地范围内的土壤特性，按照相关技术要求，本项目主要针对通过垂直入渗途径污染土壤而采取的过程防控措施。主要采取分区防渗措施，根据天然气钻井井场在建设期可能产生的污染物情况及构筑物的特征，将井场划分为重点防渗区和一般防渗区，其中柴油罐区和放喷池为重点防渗区域，储罐区周围设置围堰；钢制泥浆槽、生活污水池、材料房、计量池、储液罐和压裂液罐等为一般防渗区域，通过以上措施全面防控事故废水发生泄露，进入土壤。</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3）跟踪监测计划</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定期对重点影响区及土壤环境敏感点附近土壤环境进行监测，监测委托具有资质的单位进行，监测报告应存档，同时对监测结果进行信息公开。根据土壤环境影响分析结果，本项目对土壤环境敏感点产生影响的可能性小，根据项目分布情况布置土壤监测点位1个，跟踪监测计划见表6.1-3。</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6.1-3</w:t>
      </w:r>
      <w:r>
        <w:rPr>
          <w:rFonts w:hint="eastAsia" w:ascii="Times New Roman" w:hAnsi="Times New Roman" w:eastAsia="宋体" w:cs="Times New Roman"/>
          <w:b/>
          <w:bCs/>
          <w:color w:val="auto"/>
          <w:kern w:val="0"/>
          <w:sz w:val="24"/>
          <w:szCs w:val="24"/>
          <w:highlight w:val="none"/>
          <w:lang w:val="en-US" w:eastAsia="zh-CN" w:bidi="ar"/>
        </w:rPr>
        <w:t>土壤环境跟踪监测计划表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5"/>
        <w:gridCol w:w="1991"/>
        <w:gridCol w:w="1282"/>
        <w:gridCol w:w="1227"/>
        <w:gridCol w:w="26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bCs/>
                <w:color w:val="auto"/>
                <w:kern w:val="0"/>
                <w:sz w:val="24"/>
                <w:szCs w:val="24"/>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监测点位</w:t>
            </w:r>
          </w:p>
        </w:tc>
        <w:tc>
          <w:tcPr>
            <w:tcW w:w="19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bCs/>
                <w:color w:val="auto"/>
                <w:kern w:val="0"/>
                <w:sz w:val="24"/>
                <w:szCs w:val="24"/>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地理坐标</w:t>
            </w:r>
          </w:p>
        </w:tc>
        <w:tc>
          <w:tcPr>
            <w:tcW w:w="12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bCs/>
                <w:color w:val="auto"/>
                <w:kern w:val="0"/>
                <w:sz w:val="24"/>
                <w:szCs w:val="24"/>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监测因子</w:t>
            </w:r>
          </w:p>
        </w:tc>
        <w:tc>
          <w:tcPr>
            <w:tcW w:w="12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bCs/>
                <w:color w:val="auto"/>
                <w:kern w:val="0"/>
                <w:sz w:val="24"/>
                <w:szCs w:val="24"/>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监测频次</w:t>
            </w:r>
          </w:p>
        </w:tc>
        <w:tc>
          <w:tcPr>
            <w:tcW w:w="26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bCs/>
                <w:color w:val="auto"/>
                <w:kern w:val="0"/>
                <w:sz w:val="24"/>
                <w:szCs w:val="24"/>
                <w:highlight w:val="none"/>
                <w:vertAlign w:val="baseline"/>
                <w:lang w:val="en-US" w:eastAsia="zh-CN" w:bidi="ar"/>
              </w:rPr>
            </w:pPr>
            <w:r>
              <w:rPr>
                <w:rFonts w:hint="eastAsia" w:ascii="Times New Roman" w:hAnsi="Times New Roman" w:cs="Times New Roman"/>
                <w:color w:val="auto"/>
                <w:sz w:val="24"/>
                <w:szCs w:val="24"/>
                <w:highlight w:val="none"/>
                <w:vertAlign w:val="baseline"/>
                <w:lang w:val="en-US" w:eastAsia="zh-CN"/>
              </w:rPr>
              <w:t>拟建肇深19-平2井</w:t>
            </w:r>
          </w:p>
        </w:tc>
        <w:tc>
          <w:tcPr>
            <w:tcW w:w="19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g125.283716，45.805633</w:t>
            </w:r>
          </w:p>
        </w:tc>
        <w:tc>
          <w:tcPr>
            <w:tcW w:w="128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石油类、石油烃（C</w:t>
            </w:r>
            <w:r>
              <w:rPr>
                <w:rFonts w:hint="eastAsia" w:ascii="Times New Roman" w:hAnsi="Times New Roman" w:cs="Times New Roman"/>
                <w:color w:val="auto"/>
                <w:sz w:val="24"/>
                <w:szCs w:val="24"/>
                <w:highlight w:val="none"/>
                <w:vertAlign w:val="subscript"/>
                <w:lang w:val="en-US" w:eastAsia="zh-CN"/>
              </w:rPr>
              <w:t>6</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9</w:t>
            </w:r>
            <w:r>
              <w:rPr>
                <w:rFonts w:hint="eastAsia" w:ascii="Times New Roman" w:hAnsi="Times New Roman" w:cs="Times New Roman"/>
                <w:color w:val="auto"/>
                <w:sz w:val="24"/>
                <w:szCs w:val="24"/>
                <w:highlight w:val="none"/>
                <w:vertAlign w:val="baseline"/>
                <w:lang w:val="en-US" w:eastAsia="zh-CN"/>
              </w:rPr>
              <w:t>）、石油烃（C</w:t>
            </w:r>
            <w:r>
              <w:rPr>
                <w:rFonts w:hint="eastAsia" w:ascii="Times New Roman" w:hAnsi="Times New Roman" w:cs="Times New Roman"/>
                <w:color w:val="auto"/>
                <w:sz w:val="24"/>
                <w:szCs w:val="24"/>
                <w:highlight w:val="none"/>
                <w:vertAlign w:val="subscript"/>
                <w:lang w:val="en-US" w:eastAsia="zh-CN"/>
              </w:rPr>
              <w:t>10</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40</w:t>
            </w:r>
            <w:r>
              <w:rPr>
                <w:rFonts w:hint="eastAsia" w:ascii="Times New Roman" w:hAnsi="Times New Roman" w:cs="Times New Roman"/>
                <w:color w:val="auto"/>
                <w:sz w:val="24"/>
                <w:szCs w:val="24"/>
                <w:highlight w:val="none"/>
                <w:vertAlign w:val="baseline"/>
                <w:lang w:val="en-US" w:eastAsia="zh-CN"/>
              </w:rPr>
              <w:t>）、砷、六价铬</w:t>
            </w:r>
          </w:p>
        </w:tc>
        <w:tc>
          <w:tcPr>
            <w:tcW w:w="122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次</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年</w:t>
            </w:r>
          </w:p>
        </w:tc>
        <w:tc>
          <w:tcPr>
            <w:tcW w:w="26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《土壤环境质量 建设用地土壤污染风险管控标准（试行）》（GB36600-2018）第二类土壤污染风险筛选值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拟建肇深19-平3井东侧耕地</w:t>
            </w:r>
          </w:p>
        </w:tc>
        <w:tc>
          <w:tcPr>
            <w:tcW w:w="19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w:t>
            </w:r>
            <w:r>
              <w:rPr>
                <w:rFonts w:hint="default" w:ascii="Times New Roman" w:hAnsi="Times New Roman" w:cs="Times New Roman"/>
                <w:color w:val="auto"/>
                <w:sz w:val="24"/>
                <w:szCs w:val="24"/>
                <w:highlight w:val="none"/>
                <w:vertAlign w:val="baseline"/>
                <w:lang w:val="en-US" w:eastAsia="zh-CN"/>
              </w:rPr>
              <w:t>125.284261</w:t>
            </w:r>
            <w:r>
              <w:rPr>
                <w:rFonts w:hint="eastAsia" w:ascii="Times New Roman" w:hAnsi="Times New Roman" w:cs="Times New Roman"/>
                <w:color w:val="auto"/>
                <w:sz w:val="24"/>
                <w:szCs w:val="24"/>
                <w:highlight w:val="none"/>
                <w:vertAlign w:val="baseline"/>
                <w:lang w:val="en-US" w:eastAsia="zh-CN"/>
              </w:rPr>
              <w:t>，45.808468</w:t>
            </w:r>
          </w:p>
        </w:tc>
        <w:tc>
          <w:tcPr>
            <w:tcW w:w="128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22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60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《土壤环境质量 农用地土壤污染风险管控标准》（GB15618—2018）农用地土壤污染风险筛选值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放喷池周边土壤</w:t>
            </w:r>
          </w:p>
        </w:tc>
        <w:tc>
          <w:tcPr>
            <w:tcW w:w="19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2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石油烃、硫化物、PH、土壤含盐量</w:t>
            </w:r>
          </w:p>
        </w:tc>
        <w:tc>
          <w:tcPr>
            <w:tcW w:w="122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260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bl>
    <w:p>
      <w:pPr>
        <w:keepNext w:val="0"/>
        <w:keepLines w:val="0"/>
        <w:widowControl/>
        <w:suppressLineNumbers w:val="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6.1.8</w:t>
      </w:r>
      <w:r>
        <w:rPr>
          <w:rFonts w:hint="eastAsia" w:ascii="Times New Roman" w:hAnsi="Times New Roman" w:eastAsia="宋体" w:cs="Times New Roman"/>
          <w:color w:val="auto"/>
          <w:kern w:val="0"/>
          <w:sz w:val="28"/>
          <w:szCs w:val="28"/>
          <w:highlight w:val="none"/>
          <w:lang w:val="en-US" w:eastAsia="zh-CN" w:bidi="ar"/>
        </w:rPr>
        <w:t>环境风险防范措施</w:t>
      </w:r>
    </w:p>
    <w:p>
      <w:pPr>
        <w:keepNext w:val="0"/>
        <w:keepLines w:val="0"/>
        <w:widowControl/>
        <w:suppressLineNumbers w:val="0"/>
        <w:ind w:firstLine="560" w:firstLineChars="200"/>
        <w:jc w:val="both"/>
        <w:rPr>
          <w:rFonts w:hint="eastAsia" w:ascii="宋体" w:hAnsi="宋体" w:eastAsia="宋体" w:cs="宋体"/>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本项目所涉及的环境风险包括施工期井漏、井喷、危险物质泄漏等风险事故，分别采取相应的井控等环境风险防范措施。</w:t>
      </w:r>
    </w:p>
    <w:p>
      <w:pPr>
        <w:keepNext w:val="0"/>
        <w:keepLines w:val="0"/>
        <w:widowControl/>
        <w:suppressLineNumbers w:val="0"/>
        <w:jc w:val="both"/>
        <w:rPr>
          <w:color w:val="auto"/>
          <w:highlight w:val="none"/>
        </w:rPr>
      </w:pPr>
      <w:r>
        <w:rPr>
          <w:rFonts w:hint="eastAsia" w:ascii="Times New Roman" w:hAnsi="Times New Roman" w:eastAsia="宋体" w:cs="Times New Roman"/>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井喷防范措施</w:t>
      </w:r>
    </w:p>
    <w:p>
      <w:pPr>
        <w:keepNext w:val="0"/>
        <w:keepLines w:val="0"/>
        <w:widowControl/>
        <w:suppressLineNumbers w:val="0"/>
        <w:ind w:firstLine="560" w:firstLineChars="200"/>
        <w:jc w:val="both"/>
        <w:rPr>
          <w:color w:val="auto"/>
          <w:highlight w:val="none"/>
        </w:rPr>
      </w:pPr>
      <w:r>
        <w:rPr>
          <w:rFonts w:hint="default" w:ascii="Times New Roman" w:hAnsi="Times New Roman" w:eastAsia="宋体" w:cs="Times New Roman"/>
          <w:color w:val="auto"/>
          <w:kern w:val="0"/>
          <w:sz w:val="28"/>
          <w:szCs w:val="28"/>
          <w:highlight w:val="none"/>
          <w:lang w:val="en-US" w:eastAsia="zh-CN" w:bidi="ar"/>
        </w:rPr>
        <w:t>①</w:t>
      </w:r>
      <w:r>
        <w:rPr>
          <w:rFonts w:hint="eastAsia" w:ascii="宋体" w:hAnsi="宋体" w:eastAsia="宋体" w:cs="宋体"/>
          <w:color w:val="auto"/>
          <w:kern w:val="0"/>
          <w:sz w:val="28"/>
          <w:szCs w:val="28"/>
          <w:highlight w:val="none"/>
          <w:lang w:val="en-US" w:eastAsia="zh-CN" w:bidi="ar"/>
        </w:rPr>
        <w:t>钻井时安装防喷器，防止井喷事故发生。</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②钻井过程中钻井队要认真做好地层孔隙压力监测，绘制四条曲线，包括预测地层孔隙压力曲线、监测地层孔隙压力曲线、设计钻井液密度曲线、实际钻井液密度曲线，并贴于井场值班房墙上。</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③施工方在施工过程中因地质情况或施工条件出现较大变化时，应及时对钻井作业进行风险识别和评价，制定出安全技术保障措施，并提出修改设计的请求，按程序审批后方可实施。</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④井控设备的维护和使用严格按照《大庆油田钻井井控实施细则》中的</w:t>
      </w:r>
      <w:r>
        <w:rPr>
          <w:rFonts w:hint="default" w:ascii="Times New Roman" w:hAnsi="Times New Roman" w:eastAsia="宋体" w:cs="Times New Roman"/>
          <w:color w:val="auto"/>
          <w:kern w:val="0"/>
          <w:sz w:val="28"/>
          <w:szCs w:val="28"/>
          <w:highlight w:val="none"/>
          <w:lang w:val="en-US" w:eastAsia="zh-CN" w:bidi="ar"/>
        </w:rPr>
        <w:t>4.2</w:t>
      </w:r>
      <w:r>
        <w:rPr>
          <w:rFonts w:hint="eastAsia" w:ascii="宋体" w:hAnsi="宋体" w:eastAsia="宋体" w:cs="宋体"/>
          <w:color w:val="auto"/>
          <w:kern w:val="0"/>
          <w:sz w:val="28"/>
          <w:szCs w:val="28"/>
          <w:highlight w:val="none"/>
          <w:lang w:val="en-US" w:eastAsia="zh-CN" w:bidi="ar"/>
        </w:rPr>
        <w:t>和</w:t>
      </w:r>
      <w:r>
        <w:rPr>
          <w:rFonts w:hint="default" w:ascii="Times New Roman" w:hAnsi="Times New Roman" w:eastAsia="宋体" w:cs="Times New Roman"/>
          <w:color w:val="auto"/>
          <w:kern w:val="0"/>
          <w:sz w:val="28"/>
          <w:szCs w:val="28"/>
          <w:highlight w:val="none"/>
          <w:lang w:val="en-US" w:eastAsia="zh-CN" w:bidi="ar"/>
        </w:rPr>
        <w:t>5.2</w:t>
      </w:r>
      <w:r>
        <w:rPr>
          <w:rFonts w:hint="eastAsia" w:ascii="宋体" w:hAnsi="宋体" w:eastAsia="宋体" w:cs="宋体"/>
          <w:color w:val="auto"/>
          <w:kern w:val="0"/>
          <w:sz w:val="28"/>
          <w:szCs w:val="28"/>
          <w:highlight w:val="none"/>
          <w:lang w:val="en-US" w:eastAsia="zh-CN" w:bidi="ar"/>
        </w:rPr>
        <w:t>的要求执行。</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⑤钻进中发生井漏应将钻具提离井底、方钻杆提出转盘，以便关井观察。采取定时、定量反灌钻井液措施，保持井内液柱压力与地层压力平衡，防止发生溢流，其后采取相应措施处理井漏。</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⑥固井作业时不得拆除防喷器，应配套微变径闸板、换与套管直径相匹配的闸板或在钻台配备套管螺纹和防喷钻杆相匹配的接头。固井全过程保证井内压力平衡，尤其防止水泥浆候凝期间因失重造成井内压力平衡的破坏，甚至井喷。</w:t>
      </w:r>
    </w:p>
    <w:p>
      <w:pPr>
        <w:keepNext w:val="0"/>
        <w:keepLines w:val="0"/>
        <w:widowControl/>
        <w:suppressLineNumbers w:val="0"/>
        <w:ind w:firstLine="560" w:firstLineChars="200"/>
        <w:jc w:val="both"/>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⑦发现溢流后，严格按照《大庆油田钻井井控实施细则》溢流的控制及压井作业中的要求执行。</w:t>
      </w:r>
    </w:p>
    <w:p>
      <w:pPr>
        <w:keepNext w:val="0"/>
        <w:keepLines w:val="0"/>
        <w:widowControl/>
        <w:suppressLineNumbers w:val="0"/>
        <w:ind w:firstLine="560" w:firstLineChars="200"/>
        <w:jc w:val="both"/>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⑧钻井进入目的层后，有可能遇到异常高压气流，如果井内泥浆密度值过低，达不到平衡井内压力要求，就可能发生井喷。此时利用放喷器迅速封闭井口，若井口压力过高，则打开放喷管线阀门泄压，放喷的天然气立即点火烧掉。</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（2）套损风险防范措施</w:t>
      </w:r>
    </w:p>
    <w:p>
      <w:pPr>
        <w:keepNext w:val="0"/>
        <w:keepLines w:val="0"/>
        <w:widowControl/>
        <w:suppressLineNumbers w:val="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1）检查套管质量</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①套管下井的质量检查。</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一是检查套管钢级、壁厚等是否符合下井的设计规范与要求（设计中应对各种应力、强度校核作严格计算）。二是加强对下井前套管的探伤检查，要用多种检测方法检查套管壁厚薄程度、弯曲程度、圆度、丝扣密封情况和破裂等质量问题，严禁不合格套管下井。</w:t>
      </w:r>
    </w:p>
    <w:p>
      <w:pPr>
        <w:keepNext w:val="0"/>
        <w:keepLines w:val="0"/>
        <w:widowControl/>
        <w:suppressLineNumbers w:val="0"/>
        <w:ind w:firstLine="560" w:firstLineChars="200"/>
        <w:jc w:val="both"/>
        <w:rPr>
          <w:color w:val="auto"/>
          <w:highlight w:val="none"/>
        </w:rPr>
      </w:pPr>
      <w:r>
        <w:rPr>
          <w:rFonts w:hint="default" w:ascii="Times New Roman" w:hAnsi="Times New Roman" w:eastAsia="宋体" w:cs="Times New Roman"/>
          <w:color w:val="auto"/>
          <w:kern w:val="0"/>
          <w:sz w:val="28"/>
          <w:szCs w:val="28"/>
          <w:highlight w:val="none"/>
          <w:lang w:val="en-US" w:eastAsia="zh-CN" w:bidi="ar"/>
        </w:rPr>
        <w:t>②</w:t>
      </w:r>
      <w:r>
        <w:rPr>
          <w:rFonts w:hint="eastAsia" w:ascii="宋体" w:hAnsi="宋体" w:eastAsia="宋体" w:cs="宋体"/>
          <w:color w:val="auto"/>
          <w:kern w:val="0"/>
          <w:sz w:val="28"/>
          <w:szCs w:val="28"/>
          <w:highlight w:val="none"/>
          <w:lang w:val="en-US" w:eastAsia="zh-CN" w:bidi="ar"/>
        </w:rPr>
        <w:t>确定厚壁套管下入井段，根据地应力集中点、膨胀泥岩深度。断层深度和油层部位等确定厚壁套管下入井段。</w:t>
      </w:r>
    </w:p>
    <w:p>
      <w:pPr>
        <w:keepNext w:val="0"/>
        <w:keepLines w:val="0"/>
        <w:widowControl/>
        <w:suppressLineNumbers w:val="0"/>
        <w:jc w:val="both"/>
        <w:rPr>
          <w:color w:val="auto"/>
          <w:highlight w:val="none"/>
        </w:rPr>
      </w:pPr>
      <w:r>
        <w:rPr>
          <w:rFonts w:hint="default"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）工程技术预防措施</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对开发方式与工艺的要求。</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①为防止地应力集中，尤其在断层附近，应采取恰当的布井方式，以适应地下应力分布情况。</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②在套管易损坏地区的井，应考虑下技术套管，技术套管下至断裂层下部固井后再下气层套管，从而更有效地防止气层套管的损坏。</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③在可能的情况下，应分层开采，以利于克服层间应力异常和减少井下作业次数，防止套管损坏。</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下套管和固井质量的要求。</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④为防止浅层水腐蚀套管及浅层高塑性泥岩层蠕变，在浅层套管内外壁进行防腐，同时可下表层套管或技术套管封隔浅层。为减少管内承压，在高塑性泥岩层需下厚壁套管，并在环形空间内注人水泥封固。</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⑤为保证套管接箍丝扣和密封脂质量及上扣的扭矩值，对井下的套管要定期紧扣。</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⑥为减少套管损坏，固井时水泥浆应返至地面，进行全程固井。</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rPr>
      </w:pPr>
      <w:r>
        <w:rPr>
          <w:rFonts w:hint="default" w:ascii="Times New Roman" w:hAnsi="Times New Roman" w:eastAsia="宋体" w:cs="Times New Roman"/>
          <w:color w:val="auto"/>
          <w:kern w:val="0"/>
          <w:sz w:val="28"/>
          <w:szCs w:val="28"/>
          <w:highlight w:val="none"/>
          <w:lang w:val="en-US" w:eastAsia="zh-CN" w:bidi="ar"/>
        </w:rPr>
        <w:t>（3）井漏风险防范措施</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rPr>
      </w:pPr>
      <w:r>
        <w:rPr>
          <w:rFonts w:hint="default" w:ascii="Times New Roman" w:hAnsi="Times New Roman" w:eastAsia="宋体" w:cs="Times New Roman"/>
          <w:color w:val="auto"/>
          <w:kern w:val="0"/>
          <w:sz w:val="28"/>
          <w:szCs w:val="28"/>
          <w:highlight w:val="none"/>
          <w:lang w:val="en-US" w:eastAsia="zh-CN" w:bidi="ar"/>
        </w:rPr>
        <w:t>①发现井漏及油气显示等异常情况，立即报告。</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rPr>
      </w:pPr>
      <w:r>
        <w:rPr>
          <w:rFonts w:hint="default" w:ascii="Times New Roman" w:hAnsi="Times New Roman" w:eastAsia="宋体" w:cs="Times New Roman"/>
          <w:color w:val="auto"/>
          <w:kern w:val="0"/>
          <w:sz w:val="28"/>
          <w:szCs w:val="28"/>
          <w:highlight w:val="none"/>
          <w:lang w:val="en-US" w:eastAsia="zh-CN" w:bidi="ar"/>
        </w:rPr>
        <w:t>②钻进中发生井漏，液面不在井口时，将钻具提至关井位置，采取定时、定量反灌钻井液措施，及时处理井漏，防止发生溢流。</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rPr>
      </w:pPr>
      <w:r>
        <w:rPr>
          <w:rFonts w:hint="default" w:ascii="Times New Roman" w:hAnsi="Times New Roman" w:eastAsia="宋体" w:cs="Times New Roman"/>
          <w:color w:val="auto"/>
          <w:kern w:val="0"/>
          <w:sz w:val="28"/>
          <w:szCs w:val="28"/>
          <w:highlight w:val="none"/>
          <w:lang w:val="en-US" w:eastAsia="zh-CN" w:bidi="ar"/>
        </w:rPr>
        <w:t>③为防止井漏、井塌发生，可适当提高钻井液粘度，并控制钻速与排量，防止冲垮和憋漏地层。接单根时，应晚停泵、早开泵。</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rPr>
      </w:pPr>
      <w:r>
        <w:rPr>
          <w:rFonts w:hint="default" w:ascii="Times New Roman" w:hAnsi="Times New Roman" w:eastAsia="宋体" w:cs="Times New Roman"/>
          <w:color w:val="auto"/>
          <w:kern w:val="0"/>
          <w:sz w:val="28"/>
          <w:szCs w:val="28"/>
          <w:highlight w:val="none"/>
          <w:lang w:val="en-US" w:eastAsia="zh-CN" w:bidi="ar"/>
        </w:rPr>
        <w:t>④进入目的层后，若发生井漏，在保证井控安全和井眼稳定的情况下，应首先考降低钻井液密度，然后选择不伤害主要储层的堵漏措施，主要目的层应选用可酸化或可解堵的材料，严禁使用惰性材料堵漏。</w:t>
      </w:r>
    </w:p>
    <w:p>
      <w:pPr>
        <w:keepNext w:val="0"/>
        <w:keepLines w:val="0"/>
        <w:widowControl/>
        <w:suppressLineNumbers w:val="0"/>
        <w:ind w:firstLine="560" w:firstLineChars="200"/>
        <w:jc w:val="left"/>
        <w:rPr>
          <w:rFonts w:hint="default" w:ascii="Times New Roman" w:hAnsi="Times New Roman" w:cs="Times New Roman"/>
          <w:color w:val="auto"/>
          <w:sz w:val="28"/>
          <w:szCs w:val="28"/>
          <w:highlight w:val="none"/>
        </w:rPr>
      </w:pPr>
      <w:r>
        <w:rPr>
          <w:rFonts w:hint="default" w:ascii="Times New Roman" w:hAnsi="Times New Roman" w:eastAsia="宋体" w:cs="Times New Roman"/>
          <w:color w:val="auto"/>
          <w:kern w:val="0"/>
          <w:sz w:val="28"/>
          <w:szCs w:val="28"/>
          <w:highlight w:val="none"/>
          <w:lang w:val="en-US" w:eastAsia="zh-CN" w:bidi="ar"/>
        </w:rPr>
        <w:t>⑤施工区块集中储备随钻堵漏剂5t~10t，以备井漏发生时应急使用。</w:t>
      </w:r>
    </w:p>
    <w:p>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（4）</w:t>
      </w:r>
      <w:r>
        <w:rPr>
          <w:rFonts w:hint="eastAsia" w:ascii="宋体" w:hAnsi="宋体" w:eastAsia="宋体" w:cs="宋体"/>
          <w:color w:val="auto"/>
          <w:kern w:val="0"/>
          <w:sz w:val="28"/>
          <w:szCs w:val="28"/>
          <w:highlight w:val="none"/>
          <w:lang w:val="en-US" w:eastAsia="zh-CN" w:bidi="ar"/>
        </w:rPr>
        <w:t>防火、防爆、防物料泄漏措施</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①井场钻井设备的布局要考虑防火的安全要求。值班房、发电房、配电柜距井口不小于</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0m</w:t>
      </w:r>
      <w:r>
        <w:rPr>
          <w:rFonts w:hint="eastAsia" w:ascii="宋体" w:hAnsi="宋体" w:eastAsia="宋体" w:cs="宋体"/>
          <w:color w:val="auto"/>
          <w:kern w:val="0"/>
          <w:sz w:val="28"/>
          <w:szCs w:val="28"/>
          <w:highlight w:val="none"/>
          <w:lang w:val="en-US" w:eastAsia="zh-CN" w:bidi="ar"/>
        </w:rPr>
        <w:t>。</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②距井口</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0m</w:t>
      </w:r>
      <w:r>
        <w:rPr>
          <w:rFonts w:hint="eastAsia" w:ascii="宋体" w:hAnsi="宋体" w:eastAsia="宋体" w:cs="宋体"/>
          <w:color w:val="auto"/>
          <w:kern w:val="0"/>
          <w:sz w:val="28"/>
          <w:szCs w:val="28"/>
          <w:highlight w:val="none"/>
          <w:lang w:val="en-US" w:eastAsia="zh-CN" w:bidi="ar"/>
        </w:rPr>
        <w:t>以内及钻井液循环系统的电气设备、照明设备、开关、输电线路及接线方法应符合防火防爆安全规定。</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③钻台下面和井口周围严禁堆放杂物和易燃品，机泵房下无积油。</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④井场内严禁吸烟和动用明火，应有明显的防火标志。若需动火，应执行相关的的安全规定。</w:t>
      </w:r>
    </w:p>
    <w:p>
      <w:pPr>
        <w:keepNext w:val="0"/>
        <w:keepLines w:val="0"/>
        <w:widowControl/>
        <w:suppressLineNumbers w:val="0"/>
        <w:ind w:firstLine="560" w:firstLineChars="200"/>
        <w:jc w:val="both"/>
        <w:rPr>
          <w:color w:val="auto"/>
          <w:highlight w:val="none"/>
        </w:rPr>
      </w:pPr>
      <w:r>
        <w:rPr>
          <w:rFonts w:hint="eastAsia" w:ascii="宋体" w:hAnsi="宋体" w:eastAsia="宋体" w:cs="宋体"/>
          <w:color w:val="auto"/>
          <w:kern w:val="0"/>
          <w:sz w:val="28"/>
          <w:szCs w:val="28"/>
          <w:highlight w:val="none"/>
          <w:lang w:val="en-US" w:eastAsia="zh-CN" w:bidi="ar"/>
        </w:rPr>
        <w:t>⑤在井架上、井场盛行风入口处、钻台等地应至少设置</w:t>
      </w:r>
      <w:r>
        <w:rPr>
          <w:rFonts w:hint="default"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个风向标，一旦发生紧急情况，作业人员可向上风方向设定的</w:t>
      </w:r>
      <w:r>
        <w:rPr>
          <w:rFonts w:hint="default"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个紧急集合点疏散。</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⑥在钻台上下、振动筛、循环罐等气体易聚积的场所，应安装防爆排风扇以驱散工作场所弥漫的有毒有害、可燃气体。</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⑦油罐区地面铺设防渗布，设置围堰。发生油水泄漏时控制柴油不向罐区外扩散，保护周围生态。</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⑧井场设置的钢制泥浆槽兼作事故池，用于发生污水泄漏时废水的收集，控制污水不向井场外扩散，保护周围生态。</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⑨确保应急工具和设备齐备完好，以便在发生泄漏事故时对产生的污油污水进行及时回收和处理。</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⑩根据项目施工特点，编制应急预案，施工人员施工前进行事故演练。</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⑪</w:t>
      </w:r>
      <w:r>
        <w:rPr>
          <w:rFonts w:hint="eastAsia" w:ascii="Times New Roman" w:hAnsi="Times New Roman" w:eastAsia="宋体" w:cs="Times New Roman"/>
          <w:color w:val="auto"/>
          <w:kern w:val="0"/>
          <w:sz w:val="28"/>
          <w:szCs w:val="28"/>
          <w:highlight w:val="none"/>
          <w:lang w:val="en-US" w:eastAsia="zh-CN" w:bidi="ar"/>
        </w:rPr>
        <w:t>本项目拟建天然气井属于高压天然气井，放喷管线不少于2条，且夹角不小于120°，放空火炬距离井口距离不少于75m。</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（5）风险管理措施</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①井下作业应按《石油天然气安全规程》（AQ2012-2007）和《井下作业安全规程》（SY/T5727-2020）等标准规范的要求进行施工作业。井控还应《钻井井控技术规范》（Q/SY02552-2018）要求。修井及封堵作业过程应符合《常规修井作业规程第9部分∶换井口装置》（SY/T5587.9-2007）、《常规修井作业规程第3部分油气井压井、替喷、诱喷》（SY/T5587.3-2013）和《常规修井作业规程第14部分∶注塞、钻塞》（SY/T5587.14-2013）等标准规范的要求。</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②完井测试作业应按《天然气井试井技术规范》（SY/T5440-2019）、《高压油气井测试工艺技术规程》（SY/T6581-2012）和《石油天然气钻井、开发、储运防火防爆安全生产技术规程》（SY/T5225-2019）等标准规范的要求进行。试气前应进行井筒完整性评价。测试前应疏散井场和放喷口500m范围内的居民，并在井场周围设置警戒线。放喷测试应在白天进行，现场工作人员应佩戴正压式空气呼吸器和便携式硫化氢和二氧化硫监测报警仪。</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③钻、完井作业硫化氢防控应满足《石油天然气安全规程》（AQ2012-2007）、《硫化氢环境钻井场所作业安全规范》（SY/T5087-2017）、《硫化氢环境井下作业场所作业安全规范》（SY/T6610-2017）和《硫化氢环境人身防护规范》(SY/T6277-2017)等相关标准、规范的要求。按照《石油天然气作业场所劳动防护用具配备规范》（SY/T6524-2017）和《硫化氢环境人身防护规范》（SY/T6277-2017）的规定为作业人员配备各种防护用具。</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④在钻井施工时，制定出正常、异常或紧急状态下的操作手册和维修手册，并对操作、维修人员进行培训，持证上岗，避免因严重操作失误而造成的事故。</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⑤日常监督、隐患整改、事故发生、操作失误等各项安全行为都有记录和建立档案规定。</w:t>
      </w:r>
    </w:p>
    <w:p>
      <w:pPr>
        <w:keepNext w:val="0"/>
        <w:keepLines w:val="0"/>
        <w:widowControl/>
        <w:suppressLineNumbers w:val="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6）应急救援预案</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目前大庆油田有限责任公司采气分公司已建立较完善的应急预案体系，综合性预案为《大庆油田有限责任公司采气分公司突发事件总体应急预案》，同时该体系根据不同事故类型分别编制了《环境突发事件专项应急预案》、《井喷突发事件专项应急预案》、《油气泄漏事件专项应急预案》等专项应急预案。</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现有预案包含了本项目可能发生的井喷、油井套管破损泄露、钻井施工油气泄露引起的火灾、爆炸等风险事故时所采取的应急处置措施，可以满足本项目的应急处置要求，不需对本项目工程提出新的应急预案，发生风险事故时按已建立的事故风险应急预案执行。</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在执行应急预案的同时，要加强区域应急联动体系，发生事故必要时可直接向邻近企业、单位和政府部门、消防队、环保局、安全生产监督管理局和市政府报告，申请求援并要求周围企业单位启动应急计划，对风险事故及时作出反应和处理，将事故影响降至最低。</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1）应急预案基本内容</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本</w:t>
      </w:r>
      <w:r>
        <w:rPr>
          <w:rFonts w:hint="eastAsia" w:ascii="Times New Roman" w:hAnsi="Times New Roman" w:eastAsia="宋体" w:cs="Times New Roman"/>
          <w:color w:val="auto"/>
          <w:kern w:val="0"/>
          <w:sz w:val="28"/>
          <w:szCs w:val="28"/>
          <w:highlight w:val="none"/>
          <w:lang w:val="en-US" w:eastAsia="zh-CN" w:bidi="ar"/>
        </w:rPr>
        <w:t>项目</w:t>
      </w:r>
      <w:r>
        <w:rPr>
          <w:rFonts w:hint="default" w:ascii="Times New Roman" w:hAnsi="Times New Roman" w:eastAsia="宋体" w:cs="Times New Roman"/>
          <w:color w:val="auto"/>
          <w:kern w:val="0"/>
          <w:sz w:val="28"/>
          <w:szCs w:val="28"/>
          <w:highlight w:val="none"/>
          <w:lang w:val="en-US" w:eastAsia="zh-CN" w:bidi="ar"/>
        </w:rPr>
        <w:t>建设单位已经针对可能发生的风险事故，结合所处区域的自然条件、环境状况、地理位置等特点，制定了较完善的事故风险应急预案。</w:t>
      </w:r>
    </w:p>
    <w:p>
      <w:pPr>
        <w:keepNext w:val="0"/>
        <w:keepLines w:val="0"/>
        <w:widowControl/>
        <w:suppressLineNumbers w:val="0"/>
        <w:ind w:firstLine="560" w:firstLineChars="20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根据企业提供资料，大庆油田有限责任公司设有突发环境事件专项应急预案，该预案已于</w:t>
      </w:r>
      <w:r>
        <w:rPr>
          <w:rFonts w:hint="eastAsia" w:ascii="Times New Roman" w:hAnsi="Times New Roman" w:eastAsia="宋体" w:cs="Times New Roman"/>
          <w:color w:val="auto"/>
          <w:kern w:val="0"/>
          <w:sz w:val="28"/>
          <w:szCs w:val="28"/>
          <w:highlight w:val="none"/>
          <w:lang w:val="en-US" w:eastAsia="zh-CN" w:bidi="ar"/>
        </w:rPr>
        <w:t>2020</w:t>
      </w:r>
      <w:r>
        <w:rPr>
          <w:rFonts w:hint="eastAsia" w:ascii="宋体" w:hAnsi="宋体" w:eastAsia="宋体" w:cs="宋体"/>
          <w:color w:val="auto"/>
          <w:kern w:val="0"/>
          <w:sz w:val="28"/>
          <w:szCs w:val="28"/>
          <w:highlight w:val="none"/>
          <w:lang w:val="en-US" w:eastAsia="zh-CN" w:bidi="ar"/>
        </w:rPr>
        <w:t>年</w:t>
      </w:r>
      <w:r>
        <w:rPr>
          <w:rFonts w:hint="eastAsia" w:ascii="Times New Roman" w:hAnsi="Times New Roman" w:eastAsia="宋体" w:cs="Times New Roman"/>
          <w:color w:val="auto"/>
          <w:kern w:val="0"/>
          <w:sz w:val="28"/>
          <w:szCs w:val="28"/>
          <w:highlight w:val="none"/>
          <w:lang w:val="en-US" w:eastAsia="zh-CN" w:bidi="ar"/>
        </w:rPr>
        <w:t>12</w:t>
      </w:r>
      <w:r>
        <w:rPr>
          <w:rFonts w:hint="eastAsia" w:ascii="宋体" w:hAnsi="宋体" w:eastAsia="宋体" w:cs="宋体"/>
          <w:color w:val="auto"/>
          <w:kern w:val="0"/>
          <w:sz w:val="28"/>
          <w:szCs w:val="28"/>
          <w:highlight w:val="none"/>
          <w:lang w:val="en-US" w:eastAsia="zh-CN" w:bidi="ar"/>
        </w:rPr>
        <w:t>月</w:t>
      </w:r>
      <w:r>
        <w:rPr>
          <w:rFonts w:hint="default" w:ascii="Times New Roman" w:hAnsi="Times New Roman" w:eastAsia="宋体" w:cs="Times New Roman"/>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日在原大庆市环境保护局备案，采气分公司现有《突发环境事件专项应急预案》等预案内容，已在大庆油田有限公司应急管理办公室进行备案。《突发环境事件专项应急预案》适用于本公司范围内发生的、造成或可能造成人员伤亡、环境污染、停产和较大社会影响等突发事件的应对工作，主要包括应急组织机构及职责明确、预警与响应、应急处置与协调、应急保障等内容，重点明确各分项预案所述事件类型及事件各级应急组织机构框架内容，起到总体掌控、督查的作用；《突发环境事件专项预案》中不仅包含了原油泄漏污染、污水泄漏污染、给排水系统泄漏污染和危险废物污染等事故的分类、应急响应等内容，而且明确了环境突发事件应急储备物资清单、应急联络单等重要内容。</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①环境风险应急关键措施</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井喷失控后，在15分钟内完成井口点火燃烧泄漏天然气。点火应监测甲烷浓度，防止爆炸事故。在发生事故后按照应急预案的内容及时进行事故信息报告，应及时通报当地环保部门和其他相关应急组织机构、人员。应把防止井喷失控、硫化氢外溢中毒等作为事故应急的重点，避免造成人员中毒危害和财产损失，建设单位、施工单位应本着“人员的安全优先、防止事故扩展优先、保护环境优先”的原则。</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②井喷点火前人员的应急撤离、疏散通道及安置</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A、紧急撤离区</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以井口周边2000m范围为紧急撤离区，应对紧急撤离区范围内居民、学校进行撤离。撤离路线应根据钻井井场风向标，沿发生事故时的上风向、侧风向方向进行撤离。通过高音喇叭、广播、电话、入户及时通知周边各户居民，保证全部及时通知撤离，应通过应急组织机构负责组织撤离。</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B、重点撤离区</w:t>
      </w:r>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以井口周边5000m范围为重点撤离区，有可能对人群造成生命威胁，涉及人员为周边农村的分散居民，应通过应急组织机构负责组织撤离。撤离路线应根据钻井井场风向标，沿发生事故时的上风向、侧风向方向进行撤离。通过高音喇叭、广播、电话、入户及时通知周边各户居民，保证全部及时通知撤离。</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C、一般撤离区</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以井口周边6000m范围为一般撤离区，可能对人体造成不可逆的伤害，可能损伤个体采取有效防护措施的能力，涉及人员为周边农村分散居民。撤离路线应根据钻井井场风向标，沿发生事故时的上风向、侧风向进行撤离。通过高音喇叭、广播、电话、入户及时通知周边各户居民，保证全部及时通知撤离。</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D、特殊情况撤离范围</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在风速异常、点火措施未在15分钟内完成，应结合环境风险应急监测结果，扩大井喷事故撤离范围，沿事故时的上风向、侧风向方向进行撤离。</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③井喷点火后人员的应急撤离、疏散通道及安置</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井喷事故点火燃烧后，本项目为地面火炬，考虑近地面区域扩散的不规律，为了减缓不利影响，临时撤离周边1km居民，同时根据井喷燃烧持续时间和应急监测结果决定是否扩大撤离范围。</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④人群自救方法推荐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迅速撤离远离井场，沿井场上风向撤离，位于井场下风向的应避免逆风撤离，应从风向两侧撤离后再沿上风向撤离，同时尽量撤离到高地。撤离过程中采用湿毛巾或棉布捂住嘴，穿戴遮蔽皮肤完全的衣服和戴手套。有眼镜的佩戴眼镜。该自救措施应在宣传单、册中注明，在应急演练中进行演练。</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）应急状态地企联动</w:t>
      </w:r>
    </w:p>
    <w:p>
      <w:pPr>
        <w:keepNext w:val="0"/>
        <w:keepLines w:val="0"/>
        <w:widowControl/>
        <w:suppressLineNumbers w:val="0"/>
        <w:ind w:firstLine="560" w:firstLineChars="200"/>
        <w:jc w:val="left"/>
        <w:rPr>
          <w:color w:val="auto"/>
          <w:highlight w:val="none"/>
        </w:rPr>
      </w:pPr>
      <w:r>
        <w:rPr>
          <w:rFonts w:hint="eastAsia" w:ascii="宋体" w:hAnsi="宋体" w:eastAsia="宋体" w:cs="宋体"/>
          <w:color w:val="auto"/>
          <w:kern w:val="0"/>
          <w:sz w:val="28"/>
          <w:szCs w:val="28"/>
          <w:highlight w:val="none"/>
          <w:lang w:val="en-US" w:eastAsia="zh-CN" w:bidi="ar"/>
        </w:rPr>
        <w:t>企业环保部门与地方社会力量保持应急状态联动，事故发生后，消防部门、医疗部门、环保部门及公安部门启动相应紧急预案，保障事故控制及事故救援得到有效迅捷地处理。详见表</w:t>
      </w:r>
      <w:r>
        <w:rPr>
          <w:rFonts w:hint="default" w:ascii="Times New Roman" w:hAnsi="Times New Roman" w:eastAsia="宋体" w:cs="Times New Roman"/>
          <w:color w:val="auto"/>
          <w:kern w:val="0"/>
          <w:sz w:val="28"/>
          <w:szCs w:val="28"/>
          <w:highlight w:val="none"/>
          <w:lang w:val="en-US" w:eastAsia="zh-CN" w:bidi="ar"/>
        </w:rPr>
        <w:t>6.1-4</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jc w:val="center"/>
        <w:rPr>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6.1-4</w:t>
      </w:r>
      <w:r>
        <w:rPr>
          <w:rFonts w:hint="eastAsia" w:ascii="宋体" w:hAnsi="宋体" w:eastAsia="宋体" w:cs="宋体"/>
          <w:b/>
          <w:bCs/>
          <w:color w:val="auto"/>
          <w:kern w:val="0"/>
          <w:sz w:val="24"/>
          <w:szCs w:val="24"/>
          <w:highlight w:val="none"/>
          <w:lang w:val="en-US" w:eastAsia="zh-CN" w:bidi="ar"/>
        </w:rPr>
        <w:t>地企联动各部门联系方式</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33"/>
        <w:gridCol w:w="4017"/>
        <w:gridCol w:w="30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单位</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电话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火警</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医疗急救</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大庆市人民政府</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0459-4609222/6373055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大庆市生态环境局</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0459-4623818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肇州县生态环境局</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0459-8523628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肇州县人民政府办公室</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0459-8522310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双发乡人民政府</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0459-8523215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肇州县公安局</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0459-8542003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肇州县应急管理局</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0459-8511212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大庆市安监局</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0459-6367656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11</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肇州县自然资源局</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0459-8543467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大庆市安全生产委员会办公室</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0459-4600048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肇州县人民医院</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0459-8545025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w:t>
            </w:r>
          </w:p>
        </w:tc>
        <w:tc>
          <w:tcPr>
            <w:tcW w:w="40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肇州县农业农村局</w:t>
            </w:r>
          </w:p>
        </w:tc>
        <w:tc>
          <w:tcPr>
            <w:tcW w:w="306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0459-8542015</w:t>
            </w:r>
          </w:p>
        </w:tc>
      </w:tr>
    </w:tbl>
    <w:p>
      <w:pPr>
        <w:keepNext w:val="0"/>
        <w:keepLines w:val="0"/>
        <w:widowControl/>
        <w:suppressLineNumbers w:val="0"/>
        <w:ind w:firstLine="560" w:firstLineChars="200"/>
        <w:jc w:val="left"/>
        <w:rPr>
          <w:color w:val="auto"/>
          <w:highlight w:val="none"/>
        </w:rPr>
      </w:pPr>
      <w:r>
        <w:rPr>
          <w:rFonts w:hint="eastAsia" w:ascii="Times New Roman" w:hAnsi="Times New Roman" w:eastAsia="宋体" w:cs="Times New Roman"/>
          <w:color w:val="auto"/>
          <w:kern w:val="0"/>
          <w:sz w:val="28"/>
          <w:szCs w:val="28"/>
          <w:highlight w:val="none"/>
          <w:lang w:val="en-US" w:eastAsia="zh-CN" w:bidi="ar"/>
        </w:rPr>
        <w:t>通过采取上述环境风险防范措施，能够有效的预防和减缓本工程建设可能带来的不良环境影响，环境风险可控。</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97" w:name="_Toc28829"/>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6.2</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“三同时”项目一览表</w:t>
      </w:r>
      <w:bookmarkEnd w:id="197"/>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为进一步落实本项目工程设计和环境影响评价提出的各项环保措施，确保环保工程发挥真正作用，本评价列出“三同时”项目表和竣工验收监测与调查的相关要求，具体内容见表</w:t>
      </w:r>
      <w:r>
        <w:rPr>
          <w:rFonts w:hint="default" w:ascii="Times New Roman" w:hAnsi="Times New Roman" w:eastAsia="宋体" w:cs="Times New Roman"/>
          <w:color w:val="auto"/>
          <w:kern w:val="0"/>
          <w:sz w:val="28"/>
          <w:szCs w:val="28"/>
          <w:highlight w:val="none"/>
          <w:lang w:val="en-US" w:eastAsia="zh-CN" w:bidi="ar"/>
        </w:rPr>
        <w:t>6.2-1</w:t>
      </w:r>
      <w:r>
        <w:rPr>
          <w:rFonts w:hint="eastAsia" w:ascii="Times New Roman" w:hAnsi="Times New Roman" w:eastAsia="宋体" w:cs="Times New Roman"/>
          <w:color w:val="auto"/>
          <w:kern w:val="0"/>
          <w:sz w:val="28"/>
          <w:szCs w:val="28"/>
          <w:highlight w:val="none"/>
          <w:lang w:val="en-US" w:eastAsia="zh-CN" w:bidi="ar"/>
        </w:rPr>
        <w:t>及表</w:t>
      </w:r>
      <w:r>
        <w:rPr>
          <w:rFonts w:hint="default" w:ascii="Times New Roman" w:hAnsi="Times New Roman" w:eastAsia="宋体" w:cs="Times New Roman"/>
          <w:color w:val="auto"/>
          <w:kern w:val="0"/>
          <w:sz w:val="28"/>
          <w:szCs w:val="28"/>
          <w:highlight w:val="none"/>
          <w:lang w:val="en-US" w:eastAsia="zh-CN" w:bidi="ar"/>
        </w:rPr>
        <w:t>6.2-2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6.2-1</w:t>
      </w:r>
      <w:r>
        <w:rPr>
          <w:rFonts w:hint="eastAsia" w:ascii="Times New Roman" w:hAnsi="Times New Roman" w:eastAsia="宋体" w:cs="Times New Roman"/>
          <w:b/>
          <w:bCs/>
          <w:color w:val="auto"/>
          <w:kern w:val="0"/>
          <w:sz w:val="24"/>
          <w:szCs w:val="24"/>
          <w:highlight w:val="none"/>
          <w:lang w:val="en-US" w:eastAsia="zh-CN" w:bidi="ar"/>
        </w:rPr>
        <w:t>“三同时”项目一览表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7"/>
        <w:gridCol w:w="885"/>
        <w:gridCol w:w="587"/>
        <w:gridCol w:w="870"/>
        <w:gridCol w:w="2876"/>
        <w:gridCol w:w="26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39"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污染防治内容</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环保措施</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验收标准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废气</w:t>
            </w: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施工期扬尘</w:t>
            </w:r>
            <w:r>
              <w:rPr>
                <w:rFonts w:hint="eastAsia" w:ascii="Times New Roman" w:hAnsi="Times New Roman" w:cs="Times New Roman"/>
                <w:color w:val="auto"/>
                <w:sz w:val="24"/>
                <w:szCs w:val="24"/>
                <w:highlight w:val="none"/>
                <w:vertAlign w:val="baseline"/>
                <w:lang w:val="en-US" w:eastAsia="zh-CN"/>
              </w:rPr>
              <w:t>、固井水泥粉尘</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井场洒水抑尘，表土及建材堆放设置挡风板、上覆遮盖材料，施工运输车辆采取密闭措施或加盖防尘布</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满足《大气污染物综合排放标准》（GB16297-1996）颗粒物无组织排放限值1.0mg/m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柴油发电机燃烧烟气</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使用低标号柴油，调节好柴油机运行工况，加强柴油机保养，启用柴油机配备的尾气净化装置</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尾气排放满足《非道路柴油移动机械排气烟度限值及测量方法》（GB36886-2018）规定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试气火炬燃烧烟气</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试气时间短，井场设置在空旷地带，燃烧烟气随即飘散</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废水</w:t>
            </w: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生活污水进入施工营地设置的防渗生活污水池，施工结束后进行卫生处理，场地进行平整</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生活污水进入施工营地设置的防渗生活污水池，施工结束后进行卫生处理，场地进行平整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一般钻井污水</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由罐车拉运至黑龙江</w:t>
            </w:r>
            <w:r>
              <w:rPr>
                <w:rFonts w:hint="default" w:ascii="Times New Roman" w:hAnsi="Times New Roman" w:cs="Times New Roman"/>
                <w:color w:val="auto"/>
                <w:sz w:val="24"/>
                <w:szCs w:val="24"/>
                <w:highlight w:val="none"/>
                <w:vertAlign w:val="baseline"/>
                <w:lang w:val="en-US" w:eastAsia="zh-CN"/>
              </w:rPr>
              <w:t>龙之润五厂处理站处理</w:t>
            </w:r>
            <w:r>
              <w:rPr>
                <w:rFonts w:hint="eastAsia" w:ascii="Times New Roman" w:hAnsi="Times New Roman" w:cs="Times New Roman"/>
                <w:color w:val="auto"/>
                <w:sz w:val="24"/>
                <w:szCs w:val="24"/>
                <w:highlight w:val="none"/>
                <w:vertAlign w:val="baseline"/>
                <w:lang w:val="en-US" w:eastAsia="zh-CN"/>
              </w:rPr>
              <w:t>，泥浆处理产生的滤液水</w:t>
            </w:r>
            <w:r>
              <w:rPr>
                <w:rFonts w:hint="default" w:ascii="Times New Roman" w:hAnsi="Times New Roman" w:cs="Times New Roman"/>
                <w:color w:val="auto"/>
                <w:sz w:val="24"/>
                <w:szCs w:val="24"/>
                <w:highlight w:val="none"/>
                <w:vertAlign w:val="baseline"/>
                <w:lang w:val="en-US" w:eastAsia="zh-CN"/>
              </w:rPr>
              <w:t>由罐车送至杏十五一联合站污水处理站处理</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含油钻井废水</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由罐车拉运至废弃泥浆无害化处理油基泥浆站处理，处理产生的滤液水</w:t>
            </w:r>
            <w:r>
              <w:rPr>
                <w:rFonts w:hint="default" w:ascii="Times New Roman" w:hAnsi="Times New Roman" w:cs="Times New Roman"/>
                <w:color w:val="auto"/>
                <w:sz w:val="24"/>
                <w:szCs w:val="24"/>
                <w:highlight w:val="none"/>
                <w:vertAlign w:val="baseline"/>
                <w:lang w:val="en-US" w:eastAsia="zh-CN"/>
              </w:rPr>
              <w:t>由</w:t>
            </w:r>
            <w:r>
              <w:rPr>
                <w:rFonts w:hint="eastAsia" w:ascii="Times New Roman" w:hAnsi="Times New Roman" w:cs="Times New Roman"/>
                <w:color w:val="auto"/>
                <w:sz w:val="24"/>
                <w:szCs w:val="24"/>
                <w:highlight w:val="none"/>
                <w:vertAlign w:val="baseline"/>
                <w:lang w:val="en-US" w:eastAsia="zh-CN"/>
              </w:rPr>
              <w:t>罐车运至龙一联含油污水站处理</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压裂返排液</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由罐车拉运至哈19卸液站</w:t>
            </w:r>
            <w:r>
              <w:rPr>
                <w:rFonts w:hint="eastAsia" w:ascii="Times New Roman" w:hAnsi="Times New Roman" w:cs="Times New Roman"/>
                <w:color w:val="auto"/>
                <w:sz w:val="24"/>
                <w:szCs w:val="24"/>
                <w:highlight w:val="none"/>
                <w:vertAlign w:val="baseline"/>
                <w:lang w:val="en-US" w:eastAsia="zh-CN"/>
              </w:rPr>
              <w:t>处理</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试气采出液</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经计量池计量后贮存于储液罐内，最终拉运至升一联气田污水预处理站处理后回注现役油层</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w:t>
            </w: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井场噪声</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选用低噪声机械、合理布局、振动筛等基础减振</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满足《建筑施工场界环境噪声排放标准》（GB12523-2011）限值，昼间≤70dB（A），夜间≤55dB（A）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固体废物</w:t>
            </w: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生活垃圾</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统一收集后，</w:t>
            </w:r>
            <w:r>
              <w:rPr>
                <w:rFonts w:hint="default" w:ascii="Times New Roman" w:hAnsi="Times New Roman" w:cs="Times New Roman"/>
                <w:color w:val="auto"/>
                <w:sz w:val="24"/>
                <w:szCs w:val="24"/>
                <w:highlight w:val="none"/>
                <w:vertAlign w:val="baseline"/>
                <w:lang w:val="en-US" w:eastAsia="zh-CN"/>
              </w:rPr>
              <w:t>委托大庆三联实业有限公司拉运处置</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执行《城市生活垃圾管理办法》（中华人民共和国建设部令第157号令）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一般固废包装袋、一般防渗布</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统一收集后送大庆市岗源环保科技有限责任公司工业废弃物处置中心处置</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参照执行《一般工业固体废物贮存和填埋污染控制标准》（GB18599-2020）要求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废射孔液、水基岩屑、废弃水基钻井液</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由罐车拉运至黑龙江</w:t>
            </w:r>
            <w:r>
              <w:rPr>
                <w:rFonts w:hint="default" w:ascii="Times New Roman" w:hAnsi="Times New Roman" w:cs="Times New Roman"/>
                <w:color w:val="auto"/>
                <w:sz w:val="24"/>
                <w:szCs w:val="24"/>
                <w:highlight w:val="none"/>
                <w:vertAlign w:val="baseline"/>
                <w:lang w:val="en-US" w:eastAsia="zh-CN"/>
              </w:rPr>
              <w:t>龙之润五厂处理站处理</w:t>
            </w:r>
            <w:r>
              <w:rPr>
                <w:rFonts w:hint="eastAsia" w:ascii="Times New Roman" w:hAnsi="Times New Roman" w:cs="Times New Roman"/>
                <w:color w:val="auto"/>
                <w:sz w:val="24"/>
                <w:szCs w:val="24"/>
                <w:highlight w:val="none"/>
                <w:vertAlign w:val="baseline"/>
                <w:lang w:val="en-US" w:eastAsia="zh-CN"/>
              </w:rPr>
              <w:t>，处理后废渣由油田统一调配，用于井场平整及道路建设等综合利用</w:t>
            </w:r>
          </w:p>
        </w:tc>
        <w:tc>
          <w:tcPr>
            <w:tcW w:w="263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《废弃钻井液处理规范》（DB23/T693-2000）</w:t>
            </w:r>
            <w:r>
              <w:rPr>
                <w:rFonts w:hint="eastAsia" w:ascii="Times New Roman" w:hAnsi="Times New Roman" w:cs="Times New Roman"/>
                <w:color w:val="auto"/>
                <w:sz w:val="24"/>
                <w:szCs w:val="24"/>
                <w:highlight w:val="none"/>
                <w:vertAlign w:val="baseline"/>
                <w:lang w:val="en-US" w:eastAsia="zh-CN"/>
              </w:rPr>
              <w:t>及</w:t>
            </w:r>
            <w:r>
              <w:rPr>
                <w:rFonts w:hint="default" w:ascii="Times New Roman" w:hAnsi="Times New Roman" w:cs="Times New Roman"/>
                <w:color w:val="auto"/>
                <w:sz w:val="24"/>
                <w:szCs w:val="24"/>
                <w:highlight w:val="none"/>
                <w:vertAlign w:val="baseline"/>
                <w:lang w:val="en-US" w:eastAsia="zh-CN"/>
              </w:rPr>
              <w:t>《一般工业固体废物贮存和填埋污染控制标准》（GB18599-2020）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油基岩屑、废弃油基钻井液</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由罐车拉运至废弃泥浆无害化处理油基泥浆站处理，处理后废渣由油田统一调配，用于井场平整及道路建设等综合利用</w:t>
            </w:r>
          </w:p>
        </w:tc>
        <w:tc>
          <w:tcPr>
            <w:tcW w:w="263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废弃过硫酸钾和氢氧化钾包装袋、含油防渗布</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放在制定容器内，委托有资质单位处理</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委托有资质单位处理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地下水保护</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一般防渗区</w:t>
            </w:r>
          </w:p>
        </w:tc>
        <w:tc>
          <w:tcPr>
            <w:tcW w:w="145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生活污水池、水基钢制泥浆槽、材料房、计量池、储液罐、压裂液罐</w:t>
            </w:r>
          </w:p>
        </w:tc>
        <w:tc>
          <w:tcPr>
            <w:tcW w:w="550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铺设人工防渗膜，防渗性能等效</w:t>
            </w:r>
            <w:r>
              <w:rPr>
                <w:rFonts w:hint="default" w:ascii="Times New Roman" w:hAnsi="Times New Roman" w:cs="Times New Roman"/>
                <w:color w:val="auto"/>
                <w:sz w:val="24"/>
                <w:szCs w:val="24"/>
                <w:highlight w:val="none"/>
                <w:vertAlign w:val="baseline"/>
                <w:lang w:val="en-US" w:eastAsia="zh-CN"/>
              </w:rPr>
              <w:t>Mb≥1.5</w:t>
            </w:r>
            <w:r>
              <w:rPr>
                <w:rFonts w:hint="eastAsia"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baseline"/>
                <w:lang w:val="en-US" w:eastAsia="zh-CN"/>
              </w:rPr>
              <w:t>K≤1.0×10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vertAlign w:val="baseline"/>
                <w:lang w:val="en-US" w:eastAsia="zh-CN"/>
              </w:rPr>
              <w:t>cm/s</w:t>
            </w:r>
            <w:r>
              <w:rPr>
                <w:rFonts w:hint="eastAsia" w:ascii="Times New Roman" w:hAnsi="Times New Roman" w:cs="Times New Roman"/>
                <w:color w:val="auto"/>
                <w:sz w:val="24"/>
                <w:szCs w:val="24"/>
                <w:highlight w:val="none"/>
                <w:vertAlign w:val="baseline"/>
                <w:lang w:val="en-US" w:eastAsia="zh-CN"/>
              </w:rPr>
              <w:t>黏土防渗层，满足《环境影响评价技术导则 地下水环境》（</w:t>
            </w:r>
            <w:r>
              <w:rPr>
                <w:rFonts w:hint="default" w:ascii="Times New Roman" w:hAnsi="Times New Roman" w:cs="Times New Roman"/>
                <w:color w:val="auto"/>
                <w:sz w:val="24"/>
                <w:szCs w:val="24"/>
                <w:highlight w:val="none"/>
                <w:vertAlign w:val="baseline"/>
                <w:lang w:val="en-US" w:eastAsia="zh-CN"/>
              </w:rPr>
              <w:t>HJ610-2016</w:t>
            </w:r>
            <w:r>
              <w:rPr>
                <w:rFonts w:hint="eastAsia" w:ascii="Times New Roman" w:hAnsi="Times New Roman" w:cs="Times New Roman"/>
                <w:color w:val="auto"/>
                <w:sz w:val="24"/>
                <w:szCs w:val="24"/>
                <w:highlight w:val="none"/>
                <w:vertAlign w:val="baseline"/>
                <w:lang w:val="en-US" w:eastAsia="zh-CN"/>
              </w:rPr>
              <w:t>）防渗分区要求，在防渗工程施工时留存影像资料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重点防渗区</w:t>
            </w:r>
          </w:p>
        </w:tc>
        <w:tc>
          <w:tcPr>
            <w:tcW w:w="145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油基钢制泥浆槽、柴油罐区、放喷池防渗</w:t>
            </w:r>
          </w:p>
        </w:tc>
        <w:tc>
          <w:tcPr>
            <w:tcW w:w="5507"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铺设人工防渗膜，防渗系数</w:t>
            </w:r>
            <w:r>
              <w:rPr>
                <w:rFonts w:hint="default" w:ascii="Times New Roman" w:hAnsi="Times New Roman" w:cs="Times New Roman"/>
                <w:color w:val="auto"/>
                <w:sz w:val="24"/>
                <w:szCs w:val="24"/>
                <w:highlight w:val="none"/>
                <w:vertAlign w:val="baseline"/>
                <w:lang w:val="en-US" w:eastAsia="zh-CN"/>
              </w:rPr>
              <w:t>K≤1.0×10</w:t>
            </w:r>
            <w:r>
              <w:rPr>
                <w:rFonts w:hint="default" w:ascii="Times New Roman" w:hAnsi="Times New Roman" w:cs="Times New Roman"/>
                <w:color w:val="auto"/>
                <w:sz w:val="24"/>
                <w:szCs w:val="24"/>
                <w:highlight w:val="none"/>
                <w:vertAlign w:val="superscript"/>
                <w:lang w:val="en-US" w:eastAsia="zh-CN"/>
              </w:rPr>
              <w:t>-</w:t>
            </w:r>
            <w:r>
              <w:rPr>
                <w:rFonts w:hint="eastAsia" w:ascii="Times New Roman" w:hAnsi="Times New Roman" w:cs="Times New Roman"/>
                <w:color w:val="auto"/>
                <w:sz w:val="24"/>
                <w:szCs w:val="24"/>
                <w:highlight w:val="none"/>
                <w:vertAlign w:val="superscript"/>
                <w:lang w:val="en-US" w:eastAsia="zh-CN"/>
              </w:rPr>
              <w:t>10</w:t>
            </w:r>
            <w:r>
              <w:rPr>
                <w:rFonts w:hint="default" w:ascii="Times New Roman" w:hAnsi="Times New Roman" w:cs="Times New Roman"/>
                <w:color w:val="auto"/>
                <w:sz w:val="24"/>
                <w:szCs w:val="24"/>
                <w:highlight w:val="none"/>
                <w:vertAlign w:val="baseline"/>
                <w:lang w:val="en-US" w:eastAsia="zh-CN"/>
              </w:rPr>
              <w:t>cm/s</w:t>
            </w:r>
            <w:r>
              <w:rPr>
                <w:rFonts w:hint="eastAsia" w:ascii="Times New Roman" w:hAnsi="Times New Roman" w:cs="Times New Roman"/>
                <w:color w:val="auto"/>
                <w:sz w:val="24"/>
                <w:szCs w:val="24"/>
                <w:highlight w:val="none"/>
                <w:vertAlign w:val="baseline"/>
                <w:lang w:val="en-US" w:eastAsia="zh-CN"/>
              </w:rPr>
              <w:t>，满足《环境影响评价技术导则 地下水环境》（</w:t>
            </w:r>
            <w:r>
              <w:rPr>
                <w:rFonts w:hint="default" w:ascii="Times New Roman" w:hAnsi="Times New Roman" w:cs="Times New Roman"/>
                <w:color w:val="auto"/>
                <w:sz w:val="24"/>
                <w:szCs w:val="24"/>
                <w:highlight w:val="none"/>
                <w:vertAlign w:val="baseline"/>
                <w:lang w:val="en-US" w:eastAsia="zh-CN"/>
              </w:rPr>
              <w:t>HJ610-2016</w:t>
            </w:r>
            <w:r>
              <w:rPr>
                <w:rFonts w:hint="eastAsia" w:ascii="Times New Roman" w:hAnsi="Times New Roman" w:cs="Times New Roman"/>
                <w:color w:val="auto"/>
                <w:sz w:val="24"/>
                <w:szCs w:val="24"/>
                <w:highlight w:val="none"/>
                <w:vertAlign w:val="baseline"/>
                <w:lang w:val="en-US" w:eastAsia="zh-CN"/>
              </w:rPr>
              <w:t>）重点防渗区防渗技术要求，在防渗工程施工时留存影像资料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地下水跟踪监测</w:t>
            </w:r>
          </w:p>
        </w:tc>
        <w:tc>
          <w:tcPr>
            <w:tcW w:w="374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设置3口地下水跟踪监测井，分别为李珍窝棚水井（g125.281343，45.811839，上游），三门董家水井（井场下游，坐标为：g125.275417，45.805872），托平等村水井（g125.291883，45.785324）监测频次为1次/半年</w:t>
            </w:r>
          </w:p>
        </w:tc>
        <w:tc>
          <w:tcPr>
            <w:tcW w:w="263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地下水水质执行《地下水质量标准》（GB/T14848-2017）III类标准</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石油类参照《地表水环境质量标准》（GB3838-2002）中III类标准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生态保护</w:t>
            </w: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临时占地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恢复</w:t>
            </w:r>
          </w:p>
        </w:tc>
        <w:tc>
          <w:tcPr>
            <w:tcW w:w="637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对临时占地进行表土留存，分层回填，整平翻松，耕地复垦。临时占地的生态恢复需要留有恢复前后对比的影像资料；对临时占用基本农田，造成的农作物经济损失，进行赔偿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永久占地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补偿</w:t>
            </w:r>
          </w:p>
        </w:tc>
        <w:tc>
          <w:tcPr>
            <w:tcW w:w="637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对永久占用的耕地进行补偿，专款用于开垦新的耕地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防沙治沙</w:t>
            </w:r>
          </w:p>
        </w:tc>
        <w:tc>
          <w:tcPr>
            <w:tcW w:w="6377" w:type="dxa"/>
            <w:gridSpan w:val="3"/>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尽量减少临时占地面积，减少对地表植被的破坏。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尽快恢复土地生产能力。施工过程中尽量保护土地资源，不打乱土层，先挖表土层（</w:t>
            </w:r>
            <w:r>
              <w:rPr>
                <w:rFonts w:hint="eastAsia" w:ascii="Times New Roman" w:hAnsi="Times New Roman" w:cs="Times New Roman"/>
                <w:color w:val="auto"/>
                <w:sz w:val="24"/>
                <w:szCs w:val="24"/>
                <w:highlight w:val="none"/>
                <w:vertAlign w:val="baseline"/>
                <w:lang w:val="en-US" w:eastAsia="zh-CN"/>
              </w:rPr>
              <w:t>3</w:t>
            </w:r>
            <w:r>
              <w:rPr>
                <w:rFonts w:hint="default" w:ascii="Times New Roman" w:hAnsi="Times New Roman" w:cs="Times New Roman"/>
                <w:color w:val="auto"/>
                <w:sz w:val="24"/>
                <w:szCs w:val="24"/>
                <w:highlight w:val="none"/>
                <w:vertAlign w:val="baseline"/>
                <w:lang w:val="en-US" w:eastAsia="zh-CN"/>
              </w:rPr>
              <w:t>0cm左右）单独堆放；然后挖心、底土层另外堆放。复原时先填心、底土，后平覆表土，以便尽快恢复土地</w:t>
            </w:r>
            <w:r>
              <w:rPr>
                <w:rFonts w:hint="eastAsia" w:ascii="Times New Roman" w:hAnsi="Times New Roman" w:cs="Times New Roman"/>
                <w:color w:val="auto"/>
                <w:sz w:val="24"/>
                <w:szCs w:val="24"/>
                <w:highlight w:val="none"/>
                <w:vertAlign w:val="baseline"/>
                <w:lang w:val="en-US" w:eastAsia="zh-CN"/>
              </w:rPr>
              <w:t>原有农作物</w:t>
            </w:r>
            <w:r>
              <w:rPr>
                <w:rFonts w:hint="default"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水土流失防治措施</w:t>
            </w:r>
          </w:p>
        </w:tc>
        <w:tc>
          <w:tcPr>
            <w:tcW w:w="637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场界周围设施防尘围挡，井场、柴油储罐区、压裂液罐、生活污水及泥浆槽周围设置排水沟，临时堆放的土方设置水土保持毯，产生的建筑垃圾及时清运。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7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黑土地保护措施</w:t>
            </w:r>
          </w:p>
        </w:tc>
        <w:tc>
          <w:tcPr>
            <w:tcW w:w="6377"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按照“占多少，垦多少”的原则，由建设单位负责开垦与所占用耕地的数量和质量相当的耕地；设置专款用于开垦新的耕地。表土剥离和利用严格执行《建设占用耕地耕作层土壤剥离利用技术规范》（</w:t>
            </w:r>
            <w:r>
              <w:rPr>
                <w:rFonts w:hint="default" w:ascii="Times New Roman" w:hAnsi="Times New Roman" w:cs="Times New Roman"/>
                <w:color w:val="auto"/>
                <w:sz w:val="24"/>
                <w:szCs w:val="24"/>
                <w:highlight w:val="none"/>
                <w:vertAlign w:val="baseline"/>
                <w:lang w:val="en-US" w:eastAsia="zh-CN"/>
              </w:rPr>
              <w:t>DB23/T2913-2021</w:t>
            </w:r>
            <w:r>
              <w:rPr>
                <w:rFonts w:hint="eastAsia" w:ascii="Times New Roman" w:hAnsi="Times New Roman" w:cs="Times New Roman"/>
                <w:color w:val="auto"/>
                <w:sz w:val="24"/>
                <w:szCs w:val="24"/>
                <w:highlight w:val="none"/>
                <w:vertAlign w:val="baseline"/>
                <w:lang w:val="en-US" w:eastAsia="zh-CN"/>
              </w:rPr>
              <w:t>）及《黑龙江省人民政府办公厅关于建设占用耕地耕作层土壤剥离利用工作的指导意见》（黑政办规〔2021〕18号）；堆土表面设纱网或草栅覆盖，防止出现水土流失，施工结束后运回原位分层回填</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6.2-2</w:t>
      </w:r>
      <w:r>
        <w:rPr>
          <w:rFonts w:hint="eastAsia" w:ascii="Times New Roman" w:hAnsi="Times New Roman" w:eastAsia="宋体" w:cs="Times New Roman"/>
          <w:b/>
          <w:bCs/>
          <w:color w:val="auto"/>
          <w:kern w:val="0"/>
          <w:sz w:val="24"/>
          <w:szCs w:val="24"/>
          <w:highlight w:val="none"/>
          <w:lang w:val="en-US" w:eastAsia="zh-CN" w:bidi="ar"/>
        </w:rPr>
        <w:t>竣工验收监测与调查主要内容</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79"/>
        <w:gridCol w:w="69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项目</w:t>
            </w: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环境保护管理检查</w:t>
            </w: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项目各阶段环境保护法律、法规、规章制度的执行情况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环境保护审批手续及环境保护档案资料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环保组织机构及规章管理制度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本项目占地生态恢复、占地补偿等措施的落实情况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本项目环评报告及其批复提出的环保措施落实情况及其效果</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本项目事故风险的环保应急计划，包括物质配备、防范措施，</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应急处置等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施工期扰民现象的调查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固体废物种类、产生量、处理处置情况、综合利用情况；危险</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废物转移和处置的管理情况，执行危险废物转移联单制度情况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污染物达标排放监测</w:t>
            </w: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项目废水及固体废物的处置去向；处置量；是否达标排放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环境保护敏感点环境质量监测</w:t>
            </w: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拟建井场占地土壤，井场周边耕地土壤，周围村屯噪声、环境空气及地下水环境质量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生态调查主要内容</w:t>
            </w: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项目在施工期落实环境影响评价、工程设计文件以及各级环境</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保护行政主管部门批复文件中生态保护措施的情况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永久占地补偿0.48</w:t>
            </w:r>
            <w:r>
              <w:rPr>
                <w:rFonts w:hint="default" w:ascii="Times New Roman" w:hAnsi="Times New Roman" w:cs="Times New Roman"/>
                <w:color w:val="auto"/>
                <w:sz w:val="24"/>
                <w:szCs w:val="24"/>
                <w:highlight w:val="none"/>
                <w:vertAlign w:val="baseli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、临时占地恢复2.64</w:t>
            </w:r>
            <w:r>
              <w:rPr>
                <w:rFonts w:hint="default" w:ascii="Times New Roman" w:hAnsi="Times New Roman" w:cs="Times New Roman"/>
                <w:color w:val="auto"/>
                <w:sz w:val="24"/>
                <w:szCs w:val="24"/>
                <w:highlight w:val="none"/>
                <w:vertAlign w:val="baseline"/>
                <w:lang w:val="en-US" w:eastAsia="zh-CN"/>
              </w:rPr>
              <w:t>hm</w:t>
            </w:r>
            <w:r>
              <w:rPr>
                <w:rFonts w:hint="default" w:ascii="Times New Roman" w:hAnsi="Times New Roman" w:cs="Times New Roman"/>
                <w:color w:val="auto"/>
                <w:sz w:val="24"/>
                <w:szCs w:val="24"/>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69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针对环境破坏或潜在环境影响提出补救措施的落实情况</w:t>
            </w:r>
          </w:p>
        </w:tc>
      </w:tr>
    </w:tbl>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198" w:name="_Toc17573"/>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6.3</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环保投资估算</w:t>
      </w:r>
      <w:bookmarkEnd w:id="198"/>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本项目总投资20466.4万元，其中环保投资265万元，环保投资占总投资的1.29</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；工程环保投资主要用于钻井作业期间废气治理、废水回收、固废处理、井场渗及作业结束后的场地生态恢复工作，本项目环保投资情况详见表</w:t>
      </w:r>
      <w:r>
        <w:rPr>
          <w:rFonts w:hint="default" w:ascii="Times New Roman" w:hAnsi="Times New Roman" w:eastAsia="宋体" w:cs="Times New Roman"/>
          <w:color w:val="auto"/>
          <w:kern w:val="0"/>
          <w:sz w:val="28"/>
          <w:szCs w:val="28"/>
          <w:highlight w:val="none"/>
          <w:lang w:val="en-US" w:eastAsia="zh-CN" w:bidi="ar"/>
        </w:rPr>
        <w:t>6.3-1</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6.3-1</w:t>
      </w:r>
      <w:r>
        <w:rPr>
          <w:rFonts w:hint="eastAsia" w:ascii="Times New Roman" w:hAnsi="Times New Roman" w:eastAsia="宋体" w:cs="Times New Roman"/>
          <w:b/>
          <w:bCs/>
          <w:color w:val="auto"/>
          <w:kern w:val="0"/>
          <w:sz w:val="24"/>
          <w:szCs w:val="24"/>
          <w:highlight w:val="none"/>
          <w:lang w:val="en-US" w:eastAsia="zh-CN" w:bidi="ar"/>
        </w:rPr>
        <w:t>环保工程投资估算情况</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0"/>
        <w:gridCol w:w="1119"/>
        <w:gridCol w:w="4088"/>
        <w:gridCol w:w="1155"/>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环保工程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名称</w:t>
            </w: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措施内容</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环保</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投资</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45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施工期</w:t>
            </w:r>
          </w:p>
        </w:tc>
        <w:tc>
          <w:tcPr>
            <w:tcW w:w="11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废气</w:t>
            </w: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洒水抑尘、设置遮盖</w:t>
            </w:r>
            <w:r>
              <w:rPr>
                <w:rFonts w:hint="eastAsia" w:ascii="Times New Roman" w:hAnsi="Times New Roman" w:cs="Times New Roman"/>
                <w:color w:val="auto"/>
                <w:sz w:val="24"/>
                <w:szCs w:val="24"/>
                <w:highlight w:val="none"/>
                <w:vertAlign w:val="baseline"/>
                <w:lang w:val="en-US" w:eastAsia="zh-CN"/>
              </w:rPr>
              <w:t>纱网或草栅</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0.5</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废水</w:t>
            </w: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施工期生活污水排入施工场地设置的防渗生活污水池，施工结束清掏后进行卫生填埋</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按照每座井场0.5万元计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钻井</w:t>
            </w:r>
            <w:r>
              <w:rPr>
                <w:rFonts w:hint="eastAsia" w:ascii="Times New Roman" w:hAnsi="Times New Roman" w:cs="Times New Roman"/>
                <w:color w:val="auto"/>
                <w:sz w:val="24"/>
                <w:szCs w:val="24"/>
                <w:highlight w:val="none"/>
                <w:vertAlign w:val="baseline"/>
                <w:lang w:val="en-US" w:eastAsia="zh-CN"/>
              </w:rPr>
              <w:t>污水暂存于钢制泥浆槽，由罐车拉运委托处理</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按照每座井场3万元计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压裂返排液和试气采出液分别暂存于储罐中，由罐车拉运委托处理</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60</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按照每座井场20万元计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固体</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废物</w:t>
            </w: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废弃水基</w:t>
            </w:r>
            <w:r>
              <w:rPr>
                <w:rFonts w:hint="default" w:ascii="Times New Roman" w:hAnsi="Times New Roman" w:cs="Times New Roman"/>
                <w:color w:val="auto"/>
                <w:sz w:val="24"/>
                <w:szCs w:val="24"/>
                <w:highlight w:val="none"/>
                <w:vertAlign w:val="baseline"/>
                <w:lang w:val="en-US" w:eastAsia="zh-CN"/>
              </w:rPr>
              <w:t>钻井液、</w:t>
            </w:r>
            <w:r>
              <w:rPr>
                <w:rFonts w:hint="eastAsia" w:ascii="Times New Roman" w:hAnsi="Times New Roman" w:cs="Times New Roman"/>
                <w:color w:val="auto"/>
                <w:sz w:val="24"/>
                <w:szCs w:val="24"/>
                <w:highlight w:val="none"/>
                <w:vertAlign w:val="baseline"/>
                <w:lang w:val="en-US" w:eastAsia="zh-CN"/>
              </w:rPr>
              <w:t>水基</w:t>
            </w:r>
            <w:r>
              <w:rPr>
                <w:rFonts w:hint="default" w:ascii="Times New Roman" w:hAnsi="Times New Roman" w:cs="Times New Roman"/>
                <w:color w:val="auto"/>
                <w:sz w:val="24"/>
                <w:szCs w:val="24"/>
                <w:highlight w:val="none"/>
                <w:vertAlign w:val="baseline"/>
                <w:lang w:val="en-US" w:eastAsia="zh-CN"/>
              </w:rPr>
              <w:t>岩屑及废射孔液拉运至</w:t>
            </w:r>
            <w:r>
              <w:rPr>
                <w:rFonts w:hint="eastAsia" w:ascii="Times New Roman" w:hAnsi="Times New Roman" w:cs="Times New Roman"/>
                <w:color w:val="auto"/>
                <w:sz w:val="24"/>
                <w:szCs w:val="24"/>
                <w:highlight w:val="none"/>
                <w:vertAlign w:val="baseline"/>
                <w:lang w:val="en-US" w:eastAsia="zh-CN"/>
              </w:rPr>
              <w:t>黑龙江</w:t>
            </w:r>
            <w:r>
              <w:rPr>
                <w:rFonts w:hint="default" w:ascii="Times New Roman" w:hAnsi="Times New Roman" w:cs="Times New Roman"/>
                <w:color w:val="auto"/>
                <w:sz w:val="24"/>
                <w:szCs w:val="24"/>
                <w:highlight w:val="none"/>
                <w:vertAlign w:val="baseline"/>
                <w:lang w:val="en-US" w:eastAsia="zh-CN"/>
              </w:rPr>
              <w:t>龙之润五厂处理站处理</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20</w:t>
            </w:r>
          </w:p>
        </w:tc>
        <w:tc>
          <w:tcPr>
            <w:tcW w:w="170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按照每座井场10万元计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废弃水基</w:t>
            </w:r>
            <w:r>
              <w:rPr>
                <w:rFonts w:hint="default" w:ascii="Times New Roman" w:hAnsi="Times New Roman" w:cs="Times New Roman"/>
                <w:color w:val="auto"/>
                <w:sz w:val="24"/>
                <w:szCs w:val="24"/>
                <w:highlight w:val="none"/>
                <w:vertAlign w:val="baseline"/>
                <w:lang w:val="en-US" w:eastAsia="zh-CN"/>
              </w:rPr>
              <w:t>钻井液、</w:t>
            </w:r>
            <w:r>
              <w:rPr>
                <w:rFonts w:hint="eastAsia" w:ascii="Times New Roman" w:hAnsi="Times New Roman" w:cs="Times New Roman"/>
                <w:color w:val="auto"/>
                <w:sz w:val="24"/>
                <w:szCs w:val="24"/>
                <w:highlight w:val="none"/>
                <w:vertAlign w:val="baseline"/>
                <w:lang w:val="en-US" w:eastAsia="zh-CN"/>
              </w:rPr>
              <w:t>水基</w:t>
            </w:r>
            <w:r>
              <w:rPr>
                <w:rFonts w:hint="default" w:ascii="Times New Roman" w:hAnsi="Times New Roman" w:cs="Times New Roman"/>
                <w:color w:val="auto"/>
                <w:sz w:val="24"/>
                <w:szCs w:val="24"/>
                <w:highlight w:val="none"/>
                <w:vertAlign w:val="baseline"/>
                <w:lang w:val="en-US" w:eastAsia="zh-CN"/>
              </w:rPr>
              <w:t>岩屑</w:t>
            </w:r>
            <w:r>
              <w:rPr>
                <w:rFonts w:hint="eastAsia" w:ascii="Times New Roman" w:hAnsi="Times New Roman" w:cs="Times New Roman"/>
                <w:color w:val="auto"/>
                <w:sz w:val="24"/>
                <w:szCs w:val="24"/>
                <w:highlight w:val="none"/>
                <w:vertAlign w:val="baseline"/>
                <w:lang w:val="en-US" w:eastAsia="zh-CN"/>
              </w:rPr>
              <w:t>拉运至大庆市云泰石化产品有限公司建设的废弃泥浆无害化处理油基泥浆站处理</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170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危险废弃包装袋及含油防渗布委托有资质单位进行处置</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一般防渗布及一般固废包装袋统一收集后送大庆市岗源环保科技有限责任公司工业废弃物处置中心处置</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按照每座井场5万元计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生活垃圾统一收集，</w:t>
            </w:r>
            <w:r>
              <w:rPr>
                <w:rFonts w:hint="default" w:ascii="Times New Roman" w:hAnsi="Times New Roman" w:cs="Times New Roman"/>
                <w:color w:val="auto"/>
                <w:sz w:val="24"/>
                <w:szCs w:val="24"/>
                <w:highlight w:val="none"/>
                <w:vertAlign w:val="baseline"/>
                <w:lang w:val="en-US" w:eastAsia="zh-CN"/>
              </w:rPr>
              <w:t>委托大庆三联实业有限公司拉运处置</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w:t>
            </w: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钻机、柴油机等设备设置减振基座</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风险</w:t>
            </w: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建设一座放喷池，用于井喷时放空废气燃烧使用。</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按照每座井场1万元计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地下水分区防渗</w:t>
            </w: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井场地面进行平整压实，做简单防渗处理；水基钢制泥浆槽、生活污水池、材料房、计量池、储液罐、压裂液罐进行一般防渗，铺设人工防渗层，防渗系数</w:t>
            </w:r>
            <w:r>
              <w:rPr>
                <w:rFonts w:hint="default" w:ascii="Times New Roman" w:hAnsi="Times New Roman" w:cs="Times New Roman"/>
                <w:color w:val="auto"/>
                <w:sz w:val="24"/>
                <w:szCs w:val="24"/>
                <w:highlight w:val="none"/>
                <w:vertAlign w:val="baseline"/>
                <w:lang w:val="en-US" w:eastAsia="zh-CN"/>
              </w:rPr>
              <w:t>K≤1.0×10</w:t>
            </w:r>
            <w:r>
              <w:rPr>
                <w:rFonts w:hint="default" w:ascii="Times New Roman" w:hAnsi="Times New Roman" w:cs="Times New Roman"/>
                <w:color w:val="auto"/>
                <w:sz w:val="24"/>
                <w:szCs w:val="24"/>
                <w:highlight w:val="none"/>
                <w:vertAlign w:val="superscript"/>
                <w:lang w:val="en-US" w:eastAsia="zh-CN"/>
              </w:rPr>
              <w:t>-</w:t>
            </w:r>
            <w:r>
              <w:rPr>
                <w:rFonts w:hint="eastAsia" w:ascii="Times New Roman" w:hAnsi="Times New Roman" w:cs="Times New Roman"/>
                <w:color w:val="auto"/>
                <w:sz w:val="24"/>
                <w:szCs w:val="24"/>
                <w:highlight w:val="none"/>
                <w:vertAlign w:val="superscript"/>
                <w:lang w:val="en-US" w:eastAsia="zh-CN"/>
              </w:rPr>
              <w:t>10</w:t>
            </w:r>
            <w:r>
              <w:rPr>
                <w:rFonts w:hint="default" w:ascii="Times New Roman" w:hAnsi="Times New Roman" w:cs="Times New Roman"/>
                <w:color w:val="auto"/>
                <w:sz w:val="24"/>
                <w:szCs w:val="24"/>
                <w:highlight w:val="none"/>
                <w:vertAlign w:val="baseline"/>
                <w:lang w:val="en-US" w:eastAsia="zh-CN"/>
              </w:rPr>
              <w:t>cm/s</w:t>
            </w:r>
            <w:r>
              <w:rPr>
                <w:rFonts w:hint="eastAsia" w:ascii="Times New Roman" w:hAnsi="Times New Roman" w:cs="Times New Roman"/>
                <w:color w:val="auto"/>
                <w:sz w:val="24"/>
                <w:szCs w:val="24"/>
                <w:highlight w:val="none"/>
                <w:vertAlign w:val="baseline"/>
                <w:lang w:val="en-US" w:eastAsia="zh-CN"/>
              </w:rPr>
              <w:t>；油基钢制泥浆槽、柴油罐区、放喷池进行重点防渗，铺设人工防渗层，防渗性能等效</w:t>
            </w:r>
            <w:r>
              <w:rPr>
                <w:rFonts w:hint="default" w:ascii="Times New Roman" w:hAnsi="Times New Roman" w:cs="Times New Roman"/>
                <w:color w:val="auto"/>
                <w:sz w:val="24"/>
                <w:szCs w:val="24"/>
                <w:highlight w:val="none"/>
                <w:vertAlign w:val="baseline"/>
                <w:lang w:val="en-US" w:eastAsia="zh-CN"/>
              </w:rPr>
              <w:t>Mb≥</w:t>
            </w:r>
            <w:r>
              <w:rPr>
                <w:rFonts w:hint="eastAsia" w:ascii="Times New Roman" w:hAnsi="Times New Roman" w:cs="Times New Roman"/>
                <w:color w:val="auto"/>
                <w:sz w:val="24"/>
                <w:szCs w:val="24"/>
                <w:highlight w:val="none"/>
                <w:vertAlign w:val="baseline"/>
                <w:lang w:val="en-US" w:eastAsia="zh-CN"/>
              </w:rPr>
              <w:t>6.0</w:t>
            </w:r>
            <w:r>
              <w:rPr>
                <w:rFonts w:hint="default"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K≤1.0×10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vertAlign w:val="baseline"/>
                <w:lang w:val="en-US" w:eastAsia="zh-CN"/>
              </w:rPr>
              <w:t>cm/s</w:t>
            </w:r>
            <w:r>
              <w:rPr>
                <w:rFonts w:hint="eastAsia" w:ascii="Times New Roman" w:hAnsi="Times New Roman" w:cs="Times New Roman"/>
                <w:color w:val="auto"/>
                <w:sz w:val="24"/>
                <w:szCs w:val="24"/>
                <w:highlight w:val="none"/>
                <w:vertAlign w:val="baseline"/>
                <w:lang w:val="en-US" w:eastAsia="zh-CN"/>
              </w:rPr>
              <w:t>黏土防渗层</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60</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按照每座井场20万元计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生态</w:t>
            </w: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补偿临时占地2.64hm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，永久占地0.48hm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，及占地期间的农作物经济损失；防沙治沙及防治水土流失措施，水土保持毯及挖排水沟</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其中农作物经济赔偿27.29万元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69"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合计</w:t>
            </w:r>
          </w:p>
        </w:tc>
        <w:tc>
          <w:tcPr>
            <w:tcW w:w="40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265</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占工程总投资的1.29</w:t>
            </w:r>
            <w:r>
              <w:rPr>
                <w:rFonts w:hint="default" w:ascii="Times New Roman" w:hAnsi="Times New Roman" w:cs="Times New Roman"/>
                <w:color w:val="auto"/>
                <w:sz w:val="24"/>
                <w:szCs w:val="24"/>
                <w:highlight w:val="none"/>
                <w:vertAlign w:val="baseline"/>
                <w:lang w:val="en-US" w:eastAsia="zh-CN"/>
              </w:rPr>
              <w:t>%</w:t>
            </w:r>
          </w:p>
        </w:tc>
      </w:tr>
    </w:tbl>
    <w:p>
      <w:pPr>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br w:type="page"/>
      </w:r>
    </w:p>
    <w:p>
      <w:pPr>
        <w:pStyle w:val="5"/>
        <w:keepNext w:val="0"/>
        <w:keepLines w:val="0"/>
        <w:pageBreakBefore w:val="0"/>
        <w:numPr>
          <w:ilvl w:val="0"/>
          <w:numId w:val="0"/>
        </w:numPr>
        <w:tabs>
          <w:tab w:val="left" w:pos="1080"/>
        </w:tabs>
        <w:bidi w:val="0"/>
        <w:adjustRightInd w:val="0"/>
        <w:snapToGrid w:val="0"/>
        <w:spacing w:before="240" w:after="0" w:line="360" w:lineRule="auto"/>
        <w:ind w:left="0" w:firstLine="0" w:firstLineChars="0"/>
        <w:jc w:val="center"/>
        <w:rPr>
          <w:rFonts w:hint="eastAsia" w:ascii="Times New Roman" w:hAnsi="Times New Roman" w:eastAsia="宋体" w:cs="Times New Roman"/>
          <w:b/>
          <w:bCs/>
          <w:caps w:val="0"/>
          <w:smallCaps w:val="0"/>
          <w:color w:val="auto"/>
          <w:spacing w:val="0"/>
          <w:w w:val="100"/>
          <w:sz w:val="32"/>
          <w:szCs w:val="32"/>
          <w:highlight w:val="none"/>
          <w:lang w:val="en-US" w:eastAsia="zh-CN"/>
        </w:rPr>
      </w:pPr>
      <w:bookmarkStart w:id="199" w:name="_Toc12661"/>
      <w:r>
        <w:rPr>
          <w:rFonts w:hint="eastAsia" w:ascii="Times New Roman" w:hAnsi="Times New Roman" w:eastAsia="宋体" w:cs="Times New Roman"/>
          <w:b/>
          <w:bCs/>
          <w:caps w:val="0"/>
          <w:smallCaps w:val="0"/>
          <w:color w:val="auto"/>
          <w:spacing w:val="0"/>
          <w:w w:val="100"/>
          <w:sz w:val="32"/>
          <w:szCs w:val="32"/>
          <w:highlight w:val="none"/>
          <w:lang w:val="en-US" w:eastAsia="zh-CN"/>
        </w:rPr>
        <w:t>第七章   环境影响经济损益分析</w:t>
      </w:r>
      <w:bookmarkEnd w:id="199"/>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衡量一个建设项目的效益，除经济效益外，还有社会效益和环境效益。经济效益比较直观，可以用货币形式直接计算出来，而社会效益和环境效益则很难用货币的形式表现出来。环境经济损益分析主要是评价建设项目实施后对环境造成的损失费用和采取各种环保治理措施所能收到的环保效果及其带来的经济效益、社会效益和环境效益，实现社会效益、经济效益、环境效益的三统一，为项目行政管理部门的决策提供依据。</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00" w:name="_Toc19257"/>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7.1</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经济效益分析</w:t>
      </w:r>
      <w:bookmarkEnd w:id="200"/>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本项目为钻井工程，属于油田产能项目的前期工程，总投资为20466.4万元，其经济效益包含在后续的地面建设工程内。</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01" w:name="_Toc19591"/>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7.2</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环境损失费估算</w:t>
      </w:r>
      <w:bookmarkEnd w:id="201"/>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由于施工作业需要占用耕地土地，而且由此产生的污染物对周围环境也会造成一定污染，因此引起的环境损失费往往很难直接用经济价值来计算，因此，我们仅用粮食损失费来估算。本项目占用耕地主要经济作物为玉米，根据生态影响分析，该项目投产后临时占地与永久占地造成的粮食损失如果以玉米计，玉米按</w:t>
      </w:r>
      <w:r>
        <w:rPr>
          <w:rFonts w:hint="default" w:ascii="Times New Roman" w:hAnsi="Times New Roman" w:eastAsia="宋体" w:cs="Times New Roman"/>
          <w:color w:val="auto"/>
          <w:kern w:val="0"/>
          <w:sz w:val="28"/>
          <w:szCs w:val="28"/>
          <w:highlight w:val="none"/>
          <w:lang w:val="en-US" w:eastAsia="zh-CN" w:bidi="ar"/>
        </w:rPr>
        <w:t>2200</w:t>
      </w:r>
      <w:r>
        <w:rPr>
          <w:rFonts w:hint="eastAsia" w:ascii="Times New Roman" w:hAnsi="Times New Roman" w:eastAsia="宋体" w:cs="Times New Roman"/>
          <w:color w:val="auto"/>
          <w:kern w:val="0"/>
          <w:sz w:val="28"/>
          <w:szCs w:val="28"/>
          <w:highlight w:val="none"/>
          <w:lang w:val="en-US" w:eastAsia="zh-CN" w:bidi="ar"/>
        </w:rPr>
        <w:t>元</w:t>
      </w:r>
      <w:r>
        <w:rPr>
          <w:rFonts w:hint="default" w:ascii="Times New Roman" w:hAnsi="Times New Roman" w:eastAsia="宋体" w:cs="Times New Roman"/>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吨计，则投产永久占地十年间粮食损失为10.30万元，临时占地3年间粮食损失为16.99万元。</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02" w:name="_Toc20286"/>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7.3</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社会效益分析</w:t>
      </w:r>
      <w:bookmarkEnd w:id="202"/>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社会经济环境的协调发展。</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03" w:name="_Toc7138"/>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7.4</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分析结论</w:t>
      </w:r>
      <w:bookmarkEnd w:id="203"/>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的建设不仅具有较好的经济效益和较强的抗风险能力，而且对当地的经济和社会发展也有良好的促进作用，在采取有效的环保措施后，不会对工程所在区域内的环境产生太大的影响，能够使本工程的建设做到经济效益、环境效益与社会效益的统一。</w:t>
      </w:r>
    </w:p>
    <w:p>
      <w:pPr>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br w:type="page"/>
      </w:r>
    </w:p>
    <w:p>
      <w:pPr>
        <w:pStyle w:val="5"/>
        <w:keepNext w:val="0"/>
        <w:keepLines w:val="0"/>
        <w:pageBreakBefore w:val="0"/>
        <w:numPr>
          <w:ilvl w:val="0"/>
          <w:numId w:val="0"/>
        </w:numPr>
        <w:tabs>
          <w:tab w:val="left" w:pos="1080"/>
        </w:tabs>
        <w:bidi w:val="0"/>
        <w:adjustRightInd w:val="0"/>
        <w:snapToGrid w:val="0"/>
        <w:spacing w:before="240" w:after="0" w:line="360" w:lineRule="auto"/>
        <w:ind w:left="0" w:firstLine="0" w:firstLineChars="0"/>
        <w:jc w:val="center"/>
        <w:rPr>
          <w:rFonts w:hint="eastAsia" w:ascii="Times New Roman" w:hAnsi="Times New Roman" w:eastAsia="宋体" w:cs="Times New Roman"/>
          <w:b/>
          <w:bCs/>
          <w:caps w:val="0"/>
          <w:smallCaps w:val="0"/>
          <w:color w:val="auto"/>
          <w:spacing w:val="0"/>
          <w:w w:val="100"/>
          <w:sz w:val="32"/>
          <w:szCs w:val="32"/>
          <w:highlight w:val="none"/>
          <w:lang w:val="en-US" w:eastAsia="zh-CN"/>
        </w:rPr>
      </w:pPr>
      <w:bookmarkStart w:id="204" w:name="_Toc15755"/>
      <w:r>
        <w:rPr>
          <w:rFonts w:hint="eastAsia" w:ascii="Times New Roman" w:hAnsi="Times New Roman" w:eastAsia="宋体" w:cs="Times New Roman"/>
          <w:b/>
          <w:bCs/>
          <w:caps w:val="0"/>
          <w:smallCaps w:val="0"/>
          <w:color w:val="auto"/>
          <w:spacing w:val="0"/>
          <w:w w:val="100"/>
          <w:sz w:val="32"/>
          <w:szCs w:val="32"/>
          <w:highlight w:val="none"/>
          <w:lang w:val="en-US" w:eastAsia="zh-CN"/>
        </w:rPr>
        <w:t>第八章   环境管理与监测计划</w:t>
      </w:r>
      <w:bookmarkEnd w:id="204"/>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05" w:name="_Toc28672"/>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8.1</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环境管理</w:t>
      </w:r>
      <w:bookmarkEnd w:id="205"/>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本项目应依据《石油天然气工业健康、安全与环境管理体系》（</w:t>
      </w:r>
      <w:r>
        <w:rPr>
          <w:rFonts w:hint="default" w:ascii="Times New Roman" w:hAnsi="Times New Roman" w:eastAsia="宋体" w:cs="Times New Roman"/>
          <w:color w:val="auto"/>
          <w:kern w:val="0"/>
          <w:sz w:val="28"/>
          <w:szCs w:val="28"/>
          <w:highlight w:val="none"/>
          <w:lang w:val="en-US" w:eastAsia="zh-CN" w:bidi="ar"/>
        </w:rPr>
        <w:t>SY/T6276-2014</w:t>
      </w:r>
      <w:r>
        <w:rPr>
          <w:rFonts w:hint="eastAsia" w:ascii="Times New Roman" w:hAnsi="Times New Roman" w:eastAsia="宋体" w:cs="Times New Roman"/>
          <w:color w:val="auto"/>
          <w:kern w:val="0"/>
          <w:sz w:val="28"/>
          <w:szCs w:val="28"/>
          <w:highlight w:val="none"/>
          <w:lang w:val="en-US" w:eastAsia="zh-CN" w:bidi="ar"/>
        </w:rPr>
        <w:t>）的要求，结合《安全生产法》，在项目各个阶段建立和实施</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管理体系。其中环境管理的内容应符合</w:t>
      </w:r>
      <w:r>
        <w:rPr>
          <w:rFonts w:hint="default" w:ascii="Times New Roman" w:hAnsi="Times New Roman" w:eastAsia="宋体" w:cs="Times New Roman"/>
          <w:color w:val="auto"/>
          <w:kern w:val="0"/>
          <w:sz w:val="28"/>
          <w:szCs w:val="28"/>
          <w:highlight w:val="none"/>
          <w:lang w:val="en-US" w:eastAsia="zh-CN" w:bidi="ar"/>
        </w:rPr>
        <w:t>ISO14000</w:t>
      </w:r>
      <w:r>
        <w:rPr>
          <w:rFonts w:hint="eastAsia" w:ascii="Times New Roman" w:hAnsi="Times New Roman" w:eastAsia="宋体" w:cs="Times New Roman"/>
          <w:color w:val="auto"/>
          <w:kern w:val="0"/>
          <w:sz w:val="28"/>
          <w:szCs w:val="28"/>
          <w:highlight w:val="none"/>
          <w:lang w:val="en-US" w:eastAsia="zh-CN" w:bidi="ar"/>
        </w:rPr>
        <w:t>系列标准规定的环境管理体系原则以及石油天然气开采等有关标准的要求，健康管理体系符合</w:t>
      </w:r>
      <w:r>
        <w:rPr>
          <w:rFonts w:hint="default" w:ascii="Times New Roman" w:hAnsi="Times New Roman" w:eastAsia="宋体" w:cs="Times New Roman"/>
          <w:color w:val="auto"/>
          <w:kern w:val="0"/>
          <w:sz w:val="28"/>
          <w:szCs w:val="28"/>
          <w:highlight w:val="none"/>
          <w:lang w:val="en-US" w:eastAsia="zh-CN" w:bidi="ar"/>
        </w:rPr>
        <w:t>OHS18000</w:t>
      </w:r>
      <w:r>
        <w:rPr>
          <w:rFonts w:hint="eastAsia" w:ascii="Times New Roman" w:hAnsi="Times New Roman" w:eastAsia="宋体" w:cs="Times New Roman"/>
          <w:color w:val="auto"/>
          <w:kern w:val="0"/>
          <w:sz w:val="28"/>
          <w:szCs w:val="28"/>
          <w:highlight w:val="none"/>
          <w:lang w:val="en-US" w:eastAsia="zh-CN" w:bidi="ar"/>
        </w:rPr>
        <w:t>《职业安全卫生管理体系》的有关要求。</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在项目钻井工程设计中应对各个阶段可能产生的健康、安全与环境影响进行论述，对危害的预防进行设计，并对安全和环保措施进行专项投资概算，有效降低工程建设和运营中的健康、安全与环境危害。这些内容应纳入</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文件。</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8.1.1</w:t>
      </w:r>
      <w:r>
        <w:rPr>
          <w:rFonts w:hint="eastAsia" w:ascii="Times New Roman" w:hAnsi="Times New Roman" w:eastAsia="宋体" w:cs="Times New Roman"/>
          <w:color w:val="auto"/>
          <w:kern w:val="0"/>
          <w:sz w:val="28"/>
          <w:szCs w:val="28"/>
          <w:highlight w:val="none"/>
          <w:lang w:val="en-US" w:eastAsia="zh-CN" w:bidi="ar"/>
        </w:rPr>
        <w:t>组织结构</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本项目环境管理归大庆油田有限责任公司采气分公司管理，逐级落实岗位责任制；作业区设专职环保员一名，作业区经理为</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管理体系的第一负责人，对单位日常生产过程中的相关环境工作进行管理。</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8.1.2</w:t>
      </w:r>
      <w:r>
        <w:rPr>
          <w:rFonts w:hint="eastAsia" w:ascii="Times New Roman" w:hAnsi="Times New Roman" w:eastAsia="宋体" w:cs="Times New Roman"/>
          <w:color w:val="auto"/>
          <w:kern w:val="0"/>
          <w:sz w:val="28"/>
          <w:szCs w:val="28"/>
          <w:highlight w:val="none"/>
          <w:lang w:val="en-US" w:eastAsia="zh-CN" w:bidi="ar"/>
        </w:rPr>
        <w:t>规章制度</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环保工作必须严格执行国家、省（自治区）市的环保法律法规，同时还应制定相应的环境管理规章制度，环保法规及各种环境管理规章制度应下发到相应人员，并组织有关人员学习和贯彻执行，以确保环境管理工作的顺利进行。相关法规和规章制度详见表</w:t>
      </w:r>
      <w:r>
        <w:rPr>
          <w:rFonts w:hint="default" w:ascii="Times New Roman" w:hAnsi="Times New Roman" w:eastAsia="宋体" w:cs="Times New Roman"/>
          <w:color w:val="auto"/>
          <w:kern w:val="0"/>
          <w:sz w:val="28"/>
          <w:szCs w:val="28"/>
          <w:highlight w:val="none"/>
          <w:lang w:val="en-US" w:eastAsia="zh-CN" w:bidi="ar"/>
        </w:rPr>
        <w:t>8.1-1</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8.1-1</w:t>
      </w:r>
      <w:r>
        <w:rPr>
          <w:rFonts w:hint="eastAsia" w:ascii="Times New Roman" w:hAnsi="Times New Roman" w:eastAsia="宋体" w:cs="Times New Roman"/>
          <w:b/>
          <w:bCs/>
          <w:color w:val="auto"/>
          <w:kern w:val="0"/>
          <w:sz w:val="24"/>
          <w:szCs w:val="24"/>
          <w:highlight w:val="none"/>
          <w:lang w:val="en-US" w:eastAsia="zh-CN" w:bidi="ar"/>
        </w:rPr>
        <w:t>环保法规和规章制度一览表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39"/>
        <w:gridCol w:w="2817"/>
        <w:gridCol w:w="46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28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规章名称</w:t>
            </w:r>
          </w:p>
        </w:tc>
        <w:tc>
          <w:tcPr>
            <w:tcW w:w="46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28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国家、省市级的相关</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环保法律法规</w:t>
            </w:r>
          </w:p>
        </w:tc>
        <w:tc>
          <w:tcPr>
            <w:tcW w:w="46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国家、省市颁发的环境保护法律、法规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3" w:hRule="atLeast"/>
        </w:trPr>
        <w:tc>
          <w:tcPr>
            <w:tcW w:w="10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28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油田公司制定的相关环保法律法规</w:t>
            </w:r>
          </w:p>
        </w:tc>
        <w:tc>
          <w:tcPr>
            <w:tcW w:w="46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油田公司的环境管理规定及环境管理规章制度（或环境保护条例及事故预案）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28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环保技术规程及标准</w:t>
            </w:r>
          </w:p>
        </w:tc>
        <w:tc>
          <w:tcPr>
            <w:tcW w:w="46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各级有关环境管理的技术规程、标准，主要包括：国家及省市颁布的相关污染物排放控制标准；油田公司及厂矿（作业区）等各级单位制定的生产工艺、设备的环境技术管理规程，环境保护设备的操作规程。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28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环境保护责任制</w:t>
            </w:r>
          </w:p>
        </w:tc>
        <w:tc>
          <w:tcPr>
            <w:tcW w:w="46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公司各类人员环境保护工作范围，应负的责任以及权力。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28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三废管理制度</w:t>
            </w:r>
          </w:p>
        </w:tc>
        <w:tc>
          <w:tcPr>
            <w:tcW w:w="46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包括各个阶段废水、废气、废渣及噪声等方面的管理制度。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28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生态保护管理制度</w:t>
            </w:r>
          </w:p>
        </w:tc>
        <w:tc>
          <w:tcPr>
            <w:tcW w:w="46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主要包括工程建设过程对区域内生态产生的影响后所做出的恢复计划及生态补偿措施等，同时包括一些突发事故可能对周围生态产生的影响而制定的生态恢复计划和补偿措施等内容。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281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事故管理预案</w:t>
            </w:r>
          </w:p>
        </w:tc>
        <w:tc>
          <w:tcPr>
            <w:tcW w:w="46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明确工程各阶段可能存在的突发事故的预防管理措施。</w:t>
            </w:r>
          </w:p>
        </w:tc>
      </w:tr>
    </w:tbl>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8.1.3</w:t>
      </w:r>
      <w:r>
        <w:rPr>
          <w:rFonts w:hint="eastAsia" w:ascii="Times New Roman" w:hAnsi="Times New Roman" w:eastAsia="宋体" w:cs="Times New Roman"/>
          <w:color w:val="auto"/>
          <w:kern w:val="0"/>
          <w:sz w:val="28"/>
          <w:szCs w:val="28"/>
          <w:highlight w:val="none"/>
          <w:lang w:val="en-US" w:eastAsia="zh-CN" w:bidi="ar"/>
        </w:rPr>
        <w:t>管理措施</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①最高领导层将</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管理放在与企业生产和经营管理同等重要的位置上；</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②公司员工时刻将</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责任放在心中；</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③制定和落实一岗一责制；</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④加强生产技术及</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教育和培训；</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⑤做好现场审核和整改；</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⑥奖优罚劣，持续改进</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表现。</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06" w:name="_Toc18373"/>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8.2</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环境监控</w:t>
      </w:r>
      <w:bookmarkEnd w:id="206"/>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8.2.1</w:t>
      </w:r>
      <w:r>
        <w:rPr>
          <w:rFonts w:hint="eastAsia" w:ascii="Times New Roman" w:hAnsi="Times New Roman" w:eastAsia="宋体" w:cs="Times New Roman"/>
          <w:color w:val="auto"/>
          <w:kern w:val="0"/>
          <w:sz w:val="28"/>
          <w:szCs w:val="28"/>
          <w:highlight w:val="none"/>
          <w:lang w:val="en-US" w:eastAsia="zh-CN" w:bidi="ar"/>
        </w:rPr>
        <w:t>环境监控实施计划</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由大庆油田有限责任公司采气分公司质量安全环保部对本项目建设环境保护工作进行全过程监控，对环境保护措施强制推行，以加强设计和各个阶段的环境管理，控制环境污染和生态破坏，在工程建设期间，除设置专职环保员一名外，还应根据现场实际情况，建立健全相应的二级</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管理网络，在公司已有</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指挥部的基础上，分别配备数名</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现场监督人员。分别配备协调员，实行逐级负责制。</w:t>
      </w:r>
      <w:r>
        <w:rPr>
          <w:rFonts w:hint="default" w:ascii="Times New Roman" w:hAnsi="Times New Roman" w:eastAsia="宋体" w:cs="Times New Roman"/>
          <w:color w:val="auto"/>
          <w:kern w:val="0"/>
          <w:sz w:val="28"/>
          <w:szCs w:val="28"/>
          <w:highlight w:val="none"/>
          <w:lang w:val="en-US" w:eastAsia="zh-CN" w:bidi="ar"/>
        </w:rPr>
        <w:t>HSE</w:t>
      </w:r>
      <w:r>
        <w:rPr>
          <w:rFonts w:hint="eastAsia" w:ascii="Times New Roman" w:hAnsi="Times New Roman" w:eastAsia="宋体" w:cs="Times New Roman"/>
          <w:color w:val="auto"/>
          <w:kern w:val="0"/>
          <w:sz w:val="28"/>
          <w:szCs w:val="28"/>
          <w:highlight w:val="none"/>
          <w:lang w:val="en-US" w:eastAsia="zh-CN" w:bidi="ar"/>
        </w:rPr>
        <w:t>机构在环境管理上的主要任务包括；负责制定本工程施工作业的环境管理方案，制定发生事故的应急计划，监督各项环保措施的落实及环保工程的检查和预验收，负责协调与地方环保、水利、土地等部门的关系以及负责有关环保文件、技术资料的收集建档等。</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8.2.2</w:t>
      </w:r>
      <w:r>
        <w:rPr>
          <w:rFonts w:hint="eastAsia" w:ascii="Times New Roman" w:hAnsi="Times New Roman" w:eastAsia="宋体" w:cs="Times New Roman"/>
          <w:color w:val="auto"/>
          <w:kern w:val="0"/>
          <w:sz w:val="28"/>
          <w:szCs w:val="28"/>
          <w:highlight w:val="none"/>
          <w:lang w:val="en-US" w:eastAsia="zh-CN" w:bidi="ar"/>
        </w:rPr>
        <w:t>环境管理工作的重点</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根据本项目特点，环境管理工作由大庆油田有限责任公司采气分公司质量安全环保部负责，除抓好各种环保措施的落实情况、环保设施的运行和维护、作业场所的平整清理、固体废弃物的运输以及作业工作交接等工作外，还应针对污染物产生情况，以及事故情况下的预防和处理，制定相应的事故预防措施、事故应急措施以及恢复补偿措施等。</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8.2.3</w:t>
      </w:r>
      <w:r>
        <w:rPr>
          <w:rFonts w:hint="eastAsia" w:ascii="Times New Roman" w:hAnsi="Times New Roman" w:eastAsia="宋体" w:cs="Times New Roman"/>
          <w:color w:val="auto"/>
          <w:kern w:val="0"/>
          <w:sz w:val="28"/>
          <w:szCs w:val="28"/>
          <w:highlight w:val="none"/>
          <w:lang w:val="en-US" w:eastAsia="zh-CN" w:bidi="ar"/>
        </w:rPr>
        <w:t>环境管理人员的基本职责</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①协助有关环保部门进行环境保护设施的竣工验收工作；</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②定期进行环保安全检查和召开有关会议；</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③对领导和职工特别是兼职环保人员进行环保安全方面的培训；</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④制定各种可能发生事故的应急计划，定期进行演练；配备各种必要的维护、抢修器材和设备，保证在发生事故时能及时到位；</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⑤主管环保的人员应参加生产调度和管理工作会议，针对生产运行中存在的环境问题，向公司领导和生产部门提出建议和技术处理措施。</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8.2.4</w:t>
      </w:r>
      <w:r>
        <w:rPr>
          <w:rFonts w:hint="eastAsia" w:ascii="Times New Roman" w:hAnsi="Times New Roman" w:eastAsia="宋体" w:cs="Times New Roman"/>
          <w:color w:val="auto"/>
          <w:kern w:val="0"/>
          <w:sz w:val="28"/>
          <w:szCs w:val="28"/>
          <w:highlight w:val="none"/>
          <w:lang w:val="en-US" w:eastAsia="zh-CN" w:bidi="ar"/>
        </w:rPr>
        <w:t>环境监控基本内容</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为了本项目所在区域内环境的持续改进，对工程开发建设的各项活动进行全过程、全方位的监控。包括环保措施的落实情况、环保设施的运行和维护、作业场所的平整清理、固体废弃物的运输以及作业工作交接等工作，并形成必要文件存档以便查阅。</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8.2.5</w:t>
      </w:r>
      <w:r>
        <w:rPr>
          <w:rFonts w:hint="eastAsia" w:ascii="Times New Roman" w:hAnsi="Times New Roman" w:eastAsia="宋体" w:cs="Times New Roman"/>
          <w:color w:val="auto"/>
          <w:kern w:val="0"/>
          <w:sz w:val="28"/>
          <w:szCs w:val="28"/>
          <w:highlight w:val="none"/>
          <w:lang w:val="en-US" w:eastAsia="zh-CN" w:bidi="ar"/>
        </w:rPr>
        <w:t>污染源排放清单</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b/>
          <w:bCs/>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本项目施工</w:t>
      </w:r>
      <w:r>
        <w:rPr>
          <w:rFonts w:hint="default" w:ascii="Times New Roman" w:hAnsi="Times New Roman" w:eastAsia="宋体" w:cs="Times New Roman"/>
          <w:b w:val="0"/>
          <w:bCs w:val="0"/>
          <w:color w:val="auto"/>
          <w:kern w:val="0"/>
          <w:sz w:val="28"/>
          <w:szCs w:val="28"/>
          <w:highlight w:val="none"/>
          <w:lang w:val="en-US" w:eastAsia="zh-CN" w:bidi="ar"/>
        </w:rPr>
        <w:t>期污染物排放清单见表8.2-1。</w:t>
      </w:r>
    </w:p>
    <w:p>
      <w:pPr>
        <w:keepNext w:val="0"/>
        <w:keepLines w:val="0"/>
        <w:widowControl/>
        <w:suppressLineNumbers w:val="0"/>
        <w:spacing w:line="360" w:lineRule="auto"/>
        <w:ind w:firstLine="482" w:firstLineChars="200"/>
        <w:jc w:val="center"/>
        <w:rPr>
          <w:rFonts w:hint="eastAsia"/>
          <w:color w:val="auto"/>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表8.2-1施工期污染物排放清单</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3"/>
        <w:gridCol w:w="723"/>
        <w:gridCol w:w="1159"/>
        <w:gridCol w:w="885"/>
        <w:gridCol w:w="1142"/>
        <w:gridCol w:w="1875"/>
        <w:gridCol w:w="19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7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污染物种类</w:t>
            </w: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污染物名称</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主要污染因子</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排放量</w:t>
            </w:r>
          </w:p>
        </w:tc>
        <w:tc>
          <w:tcPr>
            <w:tcW w:w="1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控制措施及</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去向</w:t>
            </w: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排放管理要求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72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废气</w:t>
            </w: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扬尘</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87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洒水抑尘；使用低标号柴油，加强柴油机保养，启用柴油机配备的尾气净化装置；排入大气</w:t>
            </w:r>
          </w:p>
        </w:tc>
        <w:tc>
          <w:tcPr>
            <w:tcW w:w="199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符合《大气污染物综合排放标准》（GB16297-1996）中表</w:t>
            </w:r>
            <w:r>
              <w:rPr>
                <w:rFonts w:hint="default" w:ascii="Times New Roman" w:hAnsi="Times New Roman" w:cs="Times New Roman"/>
                <w:color w:val="auto"/>
                <w:sz w:val="24"/>
                <w:szCs w:val="24"/>
                <w:highlight w:val="none"/>
                <w:vertAlign w:val="baseline"/>
                <w:lang w:val="en-US" w:eastAsia="zh-CN"/>
              </w:rPr>
              <w:t>2</w:t>
            </w:r>
            <w:r>
              <w:rPr>
                <w:rFonts w:hint="eastAsia" w:ascii="Times New Roman" w:hAnsi="Times New Roman" w:cs="Times New Roman"/>
                <w:color w:val="auto"/>
                <w:sz w:val="24"/>
                <w:szCs w:val="24"/>
                <w:highlight w:val="none"/>
                <w:vertAlign w:val="baseline"/>
                <w:lang w:val="en-US" w:eastAsia="zh-CN"/>
              </w:rPr>
              <w:t>无组织排放监控浓度限</w:t>
            </w:r>
            <w:r>
              <w:rPr>
                <w:rFonts w:hint="default" w:ascii="Times New Roman" w:hAnsi="Times New Roman" w:cs="Times New Roman"/>
                <w:color w:val="auto"/>
                <w:sz w:val="24"/>
                <w:szCs w:val="24"/>
                <w:highlight w:val="none"/>
                <w:vertAlign w:val="baseline"/>
                <w:lang w:val="en-US" w:eastAsia="zh-CN"/>
              </w:rPr>
              <w:t>1.0mg/m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固井</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粉尘</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0.005t</w:t>
            </w:r>
          </w:p>
        </w:tc>
        <w:tc>
          <w:tcPr>
            <w:tcW w:w="1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9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柴油机烟气</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r>
              <w:rPr>
                <w:rFonts w:hint="default" w:ascii="Times New Roman" w:hAnsi="Times New Roman" w:cs="Times New Roman"/>
                <w:color w:val="auto"/>
                <w:sz w:val="24"/>
                <w:szCs w:val="24"/>
                <w:highlight w:val="none"/>
                <w:vertAlign w:val="baseline"/>
                <w:lang w:val="en-US" w:eastAsia="zh-CN"/>
              </w:rPr>
              <w:t>NO</w:t>
            </w:r>
            <w:r>
              <w:rPr>
                <w:rFonts w:hint="default" w:ascii="Times New Roman" w:hAnsi="Times New Roman" w:cs="Times New Roman"/>
                <w:color w:val="auto"/>
                <w:sz w:val="24"/>
                <w:szCs w:val="24"/>
                <w:highlight w:val="none"/>
                <w:vertAlign w:val="subscript"/>
                <w:lang w:val="en-US" w:eastAsia="zh-CN"/>
              </w:rPr>
              <w:t>X</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HC</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CO</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符合《非道路柴油移动机械排气烟度限值及测量方法》（GB20891-2014）第三阶段排放标准限值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放空火炬燃烧烟气</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SO</w:t>
            </w:r>
            <w:r>
              <w:rPr>
                <w:rFonts w:hint="default"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NOx</w:t>
            </w:r>
            <w:r>
              <w:rPr>
                <w:rFonts w:hint="eastAsia" w:ascii="Times New Roman" w:hAnsi="Times New Roman" w:cs="Times New Roman"/>
                <w:color w:val="auto"/>
                <w:sz w:val="24"/>
                <w:szCs w:val="24"/>
                <w:highlight w:val="none"/>
                <w:vertAlign w:val="baseline"/>
                <w:lang w:val="en-US" w:eastAsia="zh-CN"/>
              </w:rPr>
              <w:t>、颗粒物</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893万m</w:t>
            </w:r>
            <w:r>
              <w:rPr>
                <w:rFonts w:hint="eastAsia" w:ascii="Times New Roman" w:hAnsi="Times New Roman" w:cs="Times New Roman"/>
                <w:color w:val="auto"/>
                <w:sz w:val="24"/>
                <w:szCs w:val="24"/>
                <w:highlight w:val="none"/>
                <w:vertAlign w:val="superscript"/>
                <w:lang w:val="en-US" w:eastAsia="zh-CN"/>
              </w:rPr>
              <w:t>3</w:t>
            </w:r>
          </w:p>
        </w:tc>
        <w:tc>
          <w:tcPr>
            <w:tcW w:w="1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w:t>
            </w:r>
          </w:p>
        </w:tc>
        <w:tc>
          <w:tcPr>
            <w:tcW w:w="72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废水</w:t>
            </w: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污水</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vertAlign w:val="baseline"/>
                <w:lang w:val="en-US" w:eastAsia="zh-CN"/>
              </w:rPr>
              <w:t>-N</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192m</w:t>
            </w:r>
            <w:r>
              <w:rPr>
                <w:rFonts w:hint="eastAsia" w:ascii="Times New Roman" w:hAnsi="Times New Roman" w:cs="Times New Roman"/>
                <w:color w:val="auto"/>
                <w:sz w:val="24"/>
                <w:szCs w:val="24"/>
                <w:highlight w:val="none"/>
                <w:vertAlign w:val="superscript"/>
                <w:lang w:val="en-US" w:eastAsia="zh-CN"/>
              </w:rPr>
              <w:t>3</w:t>
            </w:r>
          </w:p>
        </w:tc>
        <w:tc>
          <w:tcPr>
            <w:tcW w:w="1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进入施工营地设置的污水池，施工结束后进行卫生处理，场地进行平整</w:t>
            </w: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压裂返排液</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COD</w:t>
            </w:r>
            <w:r>
              <w:rPr>
                <w:rFonts w:hint="eastAsia" w:ascii="Times New Roman" w:hAnsi="Times New Roman" w:cs="Times New Roman"/>
                <w:color w:val="auto"/>
                <w:sz w:val="24"/>
                <w:szCs w:val="24"/>
                <w:highlight w:val="none"/>
                <w:vertAlign w:val="baseline"/>
                <w:lang w:val="en-US" w:eastAsia="zh-CN"/>
              </w:rPr>
              <w:t>、SS</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17100m</w:t>
            </w:r>
            <w:r>
              <w:rPr>
                <w:rFonts w:hint="eastAsia" w:ascii="Times New Roman" w:hAnsi="Times New Roman" w:cs="Times New Roman"/>
                <w:color w:val="auto"/>
                <w:sz w:val="24"/>
                <w:szCs w:val="24"/>
                <w:highlight w:val="none"/>
                <w:vertAlign w:val="superscript"/>
                <w:lang w:val="en-US" w:eastAsia="zh-CN"/>
              </w:rPr>
              <w:t>3</w:t>
            </w:r>
          </w:p>
        </w:tc>
        <w:tc>
          <w:tcPr>
            <w:tcW w:w="1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由罐车拉运至哈19卸液站</w:t>
            </w:r>
            <w:r>
              <w:rPr>
                <w:rFonts w:hint="eastAsia" w:ascii="Times New Roman" w:hAnsi="Times New Roman" w:cs="Times New Roman"/>
                <w:color w:val="auto"/>
                <w:sz w:val="24"/>
                <w:szCs w:val="24"/>
                <w:highlight w:val="none"/>
                <w:vertAlign w:val="baseline"/>
                <w:lang w:val="en-US" w:eastAsia="zh-CN"/>
              </w:rPr>
              <w:t>处理，处理后的水达标后回注现役油层。</w:t>
            </w: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《大庆油田地面工程建设设计规定》（Q/SYDQ0639-2015）</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含油量≤20mg/L，悬浮固体含量≤20mg/L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一般钻井废水</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w:t>
            </w:r>
            <w:r>
              <w:rPr>
                <w:rFonts w:hint="default" w:ascii="Times New Roman" w:hAnsi="Times New Roman" w:cs="Times New Roman"/>
                <w:color w:val="auto"/>
                <w:sz w:val="24"/>
                <w:szCs w:val="24"/>
                <w:highlight w:val="none"/>
                <w:vertAlign w:val="baseline"/>
                <w:lang w:val="en-US" w:eastAsia="zh-CN"/>
              </w:rPr>
              <w:t>SS</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1947t</w:t>
            </w:r>
          </w:p>
        </w:tc>
        <w:tc>
          <w:tcPr>
            <w:tcW w:w="1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拉运至黑龙江龙之润五厂处理站处理，处理过程中产生的滤液由罐车送至杏十五一联合站污水处理站处理，处理后回注现役油层。</w:t>
            </w: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《大庆油田地面工程建设设计规定》（Q/SYDQ0639-2015）限值要求“含油量≤20mg/L、悬浮固体含量≤20mg/L”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含油钻井废水</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COD、</w:t>
            </w:r>
            <w:r>
              <w:rPr>
                <w:rFonts w:hint="default" w:ascii="Times New Roman" w:hAnsi="Times New Roman" w:cs="Times New Roman"/>
                <w:color w:val="auto"/>
                <w:sz w:val="24"/>
                <w:szCs w:val="24"/>
                <w:highlight w:val="none"/>
                <w:vertAlign w:val="baseline"/>
                <w:lang w:val="en-US" w:eastAsia="zh-CN"/>
              </w:rPr>
              <w:t>SS</w:t>
            </w:r>
            <w:r>
              <w:rPr>
                <w:rFonts w:hint="eastAsia" w:ascii="Times New Roman" w:hAnsi="Times New Roman" w:cs="Times New Roman"/>
                <w:color w:val="auto"/>
                <w:sz w:val="24"/>
                <w:szCs w:val="24"/>
                <w:highlight w:val="none"/>
                <w:vertAlign w:val="baseline"/>
                <w:lang w:val="en-US" w:eastAsia="zh-CN"/>
              </w:rPr>
              <w:t>、石油类</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5118t</w:t>
            </w:r>
          </w:p>
        </w:tc>
        <w:tc>
          <w:tcPr>
            <w:tcW w:w="1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拉运至废弃泥浆无害化处理油基泥浆站处理，处理过程中产生的滤液拉运至龙一联含油污水站处理，处理后回注现役油层。</w:t>
            </w: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《大庆油田地面工程建设设计规定》（Q/SYDQ0639-2015）限值要求（含油量≤8mg/L、悬浮固体含量≤3mg/L）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试气采出液</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31m</w:t>
            </w:r>
            <w:r>
              <w:rPr>
                <w:rFonts w:hint="eastAsia" w:ascii="Times New Roman" w:hAnsi="Times New Roman" w:cs="Times New Roman"/>
                <w:color w:val="auto"/>
                <w:sz w:val="24"/>
                <w:szCs w:val="24"/>
                <w:highlight w:val="none"/>
                <w:vertAlign w:val="superscript"/>
                <w:lang w:val="en-US" w:eastAsia="zh-CN"/>
              </w:rPr>
              <w:t>3</w:t>
            </w:r>
          </w:p>
        </w:tc>
        <w:tc>
          <w:tcPr>
            <w:tcW w:w="1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罐车拉运至升一联气田污水预处理站处理后回注现役油层</w:t>
            </w: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《大庆油田地面工程建设设计规定》（Q/SYDQ0639-2015）</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含油量≤</w:t>
            </w:r>
            <w:r>
              <w:rPr>
                <w:rFonts w:hint="eastAsia" w:ascii="Times New Roman" w:hAnsi="Times New Roman" w:cs="Times New Roman"/>
                <w:color w:val="auto"/>
                <w:sz w:val="24"/>
                <w:szCs w:val="24"/>
                <w:highlight w:val="none"/>
                <w:vertAlign w:val="baseline"/>
                <w:lang w:val="en-US" w:eastAsia="zh-CN"/>
              </w:rPr>
              <w:t>5</w:t>
            </w:r>
            <w:r>
              <w:rPr>
                <w:rFonts w:hint="default" w:ascii="Times New Roman" w:hAnsi="Times New Roman" w:cs="Times New Roman"/>
                <w:color w:val="auto"/>
                <w:sz w:val="24"/>
                <w:szCs w:val="24"/>
                <w:highlight w:val="none"/>
                <w:vertAlign w:val="baseline"/>
                <w:lang w:val="en-US" w:eastAsia="zh-CN"/>
              </w:rPr>
              <w:t>mg/L，悬浮固体含量≤</w:t>
            </w:r>
            <w:r>
              <w:rPr>
                <w:rFonts w:hint="eastAsia"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9</w:t>
            </w:r>
          </w:p>
        </w:tc>
        <w:tc>
          <w:tcPr>
            <w:tcW w:w="72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固废</w:t>
            </w: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废弃水基钻井液</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879t</w:t>
            </w:r>
          </w:p>
        </w:tc>
        <w:tc>
          <w:tcPr>
            <w:tcW w:w="187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由罐车拉运至黑龙江</w:t>
            </w:r>
            <w:r>
              <w:rPr>
                <w:rFonts w:hint="default" w:ascii="Times New Roman" w:hAnsi="Times New Roman" w:cs="Times New Roman"/>
                <w:color w:val="auto"/>
                <w:sz w:val="24"/>
                <w:szCs w:val="24"/>
                <w:highlight w:val="none"/>
                <w:vertAlign w:val="baseline"/>
                <w:lang w:val="en-US" w:eastAsia="zh-CN"/>
              </w:rPr>
              <w:t>龙之润五厂处理站</w:t>
            </w:r>
            <w:r>
              <w:rPr>
                <w:rFonts w:hint="eastAsia" w:ascii="Times New Roman" w:hAnsi="Times New Roman" w:cs="Times New Roman"/>
                <w:color w:val="auto"/>
                <w:sz w:val="24"/>
                <w:szCs w:val="24"/>
                <w:highlight w:val="none"/>
                <w:vertAlign w:val="baseline"/>
                <w:lang w:val="en-US" w:eastAsia="zh-CN"/>
              </w:rPr>
              <w:t>处理进行处理，废渣用于井场平整及道路建设等综合利用</w:t>
            </w:r>
          </w:p>
        </w:tc>
        <w:tc>
          <w:tcPr>
            <w:tcW w:w="199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满足《一般工业固体废物贮存和填埋污染控制标准》（GB18599-2020）和《废弃钻井液处理规范》（DB23/T693-2000）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水基钻井岩屑</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222m</w:t>
            </w:r>
            <w:r>
              <w:rPr>
                <w:rFonts w:hint="eastAsia" w:ascii="Times New Roman" w:hAnsi="Times New Roman" w:cs="Times New Roman"/>
                <w:color w:val="auto"/>
                <w:sz w:val="24"/>
                <w:szCs w:val="24"/>
                <w:highlight w:val="none"/>
                <w:vertAlign w:val="superscript"/>
                <w:lang w:val="en-US" w:eastAsia="zh-CN"/>
              </w:rPr>
              <w:t>3</w:t>
            </w:r>
          </w:p>
        </w:tc>
        <w:tc>
          <w:tcPr>
            <w:tcW w:w="1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199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废射</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孔液</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108m</w:t>
            </w:r>
            <w:r>
              <w:rPr>
                <w:rFonts w:hint="eastAsia" w:ascii="Times New Roman" w:hAnsi="Times New Roman" w:cs="Times New Roman"/>
                <w:color w:val="auto"/>
                <w:sz w:val="24"/>
                <w:szCs w:val="24"/>
                <w:highlight w:val="none"/>
                <w:vertAlign w:val="superscript"/>
                <w:lang w:val="en-US" w:eastAsia="zh-CN"/>
              </w:rPr>
              <w:t>3</w:t>
            </w:r>
          </w:p>
        </w:tc>
        <w:tc>
          <w:tcPr>
            <w:tcW w:w="1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c>
          <w:tcPr>
            <w:tcW w:w="199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废弃油基钻井液</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4484t</w:t>
            </w:r>
          </w:p>
        </w:tc>
        <w:tc>
          <w:tcPr>
            <w:tcW w:w="187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废弃泥浆无害化处理油基泥浆站处理，废渣用于井场平整及道路建设等综合利用</w:t>
            </w:r>
          </w:p>
        </w:tc>
        <w:tc>
          <w:tcPr>
            <w:tcW w:w="199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10</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油基钻井岩屑</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80m</w:t>
            </w:r>
            <w:r>
              <w:rPr>
                <w:rFonts w:hint="eastAsia" w:ascii="Times New Roman" w:hAnsi="Times New Roman" w:cs="Times New Roman"/>
                <w:color w:val="auto"/>
                <w:sz w:val="24"/>
                <w:szCs w:val="24"/>
                <w:highlight w:val="none"/>
                <w:vertAlign w:val="superscript"/>
                <w:lang w:val="en-US" w:eastAsia="zh-CN"/>
              </w:rPr>
              <w:t>3</w:t>
            </w:r>
          </w:p>
        </w:tc>
        <w:tc>
          <w:tcPr>
            <w:tcW w:w="1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9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生活</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垃圾</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1.5t</w:t>
            </w:r>
          </w:p>
        </w:tc>
        <w:tc>
          <w:tcPr>
            <w:tcW w:w="1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集中收集，</w:t>
            </w:r>
            <w:r>
              <w:rPr>
                <w:rFonts w:hint="default" w:ascii="Times New Roman" w:hAnsi="Times New Roman" w:cs="Times New Roman"/>
                <w:color w:val="auto"/>
                <w:sz w:val="24"/>
                <w:szCs w:val="24"/>
                <w:highlight w:val="none"/>
                <w:vertAlign w:val="baseline"/>
                <w:lang w:val="en-US" w:eastAsia="zh-CN"/>
              </w:rPr>
              <w:t>委托大庆三联实业有限公司拉运处置</w:t>
            </w: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一般防渗布</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0.025t</w:t>
            </w:r>
          </w:p>
        </w:tc>
        <w:tc>
          <w:tcPr>
            <w:tcW w:w="187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送大庆市岗源环保科技有限责任公司工业废弃物处置中心处置</w:t>
            </w: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14</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一般废弃包装袋</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0.45t</w:t>
            </w:r>
          </w:p>
        </w:tc>
        <w:tc>
          <w:tcPr>
            <w:tcW w:w="1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含油防渗布</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0.05t</w:t>
            </w:r>
          </w:p>
        </w:tc>
        <w:tc>
          <w:tcPr>
            <w:tcW w:w="187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委托有资质的单位处理</w:t>
            </w: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15</w:t>
            </w:r>
          </w:p>
        </w:tc>
        <w:tc>
          <w:tcPr>
            <w:tcW w:w="72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废弃过硫酸钾和氢氧化钾包装袋</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0.131t</w:t>
            </w:r>
          </w:p>
        </w:tc>
        <w:tc>
          <w:tcPr>
            <w:tcW w:w="187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w:t>
            </w:r>
          </w:p>
        </w:tc>
        <w:tc>
          <w:tcPr>
            <w:tcW w:w="7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w:t>
            </w:r>
          </w:p>
        </w:tc>
        <w:tc>
          <w:tcPr>
            <w:tcW w:w="11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机械噪</w:t>
            </w:r>
          </w:p>
        </w:tc>
        <w:tc>
          <w:tcPr>
            <w:tcW w:w="88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噪声</w:t>
            </w:r>
          </w:p>
        </w:tc>
        <w:tc>
          <w:tcPr>
            <w:tcW w:w="11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70</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105dB</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p>
        </w:tc>
        <w:tc>
          <w:tcPr>
            <w:tcW w:w="18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钻机、柴油机等设备设置减振基座</w:t>
            </w:r>
          </w:p>
        </w:tc>
        <w:tc>
          <w:tcPr>
            <w:tcW w:w="199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r>
              <w:rPr>
                <w:rFonts w:hint="default" w:ascii="Times New Roman" w:hAnsi="Times New Roman" w:cs="Times New Roman"/>
                <w:color w:val="auto"/>
                <w:sz w:val="24"/>
                <w:szCs w:val="24"/>
                <w:highlight w:val="none"/>
                <w:vertAlign w:val="baseline"/>
                <w:lang w:val="en-US" w:eastAsia="zh-CN"/>
              </w:rPr>
              <w:t>《建筑施工场界环境噪声排放标准》（GB12523-2011）</w:t>
            </w:r>
            <w:r>
              <w:rPr>
                <w:rFonts w:hint="eastAsia" w:ascii="Times New Roman" w:hAnsi="Times New Roman" w:cs="Times New Roman"/>
                <w:color w:val="auto"/>
                <w:sz w:val="24"/>
                <w:szCs w:val="24"/>
                <w:highlight w:val="none"/>
                <w:vertAlign w:val="baseline"/>
                <w:lang w:val="en-US" w:eastAsia="zh-CN"/>
              </w:rPr>
              <w:t>昼间</w:t>
            </w:r>
            <w:r>
              <w:rPr>
                <w:rFonts w:hint="default" w:ascii="Times New Roman" w:hAnsi="Times New Roman" w:cs="Times New Roman"/>
                <w:color w:val="auto"/>
                <w:sz w:val="24"/>
                <w:szCs w:val="24"/>
                <w:highlight w:val="none"/>
                <w:vertAlign w:val="baseline"/>
                <w:lang w:val="en-US" w:eastAsia="zh-CN"/>
              </w:rPr>
              <w:t>&lt;70dB(A)</w:t>
            </w:r>
            <w:r>
              <w:rPr>
                <w:rFonts w:hint="eastAsia" w:ascii="Times New Roman" w:hAnsi="Times New Roman" w:cs="Times New Roman"/>
                <w:color w:val="auto"/>
                <w:sz w:val="24"/>
                <w:szCs w:val="24"/>
                <w:highlight w:val="none"/>
                <w:vertAlign w:val="baseline"/>
                <w:lang w:val="en-US" w:eastAsia="zh-CN"/>
              </w:rPr>
              <w:t>、夜间</w:t>
            </w:r>
            <w:r>
              <w:rPr>
                <w:rFonts w:hint="default" w:ascii="Times New Roman" w:hAnsi="Times New Roman" w:cs="Times New Roman"/>
                <w:color w:val="auto"/>
                <w:sz w:val="24"/>
                <w:szCs w:val="24"/>
                <w:highlight w:val="none"/>
                <w:vertAlign w:val="baseline"/>
                <w:lang w:val="en-US" w:eastAsia="zh-CN"/>
              </w:rPr>
              <w:t>&lt;55dB(A)</w:t>
            </w:r>
            <w:r>
              <w:rPr>
                <w:rFonts w:hint="eastAsia" w:ascii="Times New Roman" w:hAnsi="Times New Roman" w:cs="Times New Roman"/>
                <w:color w:val="auto"/>
                <w:sz w:val="24"/>
                <w:szCs w:val="24"/>
                <w:highlight w:val="none"/>
                <w:vertAlign w:val="baseline"/>
                <w:lang w:val="en-US" w:eastAsia="zh-CN"/>
              </w:rPr>
              <w:t>要求</w:t>
            </w:r>
          </w:p>
        </w:tc>
      </w:tr>
    </w:tbl>
    <w:p>
      <w:pPr>
        <w:keepNext w:val="0"/>
        <w:keepLines w:val="0"/>
        <w:widowControl/>
        <w:suppressLineNumbers w:val="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default" w:ascii="Times New Roman" w:hAnsi="Times New Roman" w:eastAsia="宋体" w:cs="Times New Roman"/>
          <w:b w:val="0"/>
          <w:bCs w:val="0"/>
          <w:color w:val="auto"/>
          <w:kern w:val="0"/>
          <w:sz w:val="28"/>
          <w:szCs w:val="28"/>
          <w:highlight w:val="none"/>
          <w:lang w:val="en-US" w:eastAsia="zh-CN" w:bidi="ar"/>
        </w:rPr>
        <w:t>8.2.6</w:t>
      </w:r>
      <w:r>
        <w:rPr>
          <w:rFonts w:hint="eastAsia" w:ascii="Times New Roman" w:hAnsi="Times New Roman" w:eastAsia="宋体" w:cs="Times New Roman"/>
          <w:b w:val="0"/>
          <w:bCs w:val="0"/>
          <w:color w:val="auto"/>
          <w:kern w:val="0"/>
          <w:sz w:val="28"/>
          <w:szCs w:val="28"/>
          <w:highlight w:val="none"/>
          <w:lang w:val="en-US" w:eastAsia="zh-CN" w:bidi="ar"/>
        </w:rPr>
        <w:t>总量控制</w:t>
      </w:r>
    </w:p>
    <w:p>
      <w:pPr>
        <w:keepNext w:val="0"/>
        <w:keepLines w:val="0"/>
        <w:widowControl/>
        <w:suppressLineNumbers w:val="0"/>
        <w:ind w:firstLine="560" w:firstLineChars="20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本项目属于油田开发的前期工作，新钻3口天然气开发井，污染物只是在施工期产生，因此本工程不进行总量控制。</w:t>
      </w:r>
    </w:p>
    <w:p>
      <w:pPr>
        <w:keepNext w:val="0"/>
        <w:keepLines w:val="0"/>
        <w:widowControl/>
        <w:suppressLineNumbers w:val="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default" w:ascii="Times New Roman" w:hAnsi="Times New Roman" w:eastAsia="宋体" w:cs="Times New Roman"/>
          <w:b w:val="0"/>
          <w:bCs w:val="0"/>
          <w:color w:val="auto"/>
          <w:kern w:val="0"/>
          <w:sz w:val="28"/>
          <w:szCs w:val="28"/>
          <w:highlight w:val="none"/>
          <w:lang w:val="en-US" w:eastAsia="zh-CN" w:bidi="ar"/>
        </w:rPr>
        <w:t>8.2.7</w:t>
      </w:r>
      <w:r>
        <w:rPr>
          <w:rFonts w:hint="eastAsia" w:ascii="Times New Roman" w:hAnsi="Times New Roman" w:eastAsia="宋体" w:cs="Times New Roman"/>
          <w:b w:val="0"/>
          <w:bCs w:val="0"/>
          <w:color w:val="auto"/>
          <w:kern w:val="0"/>
          <w:sz w:val="28"/>
          <w:szCs w:val="28"/>
          <w:highlight w:val="none"/>
          <w:lang w:val="en-US" w:eastAsia="zh-CN" w:bidi="ar"/>
        </w:rPr>
        <w:t>环境管理与监测计划</w:t>
      </w:r>
    </w:p>
    <w:p>
      <w:pPr>
        <w:keepNext w:val="0"/>
        <w:keepLines w:val="0"/>
        <w:widowControl/>
        <w:suppressLineNumbers w:val="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（1）加强工程承包方管理</w:t>
      </w:r>
    </w:p>
    <w:p>
      <w:pPr>
        <w:keepNext w:val="0"/>
        <w:keepLines w:val="0"/>
        <w:widowControl/>
        <w:suppressLineNumbers w:val="0"/>
        <w:ind w:firstLine="560" w:firstLineChars="20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要与具有相关资质的施工作业单位签定《工程服务安全生产合同执行</w:t>
      </w:r>
      <w:r>
        <w:rPr>
          <w:rFonts w:hint="default" w:ascii="Times New Roman" w:hAnsi="Times New Roman" w:eastAsia="宋体" w:cs="Times New Roman"/>
          <w:b w:val="0"/>
          <w:bCs w:val="0"/>
          <w:color w:val="auto"/>
          <w:kern w:val="0"/>
          <w:sz w:val="28"/>
          <w:szCs w:val="28"/>
          <w:highlight w:val="none"/>
          <w:lang w:val="en-US" w:eastAsia="zh-CN" w:bidi="ar"/>
        </w:rPr>
        <w:t>HSE</w:t>
      </w:r>
      <w:r>
        <w:rPr>
          <w:rFonts w:hint="eastAsia" w:ascii="Times New Roman" w:hAnsi="Times New Roman" w:eastAsia="宋体" w:cs="Times New Roman"/>
          <w:b w:val="0"/>
          <w:bCs w:val="0"/>
          <w:color w:val="auto"/>
          <w:kern w:val="0"/>
          <w:sz w:val="28"/>
          <w:szCs w:val="28"/>
          <w:highlight w:val="none"/>
          <w:lang w:val="en-US" w:eastAsia="zh-CN" w:bidi="ar"/>
        </w:rPr>
        <w:t>管理体系，对项目实施</w:t>
      </w:r>
      <w:r>
        <w:rPr>
          <w:rFonts w:hint="default" w:ascii="Times New Roman" w:hAnsi="Times New Roman" w:eastAsia="宋体" w:cs="Times New Roman"/>
          <w:b w:val="0"/>
          <w:bCs w:val="0"/>
          <w:color w:val="auto"/>
          <w:kern w:val="0"/>
          <w:sz w:val="28"/>
          <w:szCs w:val="28"/>
          <w:highlight w:val="none"/>
          <w:lang w:val="en-US" w:eastAsia="zh-CN" w:bidi="ar"/>
        </w:rPr>
        <w:t>HSE</w:t>
      </w:r>
      <w:r>
        <w:rPr>
          <w:rFonts w:hint="eastAsia" w:ascii="Times New Roman" w:hAnsi="Times New Roman" w:eastAsia="宋体" w:cs="Times New Roman"/>
          <w:b w:val="0"/>
          <w:bCs w:val="0"/>
          <w:color w:val="auto"/>
          <w:kern w:val="0"/>
          <w:sz w:val="28"/>
          <w:szCs w:val="28"/>
          <w:highlight w:val="none"/>
          <w:lang w:val="en-US" w:eastAsia="zh-CN" w:bidi="ar"/>
        </w:rPr>
        <w:t>立卷管理，并按其内容执行。针对工程的承包方，应加强环境管理，制定出严格的环保管理制度。</w:t>
      </w:r>
    </w:p>
    <w:p>
      <w:pPr>
        <w:keepNext w:val="0"/>
        <w:keepLines w:val="0"/>
        <w:widowControl/>
        <w:suppressLineNumbers w:val="0"/>
        <w:ind w:firstLine="560" w:firstLineChars="20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①在承包方的选择上应优先选择那些环保管理水平高、环保业绩好的单位。</w:t>
      </w:r>
    </w:p>
    <w:p>
      <w:pPr>
        <w:keepNext w:val="0"/>
        <w:keepLines w:val="0"/>
        <w:widowControl/>
        <w:suppressLineNumbers w:val="0"/>
        <w:ind w:firstLine="560" w:firstLineChars="20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②在承包合同中应明确有关环境保护条款，如环境保护目标，采取的水、气、声和生态保护措施等，将环保工作的好坏作为工程验收的标准之一。</w:t>
      </w:r>
    </w:p>
    <w:p>
      <w:pPr>
        <w:keepNext w:val="0"/>
        <w:keepLines w:val="0"/>
        <w:widowControl/>
        <w:suppressLineNumbers w:val="0"/>
        <w:ind w:firstLine="560" w:firstLineChars="20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③各分承包方应按照项目部的环境管理制度要求，建立相应的环境管理机构，明确环保管理人员，明确人员职责等。</w:t>
      </w:r>
    </w:p>
    <w:p>
      <w:pPr>
        <w:keepNext w:val="0"/>
        <w:keepLines w:val="0"/>
        <w:widowControl/>
        <w:suppressLineNumbers w:val="0"/>
        <w:ind w:firstLine="560" w:firstLineChars="20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④各分承包方在施工之前，编制详细的“环境管理方案”，并连同施工计划一起呈报项目经理部以及有关的环保部门，批准后方可以开工。</w:t>
      </w:r>
    </w:p>
    <w:p>
      <w:pPr>
        <w:keepNext w:val="0"/>
        <w:keepLines w:val="0"/>
        <w:widowControl/>
        <w:suppressLineNumbers w:val="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（2）注重人员培训</w:t>
      </w:r>
    </w:p>
    <w:p>
      <w:pPr>
        <w:keepNext w:val="0"/>
        <w:keepLines w:val="0"/>
        <w:widowControl/>
        <w:suppressLineNumbers w:val="0"/>
        <w:ind w:firstLine="560" w:firstLineChars="20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施工作业之前必须对全体施工人员进行包括环保知识、意识和能力的培训。其中环保能力的培训主要包括：保护生态的规定；减少和收集、处理固体废物的方法；管理、存放及处理危险品的方法；国家及当地政府的环境保护法律、法规等。</w:t>
      </w:r>
    </w:p>
    <w:p>
      <w:pPr>
        <w:keepNext w:val="0"/>
        <w:keepLines w:val="0"/>
        <w:widowControl/>
        <w:suppressLineNumbers w:val="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（3）环境监测计划</w:t>
      </w:r>
    </w:p>
    <w:p>
      <w:pPr>
        <w:keepNext w:val="0"/>
        <w:keepLines w:val="0"/>
        <w:widowControl/>
        <w:suppressLineNumbers w:val="0"/>
        <w:ind w:firstLine="560" w:firstLineChars="200"/>
        <w:jc w:val="left"/>
        <w:rPr>
          <w:rFonts w:hint="default" w:ascii="Times New Roman" w:hAnsi="Times New Roman" w:eastAsia="宋体" w:cs="Times New Roman"/>
          <w:b w:val="0"/>
          <w:bCs w:val="0"/>
          <w:color w:val="auto"/>
          <w:kern w:val="0"/>
          <w:sz w:val="28"/>
          <w:szCs w:val="28"/>
          <w:highlight w:val="none"/>
          <w:lang w:val="en-US" w:eastAsia="zh-CN" w:bidi="ar"/>
        </w:rPr>
      </w:pPr>
      <w:r>
        <w:rPr>
          <w:rFonts w:hint="eastAsia" w:ascii="Times New Roman" w:hAnsi="Times New Roman" w:eastAsia="宋体" w:cs="Times New Roman"/>
          <w:b w:val="0"/>
          <w:bCs w:val="0"/>
          <w:color w:val="auto"/>
          <w:kern w:val="0"/>
          <w:sz w:val="28"/>
          <w:szCs w:val="28"/>
          <w:highlight w:val="none"/>
          <w:lang w:val="en-US" w:eastAsia="zh-CN" w:bidi="ar"/>
        </w:rPr>
        <w:t>本项目需要进行的环境监测任务由大庆油田环境监测评价中心进行，主要是施工期对钻井井场场界的噪声、扬尘等进行一次性监测，发生事故时对周围的空气、地表水、地下水、土壤进行监测。环境监测应按国家和地方的环保要求进行，应采用国家规定的标准监测方法。监测计划具体见下表。</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8.2-2</w:t>
      </w:r>
      <w:r>
        <w:rPr>
          <w:rFonts w:hint="eastAsia" w:ascii="Times New Roman" w:hAnsi="Times New Roman" w:eastAsia="宋体" w:cs="Times New Roman"/>
          <w:b/>
          <w:bCs/>
          <w:color w:val="auto"/>
          <w:kern w:val="0"/>
          <w:sz w:val="24"/>
          <w:szCs w:val="24"/>
          <w:highlight w:val="none"/>
          <w:lang w:val="en-US" w:eastAsia="zh-CN" w:bidi="ar"/>
        </w:rPr>
        <w:t>项目污染物排放监测计划表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74"/>
        <w:gridCol w:w="1790"/>
        <w:gridCol w:w="2345"/>
        <w:gridCol w:w="1703"/>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7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监测内容</w:t>
            </w:r>
          </w:p>
        </w:tc>
        <w:tc>
          <w:tcPr>
            <w:tcW w:w="23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监测项目</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监测点位</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7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场界扬尘</w:t>
            </w:r>
          </w:p>
        </w:tc>
        <w:tc>
          <w:tcPr>
            <w:tcW w:w="23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c>
          <w:tcPr>
            <w:tcW w:w="170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排放源下风向的施工场界周界外</w:t>
            </w:r>
            <w:r>
              <w:rPr>
                <w:rFonts w:hint="default" w:ascii="Times New Roman" w:hAnsi="Times New Roman" w:cs="Times New Roman"/>
                <w:color w:val="auto"/>
                <w:sz w:val="24"/>
                <w:szCs w:val="24"/>
                <w:highlight w:val="none"/>
                <w:vertAlign w:val="baseline"/>
                <w:lang w:val="en-US" w:eastAsia="zh-CN"/>
              </w:rPr>
              <w:t>10m</w:t>
            </w:r>
            <w:r>
              <w:rPr>
                <w:rFonts w:hint="eastAsia" w:ascii="Times New Roman" w:hAnsi="Times New Roman" w:cs="Times New Roman"/>
                <w:color w:val="auto"/>
                <w:sz w:val="24"/>
                <w:szCs w:val="24"/>
                <w:highlight w:val="none"/>
                <w:vertAlign w:val="baseline"/>
                <w:lang w:val="en-US" w:eastAsia="zh-CN"/>
              </w:rPr>
              <w:t>范围内</w:t>
            </w:r>
          </w:p>
        </w:tc>
        <w:tc>
          <w:tcPr>
            <w:tcW w:w="170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次</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施工期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7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挥发性废气</w:t>
            </w:r>
          </w:p>
        </w:tc>
        <w:tc>
          <w:tcPr>
            <w:tcW w:w="23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非甲烷总烃</w:t>
            </w:r>
          </w:p>
        </w:tc>
        <w:tc>
          <w:tcPr>
            <w:tcW w:w="170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70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w:t>
            </w:r>
          </w:p>
        </w:tc>
        <w:tc>
          <w:tcPr>
            <w:tcW w:w="17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场界噪声</w:t>
            </w:r>
          </w:p>
        </w:tc>
        <w:tc>
          <w:tcPr>
            <w:tcW w:w="23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连续等效</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声级</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施工场界外</w:t>
            </w:r>
            <w:r>
              <w:rPr>
                <w:rFonts w:hint="default" w:ascii="Times New Roman" w:hAnsi="Times New Roman" w:cs="Times New Roman"/>
                <w:color w:val="auto"/>
                <w:sz w:val="24"/>
                <w:szCs w:val="24"/>
                <w:highlight w:val="none"/>
                <w:vertAlign w:val="baseline"/>
                <w:lang w:val="en-US" w:eastAsia="zh-CN"/>
              </w:rPr>
              <w:t>1m</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次</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施工期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w:t>
            </w:r>
          </w:p>
        </w:tc>
        <w:tc>
          <w:tcPr>
            <w:tcW w:w="17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事故监测</w:t>
            </w:r>
          </w:p>
        </w:tc>
        <w:tc>
          <w:tcPr>
            <w:tcW w:w="23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空气：非甲烷总烃、甲烷、硫化氢；土壤：石油类、石油烃（C</w:t>
            </w:r>
            <w:r>
              <w:rPr>
                <w:rFonts w:hint="eastAsia" w:ascii="Times New Roman" w:hAnsi="Times New Roman" w:cs="Times New Roman"/>
                <w:color w:val="auto"/>
                <w:sz w:val="24"/>
                <w:szCs w:val="24"/>
                <w:highlight w:val="none"/>
                <w:vertAlign w:val="subscript"/>
                <w:lang w:val="en-US" w:eastAsia="zh-CN"/>
              </w:rPr>
              <w:t>6</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9</w:t>
            </w:r>
            <w:r>
              <w:rPr>
                <w:rFonts w:hint="eastAsia" w:ascii="Times New Roman" w:hAnsi="Times New Roman" w:cs="Times New Roman"/>
                <w:color w:val="auto"/>
                <w:sz w:val="24"/>
                <w:szCs w:val="24"/>
                <w:highlight w:val="none"/>
                <w:vertAlign w:val="baseline"/>
                <w:lang w:val="en-US" w:eastAsia="zh-CN"/>
              </w:rPr>
              <w:t>）、石油烃（C</w:t>
            </w:r>
            <w:r>
              <w:rPr>
                <w:rFonts w:hint="eastAsia" w:ascii="Times New Roman" w:hAnsi="Times New Roman" w:cs="Times New Roman"/>
                <w:color w:val="auto"/>
                <w:sz w:val="24"/>
                <w:szCs w:val="24"/>
                <w:highlight w:val="none"/>
                <w:vertAlign w:val="subscript"/>
                <w:lang w:val="en-US" w:eastAsia="zh-CN"/>
              </w:rPr>
              <w:t>10</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40</w:t>
            </w:r>
            <w:r>
              <w:rPr>
                <w:rFonts w:hint="eastAsia" w:ascii="Times New Roman" w:hAnsi="Times New Roman" w:cs="Times New Roman"/>
                <w:color w:val="auto"/>
                <w:sz w:val="24"/>
                <w:szCs w:val="24"/>
                <w:highlight w:val="none"/>
                <w:vertAlign w:val="baseline"/>
                <w:lang w:val="en-US" w:eastAsia="zh-CN"/>
              </w:rPr>
              <w:t>）、砷、六价铬；地下水：石油类、石油烃（C</w:t>
            </w:r>
            <w:r>
              <w:rPr>
                <w:rFonts w:hint="eastAsia" w:ascii="Times New Roman" w:hAnsi="Times New Roman" w:cs="Times New Roman"/>
                <w:color w:val="auto"/>
                <w:sz w:val="24"/>
                <w:szCs w:val="24"/>
                <w:highlight w:val="none"/>
                <w:vertAlign w:val="subscript"/>
                <w:lang w:val="en-US" w:eastAsia="zh-CN"/>
              </w:rPr>
              <w:t>6</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9</w:t>
            </w:r>
            <w:r>
              <w:rPr>
                <w:rFonts w:hint="eastAsia" w:ascii="Times New Roman" w:hAnsi="Times New Roman" w:cs="Times New Roman"/>
                <w:color w:val="auto"/>
                <w:sz w:val="24"/>
                <w:szCs w:val="24"/>
                <w:highlight w:val="none"/>
                <w:vertAlign w:val="baseline"/>
                <w:lang w:val="en-US" w:eastAsia="zh-CN"/>
              </w:rPr>
              <w:t>）、石油烃（C</w:t>
            </w:r>
            <w:r>
              <w:rPr>
                <w:rFonts w:hint="eastAsia" w:ascii="Times New Roman" w:hAnsi="Times New Roman" w:cs="Times New Roman"/>
                <w:color w:val="auto"/>
                <w:sz w:val="24"/>
                <w:szCs w:val="24"/>
                <w:highlight w:val="none"/>
                <w:vertAlign w:val="subscript"/>
                <w:lang w:val="en-US" w:eastAsia="zh-CN"/>
              </w:rPr>
              <w:t>10</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40</w:t>
            </w:r>
            <w:r>
              <w:rPr>
                <w:rFonts w:hint="eastAsia" w:ascii="Times New Roman" w:hAnsi="Times New Roman" w:cs="Times New Roman"/>
                <w:color w:val="auto"/>
                <w:sz w:val="24"/>
                <w:szCs w:val="24"/>
                <w:highlight w:val="none"/>
                <w:vertAlign w:val="baseline"/>
                <w:lang w:val="en-US" w:eastAsia="zh-CN"/>
              </w:rPr>
              <w:t>）、砷、六价铬、硫化物</w:t>
            </w:r>
          </w:p>
        </w:tc>
        <w:tc>
          <w:tcPr>
            <w:tcW w:w="17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空气及土壤为事故地点；地下水为事故地点周围区域及附近村屯</w:t>
            </w:r>
          </w:p>
        </w:tc>
        <w:tc>
          <w:tcPr>
            <w:tcW w:w="17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事故发时生内</w:t>
            </w:r>
            <w:r>
              <w:rPr>
                <w:rFonts w:hint="default" w:ascii="Times New Roman" w:hAnsi="Times New Roman" w:cs="Times New Roman"/>
                <w:color w:val="auto"/>
                <w:sz w:val="24"/>
                <w:szCs w:val="24"/>
                <w:highlight w:val="none"/>
                <w:vertAlign w:val="baseline"/>
                <w:lang w:val="en-US" w:eastAsia="zh-CN"/>
              </w:rPr>
              <w:t>24</w:t>
            </w:r>
            <w:r>
              <w:rPr>
                <w:rFonts w:hint="eastAsia" w:ascii="Times New Roman" w:hAnsi="Times New Roman" w:cs="Times New Roman"/>
                <w:color w:val="auto"/>
                <w:sz w:val="24"/>
                <w:szCs w:val="24"/>
                <w:highlight w:val="none"/>
                <w:vertAlign w:val="baseline"/>
                <w:lang w:val="en-US" w:eastAsia="zh-CN"/>
              </w:rPr>
              <w:t>小时</w:t>
            </w: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8.2-</w:t>
      </w:r>
      <w:r>
        <w:rPr>
          <w:rFonts w:hint="eastAsia" w:ascii="Times New Roman" w:hAnsi="Times New Roman" w:eastAsia="宋体" w:cs="Times New Roman"/>
          <w:b/>
          <w:bCs/>
          <w:color w:val="auto"/>
          <w:kern w:val="0"/>
          <w:sz w:val="24"/>
          <w:szCs w:val="24"/>
          <w:highlight w:val="none"/>
          <w:lang w:val="en-US" w:eastAsia="zh-CN" w:bidi="ar"/>
        </w:rPr>
        <w:t>3土壤环境跟踪监测计划表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82"/>
        <w:gridCol w:w="1716"/>
        <w:gridCol w:w="1501"/>
        <w:gridCol w:w="1467"/>
        <w:gridCol w:w="23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监测点位</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地理坐标</w:t>
            </w:r>
          </w:p>
        </w:tc>
        <w:tc>
          <w:tcPr>
            <w:tcW w:w="15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监测因子</w:t>
            </w:r>
          </w:p>
        </w:tc>
        <w:tc>
          <w:tcPr>
            <w:tcW w:w="1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监测频次</w:t>
            </w:r>
          </w:p>
        </w:tc>
        <w:tc>
          <w:tcPr>
            <w:tcW w:w="23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拟建肇深19-平2井</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g125.283716，45.805633</w:t>
            </w:r>
          </w:p>
        </w:tc>
        <w:tc>
          <w:tcPr>
            <w:tcW w:w="150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石油类、石油烃（C</w:t>
            </w:r>
            <w:r>
              <w:rPr>
                <w:rFonts w:hint="eastAsia" w:ascii="Times New Roman" w:hAnsi="Times New Roman" w:cs="Times New Roman"/>
                <w:color w:val="auto"/>
                <w:sz w:val="24"/>
                <w:szCs w:val="24"/>
                <w:highlight w:val="none"/>
                <w:vertAlign w:val="subscript"/>
                <w:lang w:val="en-US" w:eastAsia="zh-CN"/>
              </w:rPr>
              <w:t>6</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9</w:t>
            </w:r>
            <w:r>
              <w:rPr>
                <w:rFonts w:hint="eastAsia" w:ascii="Times New Roman" w:hAnsi="Times New Roman" w:cs="Times New Roman"/>
                <w:color w:val="auto"/>
                <w:sz w:val="24"/>
                <w:szCs w:val="24"/>
                <w:highlight w:val="none"/>
                <w:vertAlign w:val="baseline"/>
                <w:lang w:val="en-US" w:eastAsia="zh-CN"/>
              </w:rPr>
              <w:t>）、石油烃（C</w:t>
            </w:r>
            <w:r>
              <w:rPr>
                <w:rFonts w:hint="eastAsia" w:ascii="Times New Roman" w:hAnsi="Times New Roman" w:cs="Times New Roman"/>
                <w:color w:val="auto"/>
                <w:sz w:val="24"/>
                <w:szCs w:val="24"/>
                <w:highlight w:val="none"/>
                <w:vertAlign w:val="subscript"/>
                <w:lang w:val="en-US" w:eastAsia="zh-CN"/>
              </w:rPr>
              <w:t>10</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40</w:t>
            </w:r>
            <w:r>
              <w:rPr>
                <w:rFonts w:hint="eastAsia" w:ascii="Times New Roman" w:hAnsi="Times New Roman" w:cs="Times New Roman"/>
                <w:color w:val="auto"/>
                <w:sz w:val="24"/>
                <w:szCs w:val="24"/>
                <w:highlight w:val="none"/>
                <w:vertAlign w:val="baseline"/>
                <w:lang w:val="en-US" w:eastAsia="zh-CN"/>
              </w:rPr>
              <w:t>）、砷、六价铬</w:t>
            </w:r>
          </w:p>
        </w:tc>
        <w:tc>
          <w:tcPr>
            <w:tcW w:w="146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1次/年</w:t>
            </w:r>
          </w:p>
        </w:tc>
        <w:tc>
          <w:tcPr>
            <w:tcW w:w="23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《土壤环境质量 建设用地土壤污染风险管控标准（试行）》（</w:t>
            </w:r>
            <w:r>
              <w:rPr>
                <w:rFonts w:hint="default" w:ascii="Times New Roman" w:hAnsi="Times New Roman" w:cs="Times New Roman"/>
                <w:color w:val="auto"/>
                <w:sz w:val="24"/>
                <w:szCs w:val="24"/>
                <w:highlight w:val="none"/>
                <w:vertAlign w:val="baseline"/>
                <w:lang w:val="en-US" w:eastAsia="zh-CN"/>
              </w:rPr>
              <w:t>GB36600-2018</w:t>
            </w:r>
            <w:r>
              <w:rPr>
                <w:rFonts w:hint="eastAsia" w:ascii="Times New Roman" w:hAnsi="Times New Roman" w:cs="Times New Roman"/>
                <w:color w:val="auto"/>
                <w:sz w:val="24"/>
                <w:szCs w:val="24"/>
                <w:highlight w:val="none"/>
                <w:vertAlign w:val="baseline"/>
                <w:lang w:val="en-US" w:eastAsia="zh-CN"/>
              </w:rPr>
              <w:t>）第二类土壤污染风险筛选值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拟建肇深19-平3井东侧耕地</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w:t>
            </w:r>
            <w:r>
              <w:rPr>
                <w:rFonts w:hint="default" w:ascii="Times New Roman" w:hAnsi="Times New Roman" w:cs="Times New Roman"/>
                <w:color w:val="auto"/>
                <w:sz w:val="24"/>
                <w:szCs w:val="24"/>
                <w:highlight w:val="none"/>
                <w:vertAlign w:val="baseline"/>
                <w:lang w:val="en-US" w:eastAsia="zh-CN"/>
              </w:rPr>
              <w:t>125.284261</w:t>
            </w:r>
            <w:r>
              <w:rPr>
                <w:rFonts w:hint="eastAsia" w:ascii="Times New Roman" w:hAnsi="Times New Roman" w:cs="Times New Roman"/>
                <w:color w:val="auto"/>
                <w:sz w:val="24"/>
                <w:szCs w:val="24"/>
                <w:highlight w:val="none"/>
                <w:vertAlign w:val="baseline"/>
                <w:lang w:val="en-US" w:eastAsia="zh-CN"/>
              </w:rPr>
              <w:t>，45.808468</w:t>
            </w:r>
          </w:p>
        </w:tc>
        <w:tc>
          <w:tcPr>
            <w:tcW w:w="150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14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35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《土壤环境质量 农用地土壤污染风险管控标准》（GB15618—2018）农用地土壤污染风险筛选值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放喷池周边土壤</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5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石油烃、硫化物、PH、土壤含盐量</w:t>
            </w:r>
          </w:p>
        </w:tc>
        <w:tc>
          <w:tcPr>
            <w:tcW w:w="14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235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p>
        </w:tc>
      </w:tr>
    </w:tbl>
    <w:p>
      <w:pPr>
        <w:keepNext w:val="0"/>
        <w:keepLines w:val="0"/>
        <w:widowControl/>
        <w:suppressLineNumbers w:val="0"/>
        <w:spacing w:line="360" w:lineRule="auto"/>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8.2-</w:t>
      </w:r>
      <w:r>
        <w:rPr>
          <w:rFonts w:hint="eastAsia" w:ascii="Times New Roman" w:hAnsi="Times New Roman" w:eastAsia="宋体" w:cs="Times New Roman"/>
          <w:b/>
          <w:bCs/>
          <w:color w:val="auto"/>
          <w:kern w:val="0"/>
          <w:sz w:val="24"/>
          <w:szCs w:val="24"/>
          <w:highlight w:val="none"/>
          <w:lang w:val="en-US" w:eastAsia="zh-CN" w:bidi="ar"/>
        </w:rPr>
        <w:t>4生态监测计划</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27"/>
        <w:gridCol w:w="1387"/>
        <w:gridCol w:w="1688"/>
        <w:gridCol w:w="43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时段</w:t>
            </w:r>
          </w:p>
        </w:tc>
        <w:tc>
          <w:tcPr>
            <w:tcW w:w="138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序号</w:t>
            </w:r>
          </w:p>
        </w:tc>
        <w:tc>
          <w:tcPr>
            <w:tcW w:w="1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监测项目</w:t>
            </w:r>
          </w:p>
        </w:tc>
        <w:tc>
          <w:tcPr>
            <w:tcW w:w="43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主要技术要求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建设期</w:t>
            </w:r>
          </w:p>
        </w:tc>
        <w:tc>
          <w:tcPr>
            <w:tcW w:w="138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w:t>
            </w:r>
          </w:p>
        </w:tc>
        <w:tc>
          <w:tcPr>
            <w:tcW w:w="168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土壤侵蚀</w:t>
            </w:r>
          </w:p>
        </w:tc>
        <w:tc>
          <w:tcPr>
            <w:tcW w:w="43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1.监测项目：土壤侵蚀类型、侵蚀量。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112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3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6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43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2.监测频率：每年1次，在七月或八月进行。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3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6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43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3.监测点：</w:t>
            </w:r>
            <w:r>
              <w:rPr>
                <w:rFonts w:hint="eastAsia" w:ascii="Times New Roman" w:hAnsi="Times New Roman" w:cs="Times New Roman"/>
                <w:color w:val="auto"/>
                <w:sz w:val="24"/>
                <w:szCs w:val="24"/>
                <w:highlight w:val="none"/>
                <w:vertAlign w:val="baseline"/>
                <w:lang w:val="en-US" w:eastAsia="zh-CN"/>
              </w:rPr>
              <w:t>施工场地</w:t>
            </w:r>
            <w:r>
              <w:rPr>
                <w:rFonts w:hint="default" w:ascii="Times New Roman" w:hAnsi="Times New Roman" w:cs="Times New Roman"/>
                <w:color w:val="auto"/>
                <w:sz w:val="24"/>
                <w:szCs w:val="24"/>
                <w:highlight w:val="none"/>
                <w:vertAlign w:val="baseline"/>
                <w:lang w:val="en-US" w:eastAsia="zh-CN"/>
              </w:rPr>
              <w:t>3～5个代表点。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38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w:t>
            </w:r>
          </w:p>
        </w:tc>
        <w:tc>
          <w:tcPr>
            <w:tcW w:w="168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临时占地恢复效果</w:t>
            </w:r>
          </w:p>
        </w:tc>
        <w:tc>
          <w:tcPr>
            <w:tcW w:w="43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1.监测项目：植被覆盖率、植物种类、</w:t>
            </w:r>
            <w:r>
              <w:rPr>
                <w:rFonts w:hint="eastAsia" w:ascii="Times New Roman" w:hAnsi="Times New Roman" w:cs="Times New Roman"/>
                <w:color w:val="auto"/>
                <w:sz w:val="24"/>
                <w:szCs w:val="24"/>
                <w:highlight w:val="none"/>
                <w:vertAlign w:val="baseline"/>
                <w:lang w:val="en-US" w:eastAsia="zh-CN"/>
              </w:rPr>
              <w:t>农作物单位生产力</w:t>
            </w:r>
            <w:r>
              <w:rPr>
                <w:rFonts w:hint="default" w:ascii="Times New Roman" w:hAnsi="Times New Roman" w:cs="Times New Roman"/>
                <w:color w:val="auto"/>
                <w:sz w:val="24"/>
                <w:szCs w:val="24"/>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3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6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43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2.监测频率：每年1次，在七月或八月进行。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2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3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168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43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3.监测点：</w:t>
            </w:r>
            <w:r>
              <w:rPr>
                <w:rFonts w:hint="eastAsia" w:ascii="Times New Roman" w:hAnsi="Times New Roman" w:cs="Times New Roman"/>
                <w:color w:val="auto"/>
                <w:sz w:val="24"/>
                <w:szCs w:val="24"/>
                <w:highlight w:val="none"/>
                <w:vertAlign w:val="baseline"/>
                <w:lang w:val="en-US" w:eastAsia="zh-CN"/>
              </w:rPr>
              <w:t>临时占用农田，</w:t>
            </w:r>
            <w:r>
              <w:rPr>
                <w:rFonts w:hint="default" w:ascii="Times New Roman" w:hAnsi="Times New Roman" w:cs="Times New Roman"/>
                <w:color w:val="auto"/>
                <w:sz w:val="24"/>
                <w:szCs w:val="24"/>
                <w:highlight w:val="none"/>
                <w:vertAlign w:val="baseline"/>
                <w:lang w:val="en-US" w:eastAsia="zh-CN"/>
              </w:rPr>
              <w:t>3～5个代表点</w:t>
            </w:r>
          </w:p>
        </w:tc>
      </w:tr>
    </w:tbl>
    <w:p>
      <w:pPr>
        <w:pStyle w:val="2"/>
        <w:ind w:left="0" w:leftChars="0" w:firstLine="0" w:firstLineChars="0"/>
        <w:rPr>
          <w:rFonts w:hint="default"/>
          <w:color w:val="auto"/>
          <w:highlight w:val="none"/>
          <w:lang w:val="en-US" w:eastAsia="zh-CN"/>
        </w:rPr>
      </w:pPr>
    </w:p>
    <w:p>
      <w:pPr>
        <w:rPr>
          <w:rFonts w:hint="eastAsia" w:ascii="Times New Roman" w:hAnsi="Times New Roman" w:eastAsia="宋体" w:cs="Times New Roman"/>
          <w:b/>
          <w:bCs/>
          <w:color w:val="auto"/>
          <w:kern w:val="0"/>
          <w:sz w:val="24"/>
          <w:szCs w:val="24"/>
          <w:highlight w:val="none"/>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val="0"/>
        <w:keepLines w:val="0"/>
        <w:widowControl/>
        <w:suppressLineNumbers w:val="0"/>
        <w:spacing w:line="360" w:lineRule="auto"/>
        <w:ind w:firstLine="482" w:firstLineChars="200"/>
        <w:jc w:val="center"/>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default" w:ascii="Times New Roman" w:hAnsi="Times New Roman" w:eastAsia="宋体" w:cs="Times New Roman"/>
          <w:b/>
          <w:bCs/>
          <w:color w:val="auto"/>
          <w:kern w:val="0"/>
          <w:sz w:val="24"/>
          <w:szCs w:val="24"/>
          <w:highlight w:val="none"/>
          <w:lang w:val="en-US" w:eastAsia="zh-CN" w:bidi="ar"/>
        </w:rPr>
        <w:t>8.2-</w:t>
      </w:r>
      <w:r>
        <w:rPr>
          <w:rFonts w:hint="eastAsia" w:ascii="Times New Roman" w:hAnsi="Times New Roman" w:eastAsia="宋体" w:cs="Times New Roman"/>
          <w:b/>
          <w:bCs/>
          <w:color w:val="auto"/>
          <w:kern w:val="0"/>
          <w:sz w:val="24"/>
          <w:szCs w:val="24"/>
          <w:highlight w:val="none"/>
          <w:lang w:val="en-US" w:eastAsia="zh-CN" w:bidi="ar"/>
        </w:rPr>
        <w:t>5地下水环境监测计划表</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37"/>
        <w:gridCol w:w="830"/>
        <w:gridCol w:w="803"/>
        <w:gridCol w:w="794"/>
        <w:gridCol w:w="680"/>
        <w:gridCol w:w="631"/>
        <w:gridCol w:w="1361"/>
        <w:gridCol w:w="720"/>
        <w:gridCol w:w="14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跟踪</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监测井</w:t>
            </w:r>
          </w:p>
        </w:tc>
        <w:tc>
          <w:tcPr>
            <w:tcW w:w="4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坐标</w:t>
            </w:r>
          </w:p>
        </w:tc>
        <w:tc>
          <w:tcPr>
            <w:tcW w:w="47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相对厂址方位</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距离</w:t>
            </w:r>
          </w:p>
        </w:tc>
        <w:tc>
          <w:tcPr>
            <w:tcW w:w="4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井深（</w:t>
            </w:r>
            <w:r>
              <w:rPr>
                <w:rFonts w:hint="default"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baseline"/>
                <w:lang w:val="en-US" w:eastAsia="zh-CN"/>
              </w:rPr>
              <w:t>）</w:t>
            </w:r>
          </w:p>
        </w:tc>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井结构</w:t>
            </w:r>
          </w:p>
        </w:tc>
        <w:tc>
          <w:tcPr>
            <w:tcW w:w="3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功能</w:t>
            </w:r>
          </w:p>
        </w:tc>
        <w:tc>
          <w:tcPr>
            <w:tcW w:w="7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监测因子</w:t>
            </w:r>
          </w:p>
        </w:tc>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监测频次</w:t>
            </w:r>
          </w:p>
        </w:tc>
        <w:tc>
          <w:tcPr>
            <w:tcW w:w="8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执行排放标准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上游监测井（依托李珍窝棚水井）</w:t>
            </w:r>
          </w:p>
        </w:tc>
        <w:tc>
          <w:tcPr>
            <w:tcW w:w="4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g125.281343，45.811839</w:t>
            </w:r>
          </w:p>
        </w:tc>
        <w:tc>
          <w:tcPr>
            <w:tcW w:w="47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拟建肇深19-平3井西北侧276m</w:t>
            </w:r>
          </w:p>
        </w:tc>
        <w:tc>
          <w:tcPr>
            <w:tcW w:w="4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32</w:t>
            </w:r>
          </w:p>
        </w:tc>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水泥</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管井</w:t>
            </w:r>
          </w:p>
        </w:tc>
        <w:tc>
          <w:tcPr>
            <w:tcW w:w="37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背景值监测点</w:t>
            </w:r>
          </w:p>
        </w:tc>
        <w:tc>
          <w:tcPr>
            <w:tcW w:w="79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石油类、石油烃（C</w:t>
            </w:r>
            <w:r>
              <w:rPr>
                <w:rFonts w:hint="eastAsia" w:ascii="Times New Roman" w:hAnsi="Times New Roman" w:cs="Times New Roman"/>
                <w:color w:val="auto"/>
                <w:sz w:val="24"/>
                <w:szCs w:val="24"/>
                <w:highlight w:val="none"/>
                <w:vertAlign w:val="subscript"/>
                <w:lang w:val="en-US" w:eastAsia="zh-CN"/>
              </w:rPr>
              <w:t>6</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9</w:t>
            </w:r>
            <w:r>
              <w:rPr>
                <w:rFonts w:hint="eastAsia" w:ascii="Times New Roman" w:hAnsi="Times New Roman" w:cs="Times New Roman"/>
                <w:color w:val="auto"/>
                <w:sz w:val="24"/>
                <w:szCs w:val="24"/>
                <w:highlight w:val="none"/>
                <w:vertAlign w:val="baseline"/>
                <w:lang w:val="en-US" w:eastAsia="zh-CN"/>
              </w:rPr>
              <w:t>）、石油烃（C</w:t>
            </w:r>
            <w:r>
              <w:rPr>
                <w:rFonts w:hint="eastAsia" w:ascii="Times New Roman" w:hAnsi="Times New Roman" w:cs="Times New Roman"/>
                <w:color w:val="auto"/>
                <w:sz w:val="24"/>
                <w:szCs w:val="24"/>
                <w:highlight w:val="none"/>
                <w:vertAlign w:val="subscript"/>
                <w:lang w:val="en-US" w:eastAsia="zh-CN"/>
              </w:rPr>
              <w:t>10</w:t>
            </w:r>
            <w:r>
              <w:rPr>
                <w:rFonts w:hint="eastAsia" w:ascii="Times New Roman" w:hAnsi="Times New Roman" w:cs="Times New Roman"/>
                <w:color w:val="auto"/>
                <w:sz w:val="24"/>
                <w:szCs w:val="24"/>
                <w:highlight w:val="none"/>
                <w:vertAlign w:val="baseline"/>
                <w:lang w:val="en-US" w:eastAsia="zh-CN"/>
              </w:rPr>
              <w:t>～C</w:t>
            </w:r>
            <w:r>
              <w:rPr>
                <w:rFonts w:hint="eastAsia" w:ascii="Times New Roman" w:hAnsi="Times New Roman" w:cs="Times New Roman"/>
                <w:color w:val="auto"/>
                <w:sz w:val="24"/>
                <w:szCs w:val="24"/>
                <w:highlight w:val="none"/>
                <w:vertAlign w:val="subscript"/>
                <w:lang w:val="en-US" w:eastAsia="zh-CN"/>
              </w:rPr>
              <w:t>40</w:t>
            </w:r>
            <w:r>
              <w:rPr>
                <w:rFonts w:hint="eastAsia" w:ascii="Times New Roman" w:hAnsi="Times New Roman" w:cs="Times New Roman"/>
                <w:color w:val="auto"/>
                <w:sz w:val="24"/>
                <w:szCs w:val="24"/>
                <w:highlight w:val="none"/>
                <w:vertAlign w:val="baseline"/>
                <w:lang w:val="en-US" w:eastAsia="zh-CN"/>
              </w:rPr>
              <w:t>）、砷、六价铬、硫化物</w:t>
            </w:r>
          </w:p>
        </w:tc>
        <w:tc>
          <w:tcPr>
            <w:tcW w:w="42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1</w:t>
            </w:r>
            <w:r>
              <w:rPr>
                <w:rFonts w:hint="eastAsia" w:ascii="Times New Roman" w:hAnsi="Times New Roman" w:cs="Times New Roman"/>
                <w:color w:val="auto"/>
                <w:sz w:val="24"/>
                <w:szCs w:val="24"/>
                <w:highlight w:val="none"/>
                <w:vertAlign w:val="baseline"/>
                <w:lang w:val="en-US" w:eastAsia="zh-CN"/>
              </w:rPr>
              <w:t>次</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半年</w:t>
            </w:r>
          </w:p>
        </w:tc>
        <w:tc>
          <w:tcPr>
            <w:tcW w:w="8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石油类执行《地表水环境质量标准》（GB3838-2002）Ⅲ类；硫化物、砷、六价铬执行《地下水质量标准》（GB/T14848-2017）Ⅲ类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下游监测井（依托三门董家水井）</w:t>
            </w:r>
          </w:p>
        </w:tc>
        <w:tc>
          <w:tcPr>
            <w:tcW w:w="4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g125.275417，45.805872</w:t>
            </w:r>
          </w:p>
        </w:tc>
        <w:tc>
          <w:tcPr>
            <w:tcW w:w="47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拟建肇深19-平2井西北0.610km</w:t>
            </w:r>
          </w:p>
        </w:tc>
        <w:tc>
          <w:tcPr>
            <w:tcW w:w="4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45</w:t>
            </w:r>
          </w:p>
        </w:tc>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水泥</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管井</w:t>
            </w:r>
          </w:p>
        </w:tc>
        <w:tc>
          <w:tcPr>
            <w:tcW w:w="37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污染扩散监测点</w:t>
            </w:r>
          </w:p>
        </w:tc>
        <w:tc>
          <w:tcPr>
            <w:tcW w:w="799" w:type="pct"/>
            <w:vMerge w:val="continue"/>
            <w:tcBorders>
              <w:tl2br w:val="nil"/>
              <w:tr2bl w:val="nil"/>
            </w:tcBorders>
            <w:noWrap w:val="0"/>
            <w:vAlign w:val="top"/>
          </w:tcPr>
          <w:p>
            <w:pPr>
              <w:pStyle w:val="22"/>
              <w:rPr>
                <w:rFonts w:hint="eastAsia"/>
                <w:color w:val="auto"/>
                <w:highlight w:val="none"/>
                <w:vertAlign w:val="baseline"/>
                <w:lang w:val="en-US" w:eastAsia="zh-CN"/>
              </w:rPr>
            </w:pPr>
          </w:p>
        </w:tc>
        <w:tc>
          <w:tcPr>
            <w:tcW w:w="422" w:type="pct"/>
            <w:vMerge w:val="continue"/>
            <w:tcBorders>
              <w:tl2br w:val="nil"/>
              <w:tr2bl w:val="nil"/>
            </w:tcBorders>
            <w:noWrap w:val="0"/>
            <w:vAlign w:val="top"/>
          </w:tcPr>
          <w:p>
            <w:pPr>
              <w:pStyle w:val="22"/>
              <w:ind w:left="0" w:leftChars="0" w:firstLine="0" w:firstLineChars="0"/>
              <w:rPr>
                <w:rFonts w:hint="eastAsia"/>
                <w:color w:val="auto"/>
                <w:highlight w:val="none"/>
                <w:vertAlign w:val="baseline"/>
                <w:lang w:val="en-US" w:eastAsia="zh-CN"/>
              </w:rPr>
            </w:pPr>
          </w:p>
        </w:tc>
        <w:tc>
          <w:tcPr>
            <w:tcW w:w="854" w:type="pct"/>
            <w:vMerge w:val="continue"/>
            <w:tcBorders>
              <w:tl2br w:val="nil"/>
              <w:tr2bl w:val="nil"/>
            </w:tcBorders>
            <w:noWrap w:val="0"/>
            <w:vAlign w:val="top"/>
          </w:tcPr>
          <w:p>
            <w:pPr>
              <w:pStyle w:val="22"/>
              <w:ind w:left="0" w:leftChars="0" w:firstLine="0" w:firstLineChars="0"/>
              <w:rPr>
                <w:rFonts w:hint="eastAsia"/>
                <w:color w:val="auto"/>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下游监测井（依托平等村水井）</w:t>
            </w:r>
          </w:p>
        </w:tc>
        <w:tc>
          <w:tcPr>
            <w:tcW w:w="4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g125.291883，45.785324</w:t>
            </w:r>
          </w:p>
        </w:tc>
        <w:tc>
          <w:tcPr>
            <w:tcW w:w="47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拟建肇深19-斜1井南1.349km</w:t>
            </w:r>
          </w:p>
        </w:tc>
        <w:tc>
          <w:tcPr>
            <w:tcW w:w="4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80</w:t>
            </w:r>
          </w:p>
        </w:tc>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水泥</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管井</w:t>
            </w:r>
          </w:p>
        </w:tc>
        <w:tc>
          <w:tcPr>
            <w:tcW w:w="37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799" w:type="pct"/>
            <w:vMerge w:val="continue"/>
            <w:tcBorders>
              <w:tl2br w:val="nil"/>
              <w:tr2bl w:val="nil"/>
            </w:tcBorders>
            <w:noWrap w:val="0"/>
            <w:vAlign w:val="top"/>
          </w:tcPr>
          <w:p>
            <w:pPr>
              <w:pStyle w:val="22"/>
              <w:rPr>
                <w:rFonts w:hint="eastAsia"/>
                <w:color w:val="auto"/>
                <w:highlight w:val="none"/>
                <w:vertAlign w:val="baseline"/>
                <w:lang w:val="en-US" w:eastAsia="zh-CN"/>
              </w:rPr>
            </w:pPr>
          </w:p>
        </w:tc>
        <w:tc>
          <w:tcPr>
            <w:tcW w:w="422" w:type="pct"/>
            <w:vMerge w:val="continue"/>
            <w:tcBorders>
              <w:tl2br w:val="nil"/>
              <w:tr2bl w:val="nil"/>
            </w:tcBorders>
            <w:noWrap w:val="0"/>
            <w:vAlign w:val="top"/>
          </w:tcPr>
          <w:p>
            <w:pPr>
              <w:pStyle w:val="22"/>
              <w:ind w:left="0" w:leftChars="0" w:firstLine="0" w:firstLineChars="0"/>
              <w:rPr>
                <w:rFonts w:hint="eastAsia"/>
                <w:color w:val="auto"/>
                <w:highlight w:val="none"/>
                <w:vertAlign w:val="baseline"/>
                <w:lang w:val="en-US" w:eastAsia="zh-CN"/>
              </w:rPr>
            </w:pPr>
          </w:p>
        </w:tc>
        <w:tc>
          <w:tcPr>
            <w:tcW w:w="854" w:type="pct"/>
            <w:vMerge w:val="continue"/>
            <w:tcBorders>
              <w:tl2br w:val="nil"/>
              <w:tr2bl w:val="nil"/>
            </w:tcBorders>
            <w:noWrap w:val="0"/>
            <w:vAlign w:val="top"/>
          </w:tcPr>
          <w:p>
            <w:pPr>
              <w:pStyle w:val="22"/>
              <w:ind w:left="0" w:leftChars="0" w:firstLine="0" w:firstLineChars="0"/>
              <w:rPr>
                <w:rFonts w:hint="eastAsia"/>
                <w:color w:val="auto"/>
                <w:highlight w:val="none"/>
                <w:vertAlign w:val="baseline"/>
                <w:lang w:val="en-US" w:eastAsia="zh-CN"/>
              </w:rPr>
            </w:pPr>
          </w:p>
        </w:tc>
      </w:tr>
    </w:tbl>
    <w:p>
      <w:pPr>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rPr>
          <w:rFonts w:hint="default" w:ascii="Times New Roman" w:hAnsi="Times New Roman" w:eastAsia="宋体" w:cs="Times New Roman"/>
          <w:color w:val="auto"/>
          <w:kern w:val="0"/>
          <w:sz w:val="43"/>
          <w:szCs w:val="43"/>
          <w:highlight w:val="none"/>
          <w:lang w:val="en-US" w:eastAsia="zh-CN" w:bidi="ar"/>
        </w:rPr>
      </w:pPr>
    </w:p>
    <w:p>
      <w:pPr>
        <w:pStyle w:val="5"/>
        <w:keepNext w:val="0"/>
        <w:keepLines w:val="0"/>
        <w:pageBreakBefore w:val="0"/>
        <w:numPr>
          <w:ilvl w:val="0"/>
          <w:numId w:val="0"/>
        </w:numPr>
        <w:tabs>
          <w:tab w:val="left" w:pos="1080"/>
        </w:tabs>
        <w:bidi w:val="0"/>
        <w:adjustRightInd w:val="0"/>
        <w:snapToGrid w:val="0"/>
        <w:spacing w:before="240" w:after="0" w:line="360" w:lineRule="auto"/>
        <w:ind w:left="0" w:firstLine="0" w:firstLineChars="0"/>
        <w:jc w:val="center"/>
        <w:rPr>
          <w:rFonts w:hint="eastAsia" w:ascii="Times New Roman" w:hAnsi="Times New Roman" w:eastAsia="宋体" w:cs="Times New Roman"/>
          <w:b/>
          <w:bCs/>
          <w:caps w:val="0"/>
          <w:smallCaps w:val="0"/>
          <w:color w:val="auto"/>
          <w:spacing w:val="0"/>
          <w:w w:val="100"/>
          <w:sz w:val="32"/>
          <w:szCs w:val="32"/>
          <w:highlight w:val="none"/>
          <w:lang w:val="en-US" w:eastAsia="zh-CN"/>
        </w:rPr>
      </w:pPr>
      <w:bookmarkStart w:id="207" w:name="_Toc4795"/>
      <w:r>
        <w:rPr>
          <w:rFonts w:hint="eastAsia" w:ascii="Times New Roman" w:hAnsi="Times New Roman" w:eastAsia="宋体" w:cs="Times New Roman"/>
          <w:b/>
          <w:bCs/>
          <w:caps w:val="0"/>
          <w:smallCaps w:val="0"/>
          <w:color w:val="auto"/>
          <w:spacing w:val="0"/>
          <w:w w:val="100"/>
          <w:sz w:val="32"/>
          <w:szCs w:val="32"/>
          <w:highlight w:val="none"/>
          <w:lang w:val="en-US" w:eastAsia="zh-CN"/>
        </w:rPr>
        <w:t>第九章   环境影响评价结论</w:t>
      </w:r>
      <w:bookmarkEnd w:id="207"/>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08" w:name="_Toc7165"/>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9.1</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工程概况</w:t>
      </w:r>
      <w:bookmarkEnd w:id="208"/>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项目名称：肇深19—斜1等3口井钻井工程项目</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建设单位：大庆油田有限责任公司采气分公司</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建设地点：黑龙江省大庆市肇州县双发乡三门董家屯东侧</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建设性质：扩建</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工程规模：本项目新钻3口天然气开发井，其中2口井型为水平井，1口为定向井，设计完钻垂深3356.31～3690m，设计完钻斜深3761～4607m；完井后继续开展压裂试气作业，至压裂试气结束后，完成全部施工工作。本项目实施仅为后续区域产能建设进行准备，不涉及地面场站、管线等配套设施建设工作。</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占地面积：永久占地0.48</w:t>
      </w:r>
      <w:r>
        <w:rPr>
          <w:rFonts w:hint="default" w:ascii="Times New Roman" w:hAnsi="Times New Roman" w:eastAsia="宋体" w:cs="Times New Roman"/>
          <w:color w:val="auto"/>
          <w:kern w:val="0"/>
          <w:sz w:val="28"/>
          <w:szCs w:val="28"/>
          <w:highlight w:val="none"/>
          <w:lang w:val="en-US" w:eastAsia="zh-CN" w:bidi="ar"/>
        </w:rPr>
        <w:t>hm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，临时占地2.64</w:t>
      </w:r>
      <w:r>
        <w:rPr>
          <w:rFonts w:hint="default" w:ascii="Times New Roman" w:hAnsi="Times New Roman" w:eastAsia="宋体" w:cs="Times New Roman"/>
          <w:color w:val="auto"/>
          <w:kern w:val="0"/>
          <w:sz w:val="28"/>
          <w:szCs w:val="28"/>
          <w:highlight w:val="none"/>
          <w:lang w:val="en-US" w:eastAsia="zh-CN" w:bidi="ar"/>
        </w:rPr>
        <w:t>hm</w:t>
      </w:r>
      <w:r>
        <w:rPr>
          <w:rFonts w:hint="eastAsia" w:ascii="Times New Roman" w:hAnsi="Times New Roman" w:eastAsia="宋体" w:cs="Times New Roman"/>
          <w:color w:val="auto"/>
          <w:kern w:val="0"/>
          <w:sz w:val="28"/>
          <w:szCs w:val="28"/>
          <w:highlight w:val="none"/>
          <w:vertAlign w:val="superscript"/>
          <w:lang w:val="en-US" w:eastAsia="zh-CN" w:bidi="ar"/>
        </w:rPr>
        <w:t>2</w:t>
      </w:r>
      <w:r>
        <w:rPr>
          <w:rFonts w:hint="eastAsia" w:ascii="Times New Roman" w:hAnsi="Times New Roman" w:eastAsia="宋体" w:cs="Times New Roman"/>
          <w:color w:val="auto"/>
          <w:kern w:val="0"/>
          <w:sz w:val="28"/>
          <w:szCs w:val="28"/>
          <w:highlight w:val="none"/>
          <w:lang w:val="en-US" w:eastAsia="zh-CN" w:bidi="ar"/>
        </w:rPr>
        <w:t>。</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工程投资：20466.4万元。</w:t>
      </w:r>
    </w:p>
    <w:bookmarkEnd w:id="164"/>
    <w:bookmarkEnd w:id="165"/>
    <w:bookmarkEnd w:id="166"/>
    <w:bookmarkEnd w:id="167"/>
    <w:bookmarkEnd w:id="168"/>
    <w:bookmarkEnd w:id="169"/>
    <w:bookmarkEnd w:id="170"/>
    <w:bookmarkEnd w:id="171"/>
    <w:bookmarkEnd w:id="172"/>
    <w:bookmarkEnd w:id="173"/>
    <w:bookmarkEnd w:id="174"/>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09" w:name="_Toc24309"/>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9.2</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环境质量现状</w:t>
      </w:r>
      <w:bookmarkEnd w:id="209"/>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9.2.1</w:t>
      </w:r>
      <w:r>
        <w:rPr>
          <w:rFonts w:hint="eastAsia" w:ascii="Times New Roman" w:hAnsi="Times New Roman" w:eastAsia="宋体" w:cs="Times New Roman"/>
          <w:color w:val="auto"/>
          <w:kern w:val="0"/>
          <w:sz w:val="28"/>
          <w:szCs w:val="28"/>
          <w:highlight w:val="none"/>
          <w:lang w:val="en-US" w:eastAsia="zh-CN" w:bidi="ar"/>
        </w:rPr>
        <w:t>空气环境质量现状</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根据大庆市生态环境局202</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年6月5日公布的《202</w:t>
      </w: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年大庆市生态环境状况公报》，</w:t>
      </w:r>
      <w:r>
        <w:rPr>
          <w:rFonts w:hint="eastAsia" w:ascii="Times New Roman" w:hAnsi="Times New Roman" w:eastAsia="宋体" w:cs="Times New Roman"/>
          <w:color w:val="auto"/>
          <w:kern w:val="0"/>
          <w:sz w:val="28"/>
          <w:szCs w:val="28"/>
          <w:highlight w:val="none"/>
          <w:lang w:val="en-US" w:eastAsia="zh-CN" w:bidi="ar"/>
        </w:rPr>
        <w:t>2021</w:t>
      </w:r>
      <w:r>
        <w:rPr>
          <w:rFonts w:hint="default" w:ascii="Times New Roman" w:hAnsi="Times New Roman" w:eastAsia="宋体" w:cs="Times New Roman"/>
          <w:color w:val="auto"/>
          <w:kern w:val="0"/>
          <w:sz w:val="28"/>
          <w:szCs w:val="28"/>
          <w:highlight w:val="none"/>
          <w:lang w:val="en-US" w:eastAsia="zh-CN" w:bidi="ar"/>
        </w:rPr>
        <w:t>年城区环境空气中二氧化硫优于国家一级标准限值；二氧化氮（NO</w:t>
      </w:r>
      <w:r>
        <w:rPr>
          <w:rFonts w:hint="default" w:ascii="Times New Roman" w:hAnsi="Times New Roman" w:eastAsia="宋体" w:cs="Times New Roman"/>
          <w:color w:val="auto"/>
          <w:kern w:val="0"/>
          <w:sz w:val="28"/>
          <w:szCs w:val="28"/>
          <w:highlight w:val="none"/>
          <w:vertAlign w:val="subscript"/>
          <w:lang w:val="en-US" w:eastAsia="zh-CN" w:bidi="ar"/>
        </w:rPr>
        <w:t>2</w:t>
      </w:r>
      <w:r>
        <w:rPr>
          <w:rFonts w:hint="default" w:ascii="Times New Roman" w:hAnsi="Times New Roman" w:eastAsia="宋体" w:cs="Times New Roman"/>
          <w:color w:val="auto"/>
          <w:kern w:val="0"/>
          <w:sz w:val="28"/>
          <w:szCs w:val="28"/>
          <w:highlight w:val="none"/>
          <w:lang w:val="en-US" w:eastAsia="zh-CN" w:bidi="ar"/>
        </w:rPr>
        <w:t>）优于国家一级标准限值；可吸入颗粒物（PM</w:t>
      </w:r>
      <w:r>
        <w:rPr>
          <w:rFonts w:hint="default" w:ascii="Times New Roman" w:hAnsi="Times New Roman" w:eastAsia="宋体" w:cs="Times New Roman"/>
          <w:color w:val="auto"/>
          <w:kern w:val="0"/>
          <w:sz w:val="28"/>
          <w:szCs w:val="28"/>
          <w:highlight w:val="none"/>
          <w:vertAlign w:val="subscript"/>
          <w:lang w:val="en-US" w:eastAsia="zh-CN" w:bidi="ar"/>
        </w:rPr>
        <w:t>10</w:t>
      </w:r>
      <w:r>
        <w:rPr>
          <w:rFonts w:hint="default" w:ascii="Times New Roman" w:hAnsi="Times New Roman" w:eastAsia="宋体" w:cs="Times New Roman"/>
          <w:color w:val="auto"/>
          <w:kern w:val="0"/>
          <w:sz w:val="28"/>
          <w:szCs w:val="28"/>
          <w:highlight w:val="none"/>
          <w:lang w:val="en-US" w:eastAsia="zh-CN" w:bidi="ar"/>
        </w:rPr>
        <w:t>）优于国家二级标准限值；细颗粒物（PM</w:t>
      </w:r>
      <w:r>
        <w:rPr>
          <w:rFonts w:hint="default" w:ascii="Times New Roman" w:hAnsi="Times New Roman" w:eastAsia="宋体" w:cs="Times New Roman"/>
          <w:color w:val="auto"/>
          <w:kern w:val="0"/>
          <w:sz w:val="28"/>
          <w:szCs w:val="28"/>
          <w:highlight w:val="none"/>
          <w:vertAlign w:val="subscript"/>
          <w:lang w:val="en-US" w:eastAsia="zh-CN" w:bidi="ar"/>
        </w:rPr>
        <w:t>2.5</w:t>
      </w:r>
      <w:r>
        <w:rPr>
          <w:rFonts w:hint="default" w:ascii="Times New Roman" w:hAnsi="Times New Roman" w:eastAsia="宋体" w:cs="Times New Roman"/>
          <w:color w:val="auto"/>
          <w:kern w:val="0"/>
          <w:sz w:val="28"/>
          <w:szCs w:val="28"/>
          <w:highlight w:val="none"/>
          <w:lang w:val="en-US" w:eastAsia="zh-CN" w:bidi="ar"/>
        </w:rPr>
        <w:t>）达到国家二级标准限值；一氧化碳（CO）优于国家一级标准限值；臭氧优于国家二级标准限值，环境空气质量状况良好，保持总体稳定。</w:t>
      </w:r>
    </w:p>
    <w:p>
      <w:pPr>
        <w:keepNext w:val="0"/>
        <w:keepLines w:val="0"/>
        <w:widowControl/>
        <w:suppressLineNumbers w:val="0"/>
        <w:spacing w:line="360" w:lineRule="auto"/>
        <w:ind w:firstLine="560" w:firstLineChars="200"/>
        <w:jc w:val="both"/>
        <w:rPr>
          <w:rFonts w:hint="default" w:ascii="Times New Roman" w:hAnsi="Times New Roman" w:cs="Times New Roman"/>
          <w:caps w:val="0"/>
          <w:smallCaps w:val="0"/>
          <w:color w:val="auto"/>
          <w:spacing w:val="0"/>
          <w:w w:val="100"/>
          <w:szCs w:val="28"/>
          <w:highlight w:val="none"/>
        </w:rPr>
      </w:pPr>
      <w:r>
        <w:rPr>
          <w:rFonts w:hint="default" w:ascii="Times New Roman" w:hAnsi="Times New Roman" w:eastAsia="宋体" w:cs="Times New Roman"/>
          <w:color w:val="auto"/>
          <w:kern w:val="0"/>
          <w:sz w:val="28"/>
          <w:szCs w:val="28"/>
          <w:highlight w:val="none"/>
          <w:lang w:val="en-US" w:eastAsia="zh-CN" w:bidi="ar"/>
        </w:rPr>
        <w:t>评价区域环境空气监测点位非甲烷总烃优于《大气污染物综合标准详解》中规定的小时均值2.0mg/m</w:t>
      </w:r>
      <w:r>
        <w:rPr>
          <w:rFonts w:hint="default" w:ascii="Times New Roman" w:hAnsi="Times New Roman" w:eastAsia="宋体" w:cs="Times New Roman"/>
          <w:color w:val="auto"/>
          <w:kern w:val="0"/>
          <w:sz w:val="28"/>
          <w:szCs w:val="28"/>
          <w:highlight w:val="none"/>
          <w:vertAlign w:val="superscript"/>
          <w:lang w:val="en-US" w:eastAsia="zh-CN" w:bidi="ar"/>
        </w:rPr>
        <w:t>3</w:t>
      </w:r>
      <w:r>
        <w:rPr>
          <w:rFonts w:hint="default" w:ascii="Times New Roman" w:hAnsi="Times New Roman" w:eastAsia="宋体" w:cs="Times New Roman"/>
          <w:color w:val="auto"/>
          <w:kern w:val="0"/>
          <w:sz w:val="28"/>
          <w:szCs w:val="28"/>
          <w:highlight w:val="none"/>
          <w:lang w:val="en-US" w:eastAsia="zh-CN" w:bidi="ar"/>
        </w:rPr>
        <w:t>要求，工程所在地区环境空气质量总体状况良好。</w:t>
      </w:r>
    </w:p>
    <w:p>
      <w:pPr>
        <w:keepNext w:val="0"/>
        <w:keepLines w:val="0"/>
        <w:widowControl/>
        <w:suppressLineNumbers w:val="0"/>
        <w:spacing w:line="360" w:lineRule="auto"/>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9.2.</w:t>
      </w:r>
      <w:r>
        <w:rPr>
          <w:rFonts w:hint="eastAsia" w:ascii="Times New Roman" w:hAnsi="Times New Roman" w:eastAsia="宋体" w:cs="Times New Roman"/>
          <w:color w:val="auto"/>
          <w:kern w:val="0"/>
          <w:sz w:val="28"/>
          <w:szCs w:val="28"/>
          <w:highlight w:val="none"/>
          <w:lang w:val="en-US" w:eastAsia="zh-CN" w:bidi="ar"/>
        </w:rPr>
        <w:t>2地下水环境质量现状</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评价地区潜水及承压水各监测点位监测项目石油类和硫化物满足《地表水环境质量标准》（</w:t>
      </w:r>
      <w:r>
        <w:rPr>
          <w:rFonts w:hint="default" w:ascii="Times New Roman" w:hAnsi="Times New Roman" w:eastAsia="宋体" w:cs="Times New Roman"/>
          <w:color w:val="auto"/>
          <w:kern w:val="0"/>
          <w:sz w:val="28"/>
          <w:szCs w:val="28"/>
          <w:highlight w:val="none"/>
          <w:lang w:val="en-US" w:eastAsia="zh-CN" w:bidi="ar"/>
        </w:rPr>
        <w:t>GB</w:t>
      </w:r>
      <w:r>
        <w:rPr>
          <w:rFonts w:hint="eastAsia" w:ascii="Times New Roman" w:hAnsi="Times New Roman" w:eastAsia="宋体" w:cs="Times New Roman"/>
          <w:color w:val="auto"/>
          <w:kern w:val="0"/>
          <w:sz w:val="28"/>
          <w:szCs w:val="28"/>
          <w:highlight w:val="none"/>
          <w:lang w:val="en-US" w:eastAsia="zh-CN" w:bidi="ar"/>
        </w:rPr>
        <w:t>3838</w:t>
      </w:r>
      <w:r>
        <w:rPr>
          <w:rFonts w:hint="default" w:ascii="Times New Roman" w:hAnsi="Times New Roman" w:eastAsia="宋体" w:cs="Times New Roman"/>
          <w:color w:val="auto"/>
          <w:kern w:val="0"/>
          <w:sz w:val="28"/>
          <w:szCs w:val="28"/>
          <w:highlight w:val="none"/>
          <w:lang w:val="en-US" w:eastAsia="zh-CN" w:bidi="ar"/>
        </w:rPr>
        <w:t>-20</w:t>
      </w:r>
      <w:r>
        <w:rPr>
          <w:rFonts w:hint="eastAsia" w:ascii="Times New Roman" w:hAnsi="Times New Roman" w:eastAsia="宋体" w:cs="Times New Roman"/>
          <w:color w:val="auto"/>
          <w:kern w:val="0"/>
          <w:sz w:val="28"/>
          <w:szCs w:val="28"/>
          <w:highlight w:val="none"/>
          <w:lang w:val="en-US" w:eastAsia="zh-CN" w:bidi="ar"/>
        </w:rPr>
        <w:t>02）</w:t>
      </w:r>
      <w:r>
        <w:rPr>
          <w:rFonts w:hint="default" w:ascii="Times New Roman" w:hAnsi="Times New Roman" w:eastAsia="宋体" w:cs="Times New Roman"/>
          <w:color w:val="auto"/>
          <w:kern w:val="0"/>
          <w:sz w:val="28"/>
          <w:szCs w:val="28"/>
          <w:highlight w:val="none"/>
          <w:lang w:val="en-US" w:eastAsia="zh-CN" w:bidi="ar"/>
        </w:rPr>
        <w:t>III</w:t>
      </w:r>
      <w:r>
        <w:rPr>
          <w:rFonts w:hint="eastAsia" w:ascii="Times New Roman" w:hAnsi="Times New Roman" w:eastAsia="宋体" w:cs="Times New Roman"/>
          <w:color w:val="auto"/>
          <w:kern w:val="0"/>
          <w:sz w:val="28"/>
          <w:szCs w:val="28"/>
          <w:highlight w:val="none"/>
          <w:lang w:val="en-US" w:eastAsia="zh-CN" w:bidi="ar"/>
        </w:rPr>
        <w:t>类标准要求；其余监测项目监测结果满足《地下水质量标准》（</w:t>
      </w:r>
      <w:r>
        <w:rPr>
          <w:rFonts w:hint="default" w:ascii="Times New Roman" w:hAnsi="Times New Roman" w:eastAsia="宋体" w:cs="Times New Roman"/>
          <w:color w:val="auto"/>
          <w:kern w:val="0"/>
          <w:sz w:val="28"/>
          <w:szCs w:val="28"/>
          <w:highlight w:val="none"/>
          <w:lang w:val="en-US" w:eastAsia="zh-CN" w:bidi="ar"/>
        </w:rPr>
        <w:t>GB/T14848-2017</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III</w:t>
      </w:r>
      <w:r>
        <w:rPr>
          <w:rFonts w:hint="eastAsia" w:ascii="Times New Roman" w:hAnsi="Times New Roman" w:eastAsia="宋体" w:cs="Times New Roman"/>
          <w:color w:val="auto"/>
          <w:kern w:val="0"/>
          <w:sz w:val="28"/>
          <w:szCs w:val="28"/>
          <w:highlight w:val="none"/>
          <w:lang w:val="en-US" w:eastAsia="zh-CN" w:bidi="ar"/>
        </w:rPr>
        <w:t>类标准要求。</w:t>
      </w:r>
    </w:p>
    <w:p>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8"/>
          <w:szCs w:val="28"/>
          <w:highlight w:val="none"/>
          <w:lang w:val="en-US" w:eastAsia="zh-CN" w:bidi="ar"/>
        </w:rPr>
        <w:t>9.2.3</w:t>
      </w:r>
      <w:r>
        <w:rPr>
          <w:rFonts w:hint="eastAsia" w:ascii="宋体" w:hAnsi="宋体" w:eastAsia="宋体" w:cs="宋体"/>
          <w:color w:val="auto"/>
          <w:kern w:val="0"/>
          <w:sz w:val="28"/>
          <w:szCs w:val="28"/>
          <w:highlight w:val="none"/>
          <w:lang w:val="en-US" w:eastAsia="zh-CN" w:bidi="ar"/>
        </w:rPr>
        <w:t>声环境质量现状</w:t>
      </w:r>
    </w:p>
    <w:p>
      <w:pPr>
        <w:keepNext w:val="0"/>
        <w:keepLines w:val="0"/>
        <w:widowControl/>
        <w:suppressLineNumbers w:val="0"/>
        <w:ind w:firstLine="560" w:firstLineChars="200"/>
        <w:jc w:val="both"/>
        <w:rPr>
          <w:rFonts w:hint="default"/>
          <w:color w:val="auto"/>
          <w:highlight w:val="none"/>
          <w:lang w:val="en-US"/>
        </w:rPr>
      </w:pPr>
      <w:r>
        <w:rPr>
          <w:rFonts w:hint="eastAsia" w:ascii="宋体" w:hAnsi="宋体" w:eastAsia="宋体" w:cs="宋体"/>
          <w:color w:val="auto"/>
          <w:kern w:val="0"/>
          <w:sz w:val="28"/>
          <w:szCs w:val="28"/>
          <w:highlight w:val="none"/>
          <w:lang w:val="en-US" w:eastAsia="zh-CN" w:bidi="ar"/>
        </w:rPr>
        <w:t>本项目所在区域声环境质量状况良好，经监测，拟建井场周围村屯昼间、夜间声环境质量现状均满足《声环境质量标准》（</w:t>
      </w:r>
      <w:r>
        <w:rPr>
          <w:rFonts w:hint="default" w:ascii="Times New Roman" w:hAnsi="Times New Roman" w:eastAsia="宋体" w:cs="Times New Roman"/>
          <w:color w:val="auto"/>
          <w:kern w:val="0"/>
          <w:sz w:val="28"/>
          <w:szCs w:val="28"/>
          <w:highlight w:val="none"/>
          <w:lang w:val="en-US" w:eastAsia="zh-CN" w:bidi="ar"/>
        </w:rPr>
        <w:t>GB3096-2008</w:t>
      </w:r>
      <w:r>
        <w:rPr>
          <w:rFonts w:hint="eastAsia" w:ascii="宋体" w:hAnsi="宋体" w:eastAsia="宋体" w:cs="宋体"/>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1</w:t>
      </w:r>
      <w:r>
        <w:rPr>
          <w:rFonts w:hint="eastAsia" w:ascii="宋体" w:hAnsi="宋体" w:eastAsia="宋体" w:cs="宋体"/>
          <w:color w:val="auto"/>
          <w:kern w:val="0"/>
          <w:sz w:val="28"/>
          <w:szCs w:val="28"/>
          <w:highlight w:val="none"/>
          <w:lang w:val="en-US" w:eastAsia="zh-CN" w:bidi="ar"/>
        </w:rPr>
        <w:t>类标准；拟建井场区域昼间、夜间声环境质量现状均满足《声环境质量标准》（</w:t>
      </w:r>
      <w:r>
        <w:rPr>
          <w:rFonts w:hint="default" w:ascii="Times New Roman" w:hAnsi="Times New Roman" w:eastAsia="宋体" w:cs="Times New Roman"/>
          <w:color w:val="auto"/>
          <w:kern w:val="0"/>
          <w:sz w:val="28"/>
          <w:szCs w:val="28"/>
          <w:highlight w:val="none"/>
          <w:lang w:val="en-US" w:eastAsia="zh-CN" w:bidi="ar"/>
        </w:rPr>
        <w:t>GB3096-2008</w:t>
      </w:r>
      <w:r>
        <w:rPr>
          <w:rFonts w:hint="eastAsia" w:ascii="宋体" w:hAnsi="宋体" w:eastAsia="宋体" w:cs="宋体"/>
          <w:color w:val="auto"/>
          <w:kern w:val="0"/>
          <w:sz w:val="28"/>
          <w:szCs w:val="28"/>
          <w:highlight w:val="none"/>
          <w:lang w:val="en-US" w:eastAsia="zh-CN" w:bidi="ar"/>
        </w:rPr>
        <w:t>）</w:t>
      </w:r>
      <w:r>
        <w:rPr>
          <w:rFonts w:hint="eastAsia" w:ascii="Times New Roman" w:hAnsi="Times New Roman" w:eastAsia="宋体" w:cs="Times New Roman"/>
          <w:color w:val="auto"/>
          <w:kern w:val="0"/>
          <w:sz w:val="28"/>
          <w:szCs w:val="28"/>
          <w:highlight w:val="none"/>
          <w:lang w:val="en-US" w:eastAsia="zh-CN" w:bidi="ar"/>
        </w:rPr>
        <w:t>2</w:t>
      </w:r>
      <w:r>
        <w:rPr>
          <w:rFonts w:hint="eastAsia" w:ascii="宋体" w:hAnsi="宋体" w:eastAsia="宋体" w:cs="宋体"/>
          <w:color w:val="auto"/>
          <w:kern w:val="0"/>
          <w:sz w:val="28"/>
          <w:szCs w:val="28"/>
          <w:highlight w:val="none"/>
          <w:lang w:val="en-US" w:eastAsia="zh-CN" w:bidi="ar"/>
        </w:rPr>
        <w:t>类标准。</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bookmarkStart w:id="210" w:name="_Toc29424"/>
      <w:bookmarkStart w:id="211" w:name="_Toc49175095"/>
      <w:bookmarkStart w:id="212" w:name="_Toc28269"/>
      <w:bookmarkStart w:id="213" w:name="_Toc21913"/>
      <w:bookmarkStart w:id="214" w:name="_Toc11499"/>
      <w:bookmarkStart w:id="215" w:name="_Toc49174920"/>
      <w:r>
        <w:rPr>
          <w:rFonts w:hint="default" w:ascii="Times New Roman" w:hAnsi="Times New Roman" w:eastAsia="宋体" w:cs="Times New Roman"/>
          <w:color w:val="auto"/>
          <w:kern w:val="0"/>
          <w:sz w:val="28"/>
          <w:szCs w:val="28"/>
          <w:highlight w:val="none"/>
          <w:lang w:val="en-US" w:eastAsia="zh-CN" w:bidi="ar"/>
        </w:rPr>
        <w:t>9.</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.4土壤环境</w:t>
      </w:r>
      <w:bookmarkEnd w:id="210"/>
      <w:bookmarkEnd w:id="211"/>
      <w:bookmarkEnd w:id="212"/>
      <w:bookmarkEnd w:id="213"/>
      <w:bookmarkEnd w:id="214"/>
      <w:bookmarkEnd w:id="215"/>
      <w:r>
        <w:rPr>
          <w:rFonts w:hint="eastAsia" w:ascii="宋体" w:hAnsi="宋体" w:eastAsia="宋体" w:cs="宋体"/>
          <w:color w:val="auto"/>
          <w:kern w:val="0"/>
          <w:sz w:val="28"/>
          <w:szCs w:val="28"/>
          <w:highlight w:val="none"/>
          <w:lang w:val="en-US" w:eastAsia="zh-CN" w:bidi="ar"/>
        </w:rPr>
        <w:t>现状</w:t>
      </w:r>
    </w:p>
    <w:p>
      <w:pPr>
        <w:keepNext w:val="0"/>
        <w:keepLines w:val="0"/>
        <w:widowControl/>
        <w:suppressLineNumbers w:val="0"/>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评价区域</w:t>
      </w:r>
      <w:r>
        <w:rPr>
          <w:rFonts w:hint="eastAsia" w:ascii="Times New Roman" w:hAnsi="Times New Roman" w:eastAsia="宋体" w:cs="Times New Roman"/>
          <w:color w:val="auto"/>
          <w:kern w:val="0"/>
          <w:sz w:val="28"/>
          <w:szCs w:val="28"/>
          <w:highlight w:val="none"/>
          <w:lang w:val="en-US" w:eastAsia="zh-CN" w:bidi="ar"/>
        </w:rPr>
        <w:t>拟建井场占地内及附近村屯土壤环境质量满足《土壤环境质量 建设用地土壤污染风险管控标准》（GB36600-2018）建设用地土壤污染风险筛选值；拟建井场占地外附近耕地满足《土壤环境质量农用地土壤污染风险管控标准》（GB15618-2018）农用地土壤污染风险筛选值，</w:t>
      </w:r>
      <w:r>
        <w:rPr>
          <w:rFonts w:hint="default" w:ascii="Times New Roman" w:hAnsi="Times New Roman" w:eastAsia="宋体" w:cs="Times New Roman"/>
          <w:color w:val="auto"/>
          <w:kern w:val="0"/>
          <w:sz w:val="28"/>
          <w:szCs w:val="28"/>
          <w:highlight w:val="none"/>
          <w:lang w:val="en-US" w:eastAsia="zh-CN" w:bidi="ar"/>
        </w:rPr>
        <w:t>区域内土壤环境质量状况良好。</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bookmarkStart w:id="216" w:name="_Toc49174921"/>
      <w:bookmarkStart w:id="217" w:name="_Toc49175096"/>
      <w:r>
        <w:rPr>
          <w:rFonts w:hint="default" w:ascii="Times New Roman" w:hAnsi="Times New Roman" w:eastAsia="宋体" w:cs="Times New Roman"/>
          <w:color w:val="auto"/>
          <w:kern w:val="0"/>
          <w:sz w:val="28"/>
          <w:szCs w:val="28"/>
          <w:highlight w:val="none"/>
          <w:lang w:val="en-US" w:eastAsia="zh-CN" w:bidi="ar"/>
        </w:rPr>
        <w:t>9.</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.5生态环境</w:t>
      </w:r>
      <w:bookmarkEnd w:id="216"/>
      <w:bookmarkEnd w:id="217"/>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该区以农田生态系统为主，与原生草地生态系统相比，整个生态系统的生产力有较大程度的提高，农田土壤肥力增强，但由于人工耕作，农药等有毒有害成份有所增加。由于本地区气候干旱、多风沙等气候特点，对土壤固持能力降低，春季干旱时调节气候的能力降低。</w:t>
      </w:r>
    </w:p>
    <w:p>
      <w:pPr>
        <w:keepNext w:val="0"/>
        <w:keepLines w:val="0"/>
        <w:widowControl/>
        <w:suppressLineNumbers w:val="0"/>
        <w:ind w:firstLine="560" w:firstLineChars="200"/>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对区块内已建设工程区域生态环境进行调查，已投产的气井建设工程对临时占地及时进行了复垦，主要采取保存表层土、分层回填、平整土地、耕翻疏松机械碾压后的土地等措施。根据现场调查，耕地复垦后农作物主要为玉米，临时占地没有改变区域地貌。</w:t>
      </w:r>
    </w:p>
    <w:p>
      <w:pPr>
        <w:keepNext w:val="0"/>
        <w:keepLines w:val="0"/>
        <w:widowControl/>
        <w:suppressLineNumbers w:val="0"/>
        <w:ind w:firstLine="560" w:firstLineChars="200"/>
        <w:jc w:val="both"/>
        <w:rPr>
          <w:rFonts w:hint="default" w:ascii="宋体" w:hAnsi="宋体" w:eastAsia="宋体" w:cs="宋体"/>
          <w:color w:val="auto"/>
          <w:kern w:val="0"/>
          <w:sz w:val="28"/>
          <w:szCs w:val="28"/>
          <w:highlight w:val="none"/>
          <w:lang w:val="en-US" w:eastAsia="zh-CN" w:bidi="ar"/>
        </w:rPr>
      </w:pPr>
      <w:bookmarkStart w:id="218" w:name="_Toc25152"/>
      <w:r>
        <w:rPr>
          <w:rFonts w:hint="eastAsia" w:ascii="宋体" w:hAnsi="宋体" w:eastAsia="宋体" w:cs="宋体"/>
          <w:color w:val="auto"/>
          <w:kern w:val="0"/>
          <w:sz w:val="28"/>
          <w:szCs w:val="28"/>
          <w:highlight w:val="none"/>
          <w:lang w:val="en-US" w:eastAsia="zh-CN" w:bidi="ar"/>
        </w:rPr>
        <w:t>同时对拟建井场周围耕地土壤进行农用地基本项目监测，土壤现状监测结果均满足</w:t>
      </w:r>
      <w:r>
        <w:rPr>
          <w:rFonts w:hint="eastAsia" w:ascii="Times New Roman" w:hAnsi="Times New Roman" w:eastAsia="宋体" w:cs="Times New Roman"/>
          <w:color w:val="auto"/>
          <w:kern w:val="0"/>
          <w:sz w:val="28"/>
          <w:szCs w:val="28"/>
          <w:highlight w:val="none"/>
          <w:lang w:val="en-US" w:eastAsia="zh-CN" w:bidi="ar"/>
        </w:rPr>
        <w:t>《土壤环境质量农用地土壤污染风险管控标准》（GB15618-2018）农用地土壤污染风险筛选值，</w:t>
      </w:r>
      <w:r>
        <w:rPr>
          <w:rFonts w:hint="default" w:ascii="Times New Roman" w:hAnsi="Times New Roman" w:eastAsia="宋体" w:cs="Times New Roman"/>
          <w:color w:val="auto"/>
          <w:kern w:val="0"/>
          <w:sz w:val="28"/>
          <w:szCs w:val="28"/>
          <w:highlight w:val="none"/>
          <w:lang w:val="en-US" w:eastAsia="zh-CN" w:bidi="ar"/>
        </w:rPr>
        <w:t>区域内土壤环境质量状况良好。</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9.</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3环境影响分析和污染防治措施可行性结论</w:t>
      </w:r>
      <w:bookmarkEnd w:id="218"/>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w:t>
      </w:r>
      <w:r>
        <w:rPr>
          <w:rFonts w:hint="eastAsia" w:ascii="Times New Roman" w:hAnsi="Times New Roman" w:eastAsia="宋体" w:cs="Times New Roman"/>
          <w:color w:val="auto"/>
          <w:kern w:val="0"/>
          <w:sz w:val="28"/>
          <w:szCs w:val="28"/>
          <w:highlight w:val="none"/>
          <w:lang w:val="en-US" w:eastAsia="zh-CN" w:bidi="ar"/>
        </w:rPr>
        <w:t>3.1大气环境影响分析和污染防治措施可行性结论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项目施工期产生的废气主要为施工扬尘、固井扬尘、柴油发电机烟气、放空火炬燃烧烟气及少量车辆尾气。</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施工时使用低标号柴油，调节好柴油机运行工况。施工运输车辆采取密闭措施或加盖防尘布，严禁散落；控制车速；运输车辆驶出工地前须除泥降尘，严禁泥土尘沙带出工地；施工场地干燥时适当洒水抑尘，物料堆放应定点，并采取防尘、抑尘措施，如设置挡风板、上覆遮盖材料等；拉运固井水泥车辆采用罐装。固井水泥粉尘通过洒水抑尘进行控制。施工期场界扬尘浓度满足《大气污染物综合排放标准》（</w:t>
      </w:r>
      <w:r>
        <w:rPr>
          <w:rFonts w:hint="default" w:ascii="Times New Roman" w:hAnsi="Times New Roman" w:eastAsia="宋体" w:cs="Times New Roman"/>
          <w:color w:val="auto"/>
          <w:kern w:val="0"/>
          <w:sz w:val="28"/>
          <w:szCs w:val="28"/>
          <w:highlight w:val="none"/>
          <w:lang w:val="en-US" w:eastAsia="zh-CN" w:bidi="ar"/>
        </w:rPr>
        <w:t>GB16297-1996</w:t>
      </w:r>
      <w:r>
        <w:rPr>
          <w:rFonts w:hint="eastAsia" w:ascii="Times New Roman" w:hAnsi="Times New Roman" w:eastAsia="宋体" w:cs="Times New Roman"/>
          <w:color w:val="auto"/>
          <w:kern w:val="0"/>
          <w:sz w:val="28"/>
          <w:szCs w:val="28"/>
          <w:highlight w:val="none"/>
          <w:lang w:val="en-US" w:eastAsia="zh-CN" w:bidi="ar"/>
        </w:rPr>
        <w:t>）表</w:t>
      </w: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中无组织排放监控浓度限值要求，对区域空气环境及环境空气敏感目标的影响较小。</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试气期间天然气燃烧量较小，</w:t>
      </w:r>
      <w:r>
        <w:rPr>
          <w:rFonts w:hint="eastAsia" w:ascii="Times New Roman" w:hAnsi="Times New Roman" w:eastAsia="宋体" w:cs="Times New Roman"/>
          <w:color w:val="auto"/>
          <w:kern w:val="0"/>
          <w:sz w:val="28"/>
          <w:szCs w:val="28"/>
          <w:highlight w:val="none"/>
          <w:lang w:val="en-US" w:eastAsia="zh-CN" w:bidi="ar"/>
        </w:rPr>
        <w:t>且试气时间短，且位于空旷地带，飘散至大气环境中稀释扩散，对附近村屯影响教小。</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.2</w:t>
      </w:r>
      <w:r>
        <w:rPr>
          <w:rFonts w:hint="eastAsia" w:ascii="Times New Roman" w:hAnsi="Times New Roman" w:eastAsia="宋体" w:cs="Times New Roman"/>
          <w:color w:val="auto"/>
          <w:kern w:val="0"/>
          <w:sz w:val="28"/>
          <w:szCs w:val="28"/>
          <w:highlight w:val="none"/>
          <w:lang w:val="en-US" w:eastAsia="zh-CN" w:bidi="ar"/>
        </w:rPr>
        <w:t>水环境影响分析和污染防治措施可行性结论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钻井污水暂存在钢制泥浆槽中，一般钻井废水定期由罐车拉运至黑龙江</w:t>
      </w:r>
      <w:r>
        <w:rPr>
          <w:rFonts w:hint="default" w:ascii="Times New Roman" w:hAnsi="Times New Roman" w:eastAsia="宋体" w:cs="Times New Roman"/>
          <w:color w:val="auto"/>
          <w:kern w:val="0"/>
          <w:sz w:val="28"/>
          <w:szCs w:val="28"/>
          <w:highlight w:val="none"/>
          <w:lang w:val="en-US" w:eastAsia="zh-CN" w:bidi="ar"/>
        </w:rPr>
        <w:t>龙之润五厂处理站处理</w:t>
      </w:r>
      <w:r>
        <w:rPr>
          <w:rFonts w:hint="eastAsia" w:ascii="Times New Roman" w:hAnsi="Times New Roman" w:eastAsia="宋体" w:cs="Times New Roman"/>
          <w:color w:val="auto"/>
          <w:kern w:val="0"/>
          <w:sz w:val="28"/>
          <w:szCs w:val="28"/>
          <w:highlight w:val="none"/>
          <w:lang w:val="en-US" w:eastAsia="zh-CN" w:bidi="ar"/>
        </w:rPr>
        <w:t>，处置过程中产生的滤液由罐车拉运至杏十五一联合站污水处理站处理，满足《大庆油田地面工程建设设计规定》（Q/SYDQ0639-2015）限值要求“含油量≤20mg/L、悬浮固体含量≤20mg/L”，回注现役油层。</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含油钻井废水由罐车拉运至大庆市云泰石化产品有限公司建设的废弃泥浆无害化处理油基泥浆站处理。处理过程中产生的滤液由罐车运至龙一联含油污水站处理，处理后水质满足《大庆油田地面工程建设设计规定》（Q/SYDQ0639-2015）限值要求（含油量≤8mg/L、悬浮固体含量≤3mg/L）后回注。</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压裂返排液由罐车拉运至哈19卸液站处理，处理后水质满足《大庆油田地面工程建设设计规定》（Q/SYDQ0639-2015）限值要求（含油量≤20mg/L，悬浮固体含量≤20mg/L），回注现役油层。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试气采出液拉运至升一联气田污水预处理站处理，满足《大庆油田地面工程建设设计规定》（Q/SYDQ0639-2015）限值要求（含油量≤10mg/L，悬浮固体含量≤5mg/L）回注现役油层。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生活污水排入井场防渗生活污水池，施工结束后进行卫生处理，场地进行平整。</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无废水外排，对地表水环境影响较小。项目施工采取严格的防渗措施，正常状况下污染物下渗的可能性较小，不会对地下水环境产生污染影响。非正常状况下，泥浆槽及套管泄露影响区域内，均无地下水环境敏感目标，所以非正常工况下，污水泄露不会对下游居民点水井造成影响。综上，项目对地下水环境影响可以接受。</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.3</w:t>
      </w:r>
      <w:r>
        <w:rPr>
          <w:rFonts w:hint="eastAsia" w:ascii="Times New Roman" w:hAnsi="Times New Roman" w:eastAsia="宋体" w:cs="Times New Roman"/>
          <w:color w:val="auto"/>
          <w:kern w:val="0"/>
          <w:sz w:val="28"/>
          <w:szCs w:val="28"/>
          <w:highlight w:val="none"/>
          <w:lang w:val="en-US" w:eastAsia="zh-CN" w:bidi="ar"/>
        </w:rPr>
        <w:t>声环境影响分析和污染防治措施可行性结论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物料及设备等运输车辆应选择合理时间和路线，避开居民休息时段；对钻井井场进行合理布局，井场高噪声设备尽量远离靠近居民楼方向并分散布置，避免噪声叠加造成对周围声环境的影响；合理安排施工进度和施工时间，井场除钻井施工外，严格禁止夜间</w:t>
      </w:r>
      <w:r>
        <w:rPr>
          <w:rFonts w:hint="default" w:ascii="Times New Roman" w:hAnsi="Times New Roman" w:eastAsia="宋体" w:cs="Times New Roman"/>
          <w:color w:val="auto"/>
          <w:kern w:val="0"/>
          <w:sz w:val="28"/>
          <w:szCs w:val="28"/>
          <w:highlight w:val="none"/>
          <w:lang w:val="en-US" w:eastAsia="zh-CN" w:bidi="ar"/>
        </w:rPr>
        <w:t>10</w:t>
      </w:r>
      <w:r>
        <w:rPr>
          <w:rFonts w:hint="eastAsia" w:ascii="Times New Roman" w:hAnsi="Times New Roman" w:eastAsia="宋体" w:cs="Times New Roman"/>
          <w:color w:val="auto"/>
          <w:kern w:val="0"/>
          <w:sz w:val="28"/>
          <w:szCs w:val="28"/>
          <w:highlight w:val="none"/>
          <w:lang w:val="en-US" w:eastAsia="zh-CN" w:bidi="ar"/>
        </w:rPr>
        <w:t>时至次日6时进行高噪声施工，调整同时作业的施工机械数量，降低对周围环境的影响；对于距离声环境保护目标较近的施工井场，不可避免需要夜间施工时，应向周边村民进行公告，取得民众谅解，并合理安排施工机械数量，施工场地周边建设彩钢板围挡，严格限定施工范围，选用噪音低的设备，同时控制夜间灯光数量和照射范围；注意对设备的维护和保养，合理操作，保证施工机械保持在最佳状态，降低噪声源强度。</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采取以上措施后施工厂界可以满足《建筑施工场界环境噪声排放标准》（</w:t>
      </w:r>
      <w:r>
        <w:rPr>
          <w:rFonts w:hint="default" w:ascii="Times New Roman" w:hAnsi="Times New Roman" w:eastAsia="宋体" w:cs="Times New Roman"/>
          <w:color w:val="auto"/>
          <w:kern w:val="0"/>
          <w:sz w:val="28"/>
          <w:szCs w:val="28"/>
          <w:highlight w:val="none"/>
          <w:lang w:val="en-US" w:eastAsia="zh-CN" w:bidi="ar"/>
        </w:rPr>
        <w:t>GB12523-2011</w:t>
      </w:r>
      <w:r>
        <w:rPr>
          <w:rFonts w:hint="eastAsia" w:ascii="Times New Roman" w:hAnsi="Times New Roman" w:eastAsia="宋体" w:cs="Times New Roman"/>
          <w:color w:val="auto"/>
          <w:kern w:val="0"/>
          <w:sz w:val="28"/>
          <w:szCs w:val="28"/>
          <w:highlight w:val="none"/>
          <w:lang w:val="en-US" w:eastAsia="zh-CN" w:bidi="ar"/>
        </w:rPr>
        <w:t>）中的标准要求，对区域内声环境影响较小。</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.4</w:t>
      </w:r>
      <w:r>
        <w:rPr>
          <w:rFonts w:hint="eastAsia" w:ascii="Times New Roman" w:hAnsi="Times New Roman" w:eastAsia="宋体" w:cs="Times New Roman"/>
          <w:color w:val="auto"/>
          <w:kern w:val="0"/>
          <w:sz w:val="28"/>
          <w:szCs w:val="28"/>
          <w:highlight w:val="none"/>
          <w:lang w:val="en-US" w:eastAsia="zh-CN" w:bidi="ar"/>
        </w:rPr>
        <w:t>固体废物环境影响分析和污染防治措施可行性结论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生活垃圾统一收集，委托大庆三联实业有限公司拉运处置。</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一般废弃包装袋和一般废弃防渗布属于一般固体废物，集中收集后送至统一收集后送大庆市岗源环保科技有限责任公司工业废弃物处置中心处置。</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废弃过硫酸钾和氢氧化钾包装袋及含油防渗布属于危险废物，委托有资质单位进行处置；废弃水基钻井液、水基岩屑及废射孔液由罐车拉运黑龙江至</w:t>
      </w:r>
      <w:r>
        <w:rPr>
          <w:rFonts w:hint="default" w:ascii="Times New Roman" w:hAnsi="Times New Roman" w:eastAsia="宋体" w:cs="Times New Roman"/>
          <w:color w:val="auto"/>
          <w:kern w:val="0"/>
          <w:sz w:val="28"/>
          <w:szCs w:val="28"/>
          <w:highlight w:val="none"/>
          <w:lang w:val="en-US" w:eastAsia="zh-CN" w:bidi="ar"/>
        </w:rPr>
        <w:t>龙之润五厂处理站处理</w:t>
      </w:r>
      <w:r>
        <w:rPr>
          <w:rFonts w:hint="eastAsia" w:ascii="Times New Roman" w:hAnsi="Times New Roman" w:eastAsia="宋体" w:cs="Times New Roman"/>
          <w:color w:val="auto"/>
          <w:kern w:val="0"/>
          <w:sz w:val="28"/>
          <w:szCs w:val="28"/>
          <w:highlight w:val="none"/>
          <w:lang w:val="en-US" w:eastAsia="zh-CN" w:bidi="ar"/>
        </w:rPr>
        <w:t>；废弃油基钻井液、油基岩屑拉运至废弃泥浆无害化处理油基泥浆站处理，处理后废渣满足《废弃钻井液处理规范》（DB23/T693-2000）和《一般工业固体废物贮存和填埋污染控制标准》（</w:t>
      </w:r>
      <w:r>
        <w:rPr>
          <w:rFonts w:hint="default" w:ascii="Times New Roman" w:hAnsi="Times New Roman" w:eastAsia="宋体" w:cs="Times New Roman"/>
          <w:color w:val="auto"/>
          <w:kern w:val="0"/>
          <w:sz w:val="28"/>
          <w:szCs w:val="28"/>
          <w:highlight w:val="none"/>
          <w:lang w:val="en-US" w:eastAsia="zh-CN" w:bidi="ar"/>
        </w:rPr>
        <w:t>GB18599-2020</w:t>
      </w:r>
      <w:r>
        <w:rPr>
          <w:rFonts w:hint="eastAsia" w:ascii="Times New Roman" w:hAnsi="Times New Roman" w:eastAsia="宋体" w:cs="Times New Roman"/>
          <w:color w:val="auto"/>
          <w:kern w:val="0"/>
          <w:sz w:val="28"/>
          <w:szCs w:val="28"/>
          <w:highlight w:val="none"/>
          <w:lang w:val="en-US" w:eastAsia="zh-CN" w:bidi="ar"/>
        </w:rPr>
        <w:t>）限值，由油田统一调配用于井场平整及道路建设等综合利用。固体废物处置率</w:t>
      </w:r>
      <w:r>
        <w:rPr>
          <w:rFonts w:hint="default" w:ascii="Times New Roman" w:hAnsi="Times New Roman" w:eastAsia="宋体" w:cs="Times New Roman"/>
          <w:color w:val="auto"/>
          <w:kern w:val="0"/>
          <w:sz w:val="28"/>
          <w:szCs w:val="28"/>
          <w:highlight w:val="none"/>
          <w:lang w:val="en-US" w:eastAsia="zh-CN" w:bidi="ar"/>
        </w:rPr>
        <w:t>100%</w:t>
      </w:r>
      <w:r>
        <w:rPr>
          <w:rFonts w:hint="eastAsia" w:ascii="Times New Roman" w:hAnsi="Times New Roman" w:eastAsia="宋体" w:cs="Times New Roman"/>
          <w:color w:val="auto"/>
          <w:kern w:val="0"/>
          <w:sz w:val="28"/>
          <w:szCs w:val="28"/>
          <w:highlight w:val="none"/>
          <w:lang w:val="en-US" w:eastAsia="zh-CN" w:bidi="ar"/>
        </w:rPr>
        <w:t>，不会对周围环境产生影响。</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.5</w:t>
      </w:r>
      <w:r>
        <w:rPr>
          <w:rFonts w:hint="eastAsia" w:ascii="Times New Roman" w:hAnsi="Times New Roman" w:eastAsia="宋体" w:cs="Times New Roman"/>
          <w:color w:val="auto"/>
          <w:kern w:val="0"/>
          <w:sz w:val="28"/>
          <w:szCs w:val="28"/>
          <w:highlight w:val="none"/>
          <w:lang w:val="en-US" w:eastAsia="zh-CN" w:bidi="ar"/>
        </w:rPr>
        <w:t>生态环境影响分析和生态保护减缓措施可行性结论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施工期对生态系统的影响较大，影响主要来自项目永久占地。这部分土地的土地利用性质会发生改变，但由于项目开发面积较小，永久性占地面积小，本项目不会对区域内的土地利用结构有大的改变。拟建井场对耕地的侵占，对农作物的破坏，将使气田开发区内的农作物有一定程度的下降。</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在设计及施工中遵照《石油天然气工程项目用地控制指标》及《石油天然气工程项目用地控制指标》（国土资规[2016]14号），严格控制施工占地；对耕地表层土进行剥离，单独堆放，加盖纱网或草栅，待工程施工结束后运回原位分层回填，并及时恢复地表植被。</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在施工建设过程中采取严格控制施工范围等保护措施，采取防沙及水水土保持等措施，施工结束后优先进行生态恢复，采取封禁等生态保护措施，将临时占地内现有生态种类的生态量及生产力恢复至施工前原有水平，再进行气井产能地面建设工程。可在最大程度减小对生态环境的不利影响，加快生态环境在尽可能短的时间内得到恢复。</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.6</w:t>
      </w:r>
      <w:r>
        <w:rPr>
          <w:rFonts w:hint="eastAsia" w:ascii="Times New Roman" w:hAnsi="Times New Roman" w:eastAsia="宋体" w:cs="Times New Roman"/>
          <w:color w:val="auto"/>
          <w:kern w:val="0"/>
          <w:sz w:val="28"/>
          <w:szCs w:val="28"/>
          <w:highlight w:val="none"/>
          <w:lang w:val="en-US" w:eastAsia="zh-CN" w:bidi="ar"/>
        </w:rPr>
        <w:t>土壤环境影响分析和保护措施可行性结论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本项目土壤环境影响评价属于污染影响型项目，占地面积为小型，土壤环境敏感程度属于敏感，判断评价等级为二级，土壤评价范围为井场外延200</w:t>
      </w:r>
      <w:r>
        <w:rPr>
          <w:rFonts w:hint="default" w:ascii="Times New Roman" w:hAnsi="Times New Roman" w:eastAsia="宋体" w:cs="Times New Roman"/>
          <w:color w:val="auto"/>
          <w:kern w:val="0"/>
          <w:sz w:val="28"/>
          <w:szCs w:val="28"/>
          <w:highlight w:val="none"/>
          <w:lang w:val="en-US" w:eastAsia="zh-CN" w:bidi="ar"/>
        </w:rPr>
        <w:t>m</w:t>
      </w:r>
      <w:r>
        <w:rPr>
          <w:rFonts w:hint="eastAsia" w:ascii="Times New Roman" w:hAnsi="Times New Roman" w:eastAsia="宋体" w:cs="Times New Roman"/>
          <w:color w:val="auto"/>
          <w:kern w:val="0"/>
          <w:sz w:val="28"/>
          <w:szCs w:val="28"/>
          <w:highlight w:val="none"/>
          <w:lang w:val="en-US" w:eastAsia="zh-CN" w:bidi="ar"/>
        </w:rPr>
        <w:t>区域。根据监测结果可以看出评价区土壤中各污染物浓度值均符合相应的标准限值的要求。</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项目针对各类污染物均采取了对应的污染治理措施，可确保污染物的达标排放及防止渗漏发生，可从源头上控制项目对区域土壤环境的污染，确保项目对区域土壤环境的影响处于可接受水平。因此，只要采取必要的措施，项目对区域土壤环境影响是可接受的。</w:t>
      </w:r>
    </w:p>
    <w:p>
      <w:pPr>
        <w:keepNext w:val="0"/>
        <w:keepLines w:val="0"/>
        <w:widowControl/>
        <w:suppressLineNumbers w:val="0"/>
        <w:spacing w:line="360" w:lineRule="auto"/>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9.</w:t>
      </w:r>
      <w:r>
        <w:rPr>
          <w:rFonts w:hint="eastAsia" w:ascii="Times New Roman" w:hAnsi="Times New Roman" w:eastAsia="宋体" w:cs="Times New Roman"/>
          <w:color w:val="auto"/>
          <w:kern w:val="0"/>
          <w:sz w:val="28"/>
          <w:szCs w:val="28"/>
          <w:highlight w:val="none"/>
          <w:lang w:val="en-US" w:eastAsia="zh-CN" w:bidi="ar"/>
        </w:rPr>
        <w:t>2</w:t>
      </w:r>
      <w:r>
        <w:rPr>
          <w:rFonts w:hint="default" w:ascii="Times New Roman" w:hAnsi="Times New Roman" w:eastAsia="宋体" w:cs="Times New Roman"/>
          <w:color w:val="auto"/>
          <w:kern w:val="0"/>
          <w:sz w:val="28"/>
          <w:szCs w:val="28"/>
          <w:highlight w:val="none"/>
          <w:lang w:val="en-US" w:eastAsia="zh-CN" w:bidi="ar"/>
        </w:rPr>
        <w:t>.7</w:t>
      </w:r>
      <w:r>
        <w:rPr>
          <w:rFonts w:hint="eastAsia" w:ascii="Times New Roman" w:hAnsi="Times New Roman" w:eastAsia="宋体" w:cs="Times New Roman"/>
          <w:color w:val="auto"/>
          <w:kern w:val="0"/>
          <w:sz w:val="28"/>
          <w:szCs w:val="28"/>
          <w:highlight w:val="none"/>
          <w:lang w:val="en-US" w:eastAsia="zh-CN" w:bidi="ar"/>
        </w:rPr>
        <w:t>环境风险分析可行性结论</w:t>
      </w:r>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存在的主要环境风险类型包括井喷诱发火灾爆炸、套损、井漏环境污染事件，一旦出现上述环境风险事故，将对区域内的地下水环境、地表水环境、土壤环境和空气环境有潜在危害性。在项目采取一系列风险防范措施和应急措施后，可以降低工程发生环境风险事故概率，达到环境风险可接受水平。</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19" w:name="_Toc31353"/>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9.</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3</w:t>
      </w:r>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公众意见采纳情况</w:t>
      </w:r>
      <w:bookmarkEnd w:id="219"/>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本项目由大庆油田有限责任公司大庆油田有限责任公司采气分公司通过粘贴公告、网上公示以及报纸公开等方式进行公众参与。征求意见的对象为项目周边的公民、法人和其他组织。</w:t>
      </w:r>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第一次征求意见时间为2022年</w:t>
      </w:r>
      <w:r>
        <w:rPr>
          <w:rFonts w:hint="eastAsia" w:ascii="Times New Roman" w:hAnsi="Times New Roman" w:eastAsia="宋体" w:cs="Times New Roman"/>
          <w:color w:val="auto"/>
          <w:kern w:val="0"/>
          <w:sz w:val="28"/>
          <w:szCs w:val="28"/>
          <w:highlight w:val="none"/>
          <w:lang w:val="en-US" w:eastAsia="zh-CN" w:bidi="ar"/>
        </w:rPr>
        <w:t>5</w:t>
      </w:r>
      <w:r>
        <w:rPr>
          <w:rFonts w:hint="default" w:ascii="Times New Roman" w:hAnsi="Times New Roman" w:eastAsia="宋体" w:cs="Times New Roman"/>
          <w:color w:val="auto"/>
          <w:kern w:val="0"/>
          <w:sz w:val="28"/>
          <w:szCs w:val="28"/>
          <w:highlight w:val="none"/>
          <w:lang w:val="en-US" w:eastAsia="zh-CN" w:bidi="ar"/>
        </w:rPr>
        <w:t>月1</w:t>
      </w:r>
      <w:r>
        <w:rPr>
          <w:rFonts w:hint="eastAsia" w:ascii="Times New Roman" w:hAnsi="Times New Roman" w:eastAsia="宋体" w:cs="Times New Roman"/>
          <w:color w:val="auto"/>
          <w:kern w:val="0"/>
          <w:sz w:val="28"/>
          <w:szCs w:val="28"/>
          <w:highlight w:val="none"/>
          <w:lang w:val="en-US" w:eastAsia="zh-CN" w:bidi="ar"/>
        </w:rPr>
        <w:t>0</w:t>
      </w:r>
      <w:r>
        <w:rPr>
          <w:rFonts w:hint="default" w:ascii="Times New Roman" w:hAnsi="Times New Roman" w:eastAsia="宋体" w:cs="Times New Roman"/>
          <w:color w:val="auto"/>
          <w:kern w:val="0"/>
          <w:sz w:val="28"/>
          <w:szCs w:val="28"/>
          <w:highlight w:val="none"/>
          <w:lang w:val="en-US" w:eastAsia="zh-CN" w:bidi="ar"/>
        </w:rPr>
        <w:t>日起，公示网址：http://www.yonqon.com/jsw/huanpinggongshi/89.html，在公示期内没有收到反馈意见和建议。第二次征求意见时间为2022年</w:t>
      </w:r>
      <w:r>
        <w:rPr>
          <w:rFonts w:hint="eastAsia" w:ascii="Times New Roman" w:hAnsi="Times New Roman" w:eastAsia="宋体" w:cs="Times New Roman"/>
          <w:color w:val="auto"/>
          <w:kern w:val="0"/>
          <w:sz w:val="28"/>
          <w:szCs w:val="28"/>
          <w:highlight w:val="none"/>
          <w:lang w:val="en-US" w:eastAsia="zh-CN" w:bidi="ar"/>
        </w:rPr>
        <w:t>6</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20</w:t>
      </w:r>
      <w:r>
        <w:rPr>
          <w:rFonts w:hint="default" w:ascii="Times New Roman" w:hAnsi="Times New Roman" w:eastAsia="宋体" w:cs="Times New Roman"/>
          <w:color w:val="auto"/>
          <w:kern w:val="0"/>
          <w:sz w:val="28"/>
          <w:szCs w:val="28"/>
          <w:highlight w:val="none"/>
          <w:lang w:val="en-US" w:eastAsia="zh-CN" w:bidi="ar"/>
        </w:rPr>
        <w:t>日起，公示网址：http://www.yonqon.com/jsw/huanpinggongshi/90.html，在公示期内没有收到反馈意见和建议。</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20" w:name="_Toc30574"/>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9.</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4环境影响经济损益分析</w:t>
      </w:r>
      <w:bookmarkEnd w:id="220"/>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本项目的建设不仅具有较好的经济效益和较强的抗风险能力，而且对当地的经济和社会发展也有良好的促进作用，在采取有效的环保措施后，不会对工程所在区域内的环境产生太大的影响，能够使本工程的建设做到经济效益、环境效益与社会效益的统一。</w:t>
      </w:r>
    </w:p>
    <w:p>
      <w:pPr>
        <w:keepNext/>
        <w:keepLines/>
        <w:pageBreakBefore w:val="0"/>
        <w:widowControl w:val="0"/>
        <w:numPr>
          <w:ilvl w:val="0"/>
          <w:numId w:val="0"/>
        </w:numPr>
        <w:bidi w:val="0"/>
        <w:spacing w:before="78" w:beforeLines="25" w:after="78" w:afterLines="25" w:line="360" w:lineRule="auto"/>
        <w:jc w:val="left"/>
        <w:outlineLvl w:val="1"/>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21" w:name="_Toc27612"/>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9.</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5环境管理与监测计划</w:t>
      </w:r>
      <w:bookmarkEnd w:id="221"/>
    </w:p>
    <w:p>
      <w:pPr>
        <w:keepNext w:val="0"/>
        <w:keepLines w:val="0"/>
        <w:widowControl/>
        <w:suppressLineNumbers w:val="0"/>
        <w:spacing w:line="360" w:lineRule="auto"/>
        <w:ind w:firstLine="560" w:firstLineChars="200"/>
        <w:jc w:val="both"/>
        <w:rPr>
          <w:rFonts w:hint="eastAsia"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t>企业应建立严格的环保岗位责任制，在关键的生产排污环节上设专人管理看护；另外应建立计算机辅助管理系统，使之更好地利用经济、技术、行政和教育手段，对损害环境质量的生产活动加以限制。同时应对主要污染源进行定期监测，建立污染源档案</w:t>
      </w:r>
      <w:r>
        <w:rPr>
          <w:rFonts w:hint="eastAsia" w:ascii="Times New Roman" w:hAnsi="Times New Roman" w:eastAsia="宋体" w:cs="Times New Roman"/>
          <w:color w:val="auto"/>
          <w:kern w:val="0"/>
          <w:sz w:val="28"/>
          <w:szCs w:val="28"/>
          <w:highlight w:val="none"/>
          <w:lang w:val="en-US" w:eastAsia="zh-CN" w:bidi="ar"/>
        </w:rPr>
        <w:t>。</w:t>
      </w:r>
    </w:p>
    <w:p>
      <w:pPr>
        <w:keepNext/>
        <w:keepLines/>
        <w:pageBreakBefore w:val="0"/>
        <w:widowControl w:val="0"/>
        <w:numPr>
          <w:ilvl w:val="0"/>
          <w:numId w:val="0"/>
        </w:numPr>
        <w:bidi w:val="0"/>
        <w:spacing w:before="78" w:beforeLines="25" w:after="78" w:afterLines="25" w:line="360" w:lineRule="auto"/>
        <w:jc w:val="left"/>
        <w:outlineLvl w:val="1"/>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pPr>
      <w:bookmarkStart w:id="222" w:name="_Toc22559"/>
      <w:r>
        <w:rPr>
          <w:rFonts w:hint="default" w:ascii="Times New Roman" w:hAnsi="Times New Roman" w:eastAsia="宋体" w:cs="Times New Roman"/>
          <w:b/>
          <w:bCs/>
          <w:caps w:val="0"/>
          <w:smallCaps w:val="0"/>
          <w:color w:val="auto"/>
          <w:spacing w:val="0"/>
          <w:w w:val="100"/>
          <w:kern w:val="0"/>
          <w:sz w:val="30"/>
          <w:szCs w:val="30"/>
          <w:highlight w:val="none"/>
          <w:lang w:val="en-US" w:eastAsia="zh-CN" w:bidi="ar-SA"/>
        </w:rPr>
        <w:t>9.</w:t>
      </w:r>
      <w:r>
        <w:rPr>
          <w:rFonts w:hint="eastAsia" w:ascii="Times New Roman" w:hAnsi="Times New Roman" w:eastAsia="宋体" w:cs="Times New Roman"/>
          <w:b/>
          <w:bCs/>
          <w:caps w:val="0"/>
          <w:smallCaps w:val="0"/>
          <w:color w:val="auto"/>
          <w:spacing w:val="0"/>
          <w:w w:val="100"/>
          <w:kern w:val="0"/>
          <w:sz w:val="30"/>
          <w:szCs w:val="30"/>
          <w:highlight w:val="none"/>
          <w:lang w:val="en-US" w:eastAsia="zh-CN" w:bidi="ar-SA"/>
        </w:rPr>
        <w:t>6综合结论</w:t>
      </w:r>
      <w:bookmarkEnd w:id="222"/>
    </w:p>
    <w:p>
      <w:pPr>
        <w:keepNext w:val="0"/>
        <w:keepLines w:val="0"/>
        <w:widowControl/>
        <w:suppressLineNumbers w:val="0"/>
        <w:spacing w:line="360" w:lineRule="auto"/>
        <w:ind w:firstLine="560" w:firstLineChars="200"/>
        <w:jc w:val="both"/>
        <w:rPr>
          <w:rFonts w:hint="default" w:ascii="Times New Roman" w:hAnsi="Times New Roman" w:eastAsia="宋体" w:cs="Times New Roman"/>
          <w:color w:val="auto"/>
          <w:kern w:val="0"/>
          <w:sz w:val="28"/>
          <w:szCs w:val="28"/>
          <w:highlight w:val="none"/>
          <w:lang w:val="en-US" w:eastAsia="zh-CN" w:bidi="ar"/>
        </w:rPr>
      </w:pPr>
      <w:r>
        <w:rPr>
          <w:rFonts w:hint="eastAsia" w:ascii="Times New Roman" w:hAnsi="Times New Roman" w:eastAsia="宋体" w:cs="Times New Roman"/>
          <w:color w:val="auto"/>
          <w:kern w:val="0"/>
          <w:sz w:val="28"/>
          <w:szCs w:val="28"/>
          <w:highlight w:val="none"/>
          <w:lang w:val="en-US" w:eastAsia="zh-CN" w:bidi="ar"/>
        </w:rPr>
        <w:t>综上所述，肇深19—斜1等3口井钻井工程项目符合国家产业政策和当地经济发展规划，公众认同性较好。只要在建设过程中认真落实各项污染防治措施、生态保护措施和风险防范措施后，各项污染物能够做到达标排放，其生态破坏可降至最低，环境风险可以接受，从环境保护角度看，本项目建设是可行的。</w:t>
      </w:r>
    </w:p>
    <w:p>
      <w:pPr>
        <w:keepNext w:val="0"/>
        <w:keepLines w:val="0"/>
        <w:widowControl/>
        <w:suppressLineNumbers w:val="0"/>
        <w:ind w:firstLine="460" w:firstLineChars="200"/>
        <w:jc w:val="left"/>
        <w:rPr>
          <w:rFonts w:hint="eastAsia" w:ascii="宋体" w:hAnsi="宋体" w:eastAsia="宋体" w:cs="宋体"/>
          <w:color w:val="auto"/>
          <w:kern w:val="0"/>
          <w:sz w:val="23"/>
          <w:szCs w:val="23"/>
          <w:highlight w:val="none"/>
          <w:lang w:val="en-US" w:eastAsia="zh-CN" w:bidi="ar"/>
        </w:rPr>
      </w:pPr>
    </w:p>
    <w:p>
      <w:pPr>
        <w:rPr>
          <w:rFonts w:hint="default" w:ascii="宋体" w:hAnsi="宋体" w:eastAsia="宋体" w:cs="宋体"/>
          <w:color w:val="auto"/>
          <w:kern w:val="0"/>
          <w:sz w:val="23"/>
          <w:szCs w:val="23"/>
          <w:highlight w:val="none"/>
          <w:lang w:val="en-US" w:eastAsia="zh-CN" w:bidi="ar"/>
        </w:rPr>
      </w:pPr>
      <w:r>
        <w:rPr>
          <w:rFonts w:hint="default" w:ascii="宋体" w:hAnsi="宋体" w:eastAsia="宋体" w:cs="宋体"/>
          <w:color w:val="auto"/>
          <w:kern w:val="0"/>
          <w:sz w:val="23"/>
          <w:szCs w:val="23"/>
          <w:highlight w:val="none"/>
          <w:lang w:val="en-US" w:eastAsia="zh-CN" w:bidi="ar"/>
        </w:rPr>
        <w:br w:type="page"/>
      </w:r>
    </w:p>
    <w:p>
      <w:pPr>
        <w:keepNext/>
        <w:keepLines/>
        <w:pageBreakBefore w:val="0"/>
        <w:widowControl w:val="0"/>
        <w:bidi w:val="0"/>
        <w:spacing w:line="360" w:lineRule="auto"/>
        <w:ind w:firstLine="0" w:firstLineChars="0"/>
        <w:jc w:val="center"/>
        <w:outlineLvl w:val="0"/>
        <w:rPr>
          <w:rFonts w:hint="default" w:ascii="Times New Roman" w:hAnsi="Times New Roman" w:eastAsia="黑体" w:cs="Times New Roman"/>
          <w:caps w:val="0"/>
          <w:smallCaps w:val="0"/>
          <w:color w:val="auto"/>
          <w:spacing w:val="0"/>
          <w:w w:val="100"/>
          <w:kern w:val="44"/>
          <w:sz w:val="24"/>
          <w:szCs w:val="30"/>
          <w:highlight w:val="none"/>
          <w:lang w:val="zh-CN"/>
        </w:rPr>
      </w:pPr>
      <w:bookmarkStart w:id="223" w:name="_Toc6185"/>
      <w:bookmarkStart w:id="224" w:name="_Toc21604"/>
      <w:r>
        <w:rPr>
          <w:rFonts w:hint="default" w:ascii="Times New Roman" w:hAnsi="Times New Roman" w:eastAsia="黑体" w:cs="Times New Roman"/>
          <w:caps w:val="0"/>
          <w:smallCaps w:val="0"/>
          <w:color w:val="auto"/>
          <w:spacing w:val="0"/>
          <w:w w:val="100"/>
          <w:kern w:val="44"/>
          <w:sz w:val="24"/>
          <w:szCs w:val="30"/>
          <w:highlight w:val="none"/>
          <w:lang w:val="zh-CN"/>
        </w:rPr>
        <w:t>附表一    大气环境影响评价自查表</w:t>
      </w:r>
      <w:bookmarkEnd w:id="223"/>
      <w:bookmarkEnd w:id="224"/>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381"/>
        <w:gridCol w:w="997"/>
        <w:gridCol w:w="737"/>
        <w:gridCol w:w="506"/>
        <w:gridCol w:w="766"/>
        <w:gridCol w:w="740"/>
        <w:gridCol w:w="67"/>
        <w:gridCol w:w="439"/>
        <w:gridCol w:w="163"/>
        <w:gridCol w:w="386"/>
        <w:gridCol w:w="306"/>
        <w:gridCol w:w="152"/>
        <w:gridCol w:w="71"/>
        <w:gridCol w:w="482"/>
        <w:gridCol w:w="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gridSpan w:val="2"/>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工作内容</w:t>
            </w:r>
          </w:p>
        </w:tc>
        <w:tc>
          <w:tcPr>
            <w:tcW w:w="3520" w:type="pct"/>
            <w:gridSpan w:val="1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restar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评价等级与范围</w:t>
            </w: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评价等级</w:t>
            </w:r>
          </w:p>
        </w:tc>
        <w:tc>
          <w:tcPr>
            <w:tcW w:w="1195"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一级</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367"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二级</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957" w:type="pct"/>
            <w:gridSpan w:val="5"/>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三级</w:t>
            </w:r>
            <w:r>
              <w:rPr>
                <w:rFonts w:hint="default" w:ascii="Times New Roman" w:hAnsi="Times New Roman" w:eastAsia="宋体" w:cs="Times New Roman"/>
                <w:caps w:val="0"/>
                <w:smallCaps w:val="0"/>
                <w:color w:val="auto"/>
                <w:spacing w:val="0"/>
                <w:w w:val="100"/>
                <w:kern w:val="2"/>
                <w:sz w:val="18"/>
                <w:szCs w:val="18"/>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评价范围</w:t>
            </w:r>
          </w:p>
        </w:tc>
        <w:tc>
          <w:tcPr>
            <w:tcW w:w="1195"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边长=50km</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367"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边长5~50km</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957" w:type="pct"/>
            <w:gridSpan w:val="5"/>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边长=5km</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restar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评价</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因子</w:t>
            </w: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SO</w:t>
            </w:r>
            <w:r>
              <w:rPr>
                <w:rFonts w:hint="default" w:ascii="Times New Roman" w:hAnsi="Times New Roman" w:eastAsia="宋体" w:cs="Times New Roman"/>
                <w:caps w:val="0"/>
                <w:smallCaps w:val="0"/>
                <w:color w:val="auto"/>
                <w:spacing w:val="0"/>
                <w:w w:val="100"/>
                <w:kern w:val="2"/>
                <w:sz w:val="18"/>
                <w:szCs w:val="18"/>
                <w:highlight w:val="none"/>
                <w:vertAlign w:val="subscript"/>
              </w:rPr>
              <w:t>2</w:t>
            </w:r>
            <w:r>
              <w:rPr>
                <w:rFonts w:hint="default" w:ascii="Times New Roman" w:hAnsi="Times New Roman" w:eastAsia="宋体" w:cs="Times New Roman"/>
                <w:caps w:val="0"/>
                <w:smallCaps w:val="0"/>
                <w:color w:val="auto"/>
                <w:spacing w:val="0"/>
                <w:w w:val="100"/>
                <w:kern w:val="2"/>
                <w:sz w:val="18"/>
                <w:szCs w:val="18"/>
                <w:highlight w:val="none"/>
              </w:rPr>
              <w:t>+NO</w:t>
            </w:r>
            <w:r>
              <w:rPr>
                <w:rFonts w:hint="default" w:ascii="Times New Roman" w:hAnsi="Times New Roman" w:eastAsia="宋体" w:cs="Times New Roman"/>
                <w:caps w:val="0"/>
                <w:smallCaps w:val="0"/>
                <w:color w:val="auto"/>
                <w:spacing w:val="0"/>
                <w:w w:val="100"/>
                <w:kern w:val="2"/>
                <w:sz w:val="18"/>
                <w:szCs w:val="18"/>
                <w:highlight w:val="none"/>
                <w:vertAlign w:val="subscript"/>
              </w:rPr>
              <w:t>X</w:t>
            </w:r>
            <w:r>
              <w:rPr>
                <w:rFonts w:hint="default" w:ascii="Times New Roman" w:hAnsi="Times New Roman" w:eastAsia="宋体" w:cs="Times New Roman"/>
                <w:caps w:val="0"/>
                <w:smallCaps w:val="0"/>
                <w:color w:val="auto"/>
                <w:spacing w:val="0"/>
                <w:w w:val="100"/>
                <w:kern w:val="2"/>
                <w:sz w:val="18"/>
                <w:szCs w:val="18"/>
                <w:highlight w:val="none"/>
              </w:rPr>
              <w:t>排放量</w:t>
            </w:r>
          </w:p>
        </w:tc>
        <w:tc>
          <w:tcPr>
            <w:tcW w:w="1195"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≧2000t/a</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367"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500~2000t/a</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957" w:type="pct"/>
            <w:gridSpan w:val="5"/>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&lt;500t/a</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评价因子</w:t>
            </w:r>
          </w:p>
        </w:tc>
        <w:tc>
          <w:tcPr>
            <w:tcW w:w="2269" w:type="pct"/>
            <w:gridSpan w:val="7"/>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基本污染物（  /  ）</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其他污染物（非甲烷总烃）</w:t>
            </w:r>
          </w:p>
        </w:tc>
        <w:tc>
          <w:tcPr>
            <w:tcW w:w="1250" w:type="pct"/>
            <w:gridSpan w:val="7"/>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包括二次PM</w:t>
            </w:r>
            <w:r>
              <w:rPr>
                <w:rFonts w:hint="default" w:ascii="Times New Roman" w:hAnsi="Times New Roman" w:eastAsia="宋体" w:cs="Times New Roman"/>
                <w:caps w:val="0"/>
                <w:smallCaps w:val="0"/>
                <w:color w:val="auto"/>
                <w:spacing w:val="0"/>
                <w:w w:val="100"/>
                <w:kern w:val="2"/>
                <w:sz w:val="18"/>
                <w:szCs w:val="18"/>
                <w:highlight w:val="none"/>
                <w:vertAlign w:val="subscript"/>
              </w:rPr>
              <w:t>2.5</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不包括二次PM</w:t>
            </w:r>
            <w:r>
              <w:rPr>
                <w:rFonts w:hint="default" w:ascii="Times New Roman" w:hAnsi="Times New Roman" w:eastAsia="宋体" w:cs="Times New Roman"/>
                <w:caps w:val="0"/>
                <w:smallCaps w:val="0"/>
                <w:color w:val="auto"/>
                <w:spacing w:val="0"/>
                <w:w w:val="100"/>
                <w:kern w:val="2"/>
                <w:sz w:val="18"/>
                <w:szCs w:val="18"/>
                <w:highlight w:val="none"/>
                <w:vertAlign w:val="subscript"/>
              </w:rPr>
              <w:t>2.5</w:t>
            </w:r>
            <w:r>
              <w:rPr>
                <w:rFonts w:hint="default" w:ascii="Times New Roman" w:hAnsi="Times New Roman" w:eastAsia="宋体" w:cs="Times New Roman"/>
                <w:caps w:val="0"/>
                <w:smallCaps w:val="0"/>
                <w:color w:val="auto"/>
                <w:spacing w:val="0"/>
                <w:w w:val="100"/>
                <w:kern w:val="2"/>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评价标准</w:t>
            </w: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评价标准</w:t>
            </w:r>
          </w:p>
        </w:tc>
        <w:tc>
          <w:tcPr>
            <w:tcW w:w="1195"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国家标准√</w:t>
            </w:r>
          </w:p>
        </w:tc>
        <w:tc>
          <w:tcPr>
            <w:tcW w:w="804" w:type="pct"/>
            <w:gridSpan w:val="2"/>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地方标准</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886" w:type="pct"/>
            <w:gridSpan w:val="7"/>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附录D</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634" w:type="pct"/>
            <w:gridSpan w:val="2"/>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其他标准</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restar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现状评价</w:t>
            </w: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环境功能区</w:t>
            </w:r>
          </w:p>
        </w:tc>
        <w:tc>
          <w:tcPr>
            <w:tcW w:w="1195"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一类区</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367"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二类区√</w:t>
            </w:r>
          </w:p>
        </w:tc>
        <w:tc>
          <w:tcPr>
            <w:tcW w:w="957" w:type="pct"/>
            <w:gridSpan w:val="5"/>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一类区和二类区</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评价基准年</w:t>
            </w:r>
          </w:p>
        </w:tc>
        <w:tc>
          <w:tcPr>
            <w:tcW w:w="3520" w:type="pct"/>
            <w:gridSpan w:val="1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（202</w:t>
            </w:r>
            <w:r>
              <w:rPr>
                <w:rFonts w:hint="eastAsia" w:ascii="Times New Roman" w:hAnsi="Times New Roman" w:eastAsia="宋体" w:cs="Times New Roman"/>
                <w:caps w:val="0"/>
                <w:smallCaps w:val="0"/>
                <w:color w:val="auto"/>
                <w:spacing w:val="0"/>
                <w:w w:val="100"/>
                <w:kern w:val="2"/>
                <w:sz w:val="18"/>
                <w:szCs w:val="18"/>
                <w:highlight w:val="none"/>
                <w:lang w:val="en-US" w:eastAsia="zh-CN"/>
              </w:rPr>
              <w:t>1</w:t>
            </w:r>
            <w:r>
              <w:rPr>
                <w:rFonts w:hint="default" w:ascii="Times New Roman" w:hAnsi="Times New Roman" w:eastAsia="宋体" w:cs="Times New Roman"/>
                <w:caps w:val="0"/>
                <w:smallCaps w:val="0"/>
                <w:color w:val="auto"/>
                <w:spacing w:val="0"/>
                <w:w w:val="100"/>
                <w:kern w:val="2"/>
                <w:sz w:val="18"/>
                <w:szCs w:val="18"/>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环境空气质量</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现状调查数据来源</w:t>
            </w:r>
          </w:p>
        </w:tc>
        <w:tc>
          <w:tcPr>
            <w:tcW w:w="1195"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长期例行监测数据</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367"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主管部门发布的数据√</w:t>
            </w:r>
          </w:p>
        </w:tc>
        <w:tc>
          <w:tcPr>
            <w:tcW w:w="957" w:type="pct"/>
            <w:gridSpan w:val="5"/>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现状补充监测√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现状评价</w:t>
            </w:r>
          </w:p>
        </w:tc>
        <w:tc>
          <w:tcPr>
            <w:tcW w:w="2035"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达标区√</w:t>
            </w:r>
          </w:p>
        </w:tc>
        <w:tc>
          <w:tcPr>
            <w:tcW w:w="1484" w:type="pct"/>
            <w:gridSpan w:val="8"/>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不达标区</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污染源</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调查</w:t>
            </w: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调查内容</w:t>
            </w:r>
          </w:p>
        </w:tc>
        <w:tc>
          <w:tcPr>
            <w:tcW w:w="1195"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本项目正常排放源√</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本项目非正常排放源</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现有污染源</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840"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拟替代的污染源</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850"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其他在建、拟建项目污染源</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634" w:type="pct"/>
            <w:gridSpan w:val="2"/>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区域污染源</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restar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大气环境影响预测与评价</w:t>
            </w: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预测模型</w:t>
            </w:r>
          </w:p>
        </w:tc>
        <w:tc>
          <w:tcPr>
            <w:tcW w:w="531"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AERMOD</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394"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ADMS</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679" w:type="pct"/>
            <w:gridSpan w:val="2"/>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AUSTAL2000</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665"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EDMS/AEDT</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537" w:type="pct"/>
            <w:gridSpan w:val="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CALPUFF</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443" w:type="pct"/>
            <w:gridSpan w:val="2"/>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网络模型</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269"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其他</w:t>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预测范围</w:t>
            </w:r>
          </w:p>
        </w:tc>
        <w:tc>
          <w:tcPr>
            <w:tcW w:w="1195"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边长≧50km</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367"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边长5~50km</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957" w:type="pct"/>
            <w:gridSpan w:val="5"/>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边长=5km</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预测因子</w:t>
            </w:r>
          </w:p>
        </w:tc>
        <w:tc>
          <w:tcPr>
            <w:tcW w:w="1604" w:type="pct"/>
            <w:gridSpan w:val="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预测因子</w:t>
            </w:r>
          </w:p>
        </w:tc>
        <w:tc>
          <w:tcPr>
            <w:tcW w:w="1915" w:type="pct"/>
            <w:gridSpan w:val="10"/>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包括二次PM</w:t>
            </w:r>
            <w:r>
              <w:rPr>
                <w:rFonts w:hint="default" w:ascii="Times New Roman" w:hAnsi="Times New Roman" w:eastAsia="宋体" w:cs="Times New Roman"/>
                <w:caps w:val="0"/>
                <w:smallCaps w:val="0"/>
                <w:color w:val="auto"/>
                <w:spacing w:val="0"/>
                <w:w w:val="100"/>
                <w:kern w:val="2"/>
                <w:sz w:val="18"/>
                <w:szCs w:val="18"/>
                <w:highlight w:val="none"/>
                <w:vertAlign w:val="subscript"/>
              </w:rPr>
              <w:t>2.5</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不包括二次PM</w:t>
            </w:r>
            <w:r>
              <w:rPr>
                <w:rFonts w:hint="default" w:ascii="Times New Roman" w:hAnsi="Times New Roman" w:eastAsia="宋体" w:cs="Times New Roman"/>
                <w:caps w:val="0"/>
                <w:smallCaps w:val="0"/>
                <w:color w:val="auto"/>
                <w:spacing w:val="0"/>
                <w:w w:val="100"/>
                <w:kern w:val="2"/>
                <w:sz w:val="18"/>
                <w:szCs w:val="18"/>
                <w:highlight w:val="none"/>
                <w:vertAlign w:val="subscript"/>
              </w:rPr>
              <w:t>2.5</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正常排放短期浓度贡献值</w:t>
            </w:r>
          </w:p>
        </w:tc>
        <w:tc>
          <w:tcPr>
            <w:tcW w:w="1604" w:type="pct"/>
            <w:gridSpan w:val="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w:t>
            </w:r>
            <w:r>
              <w:rPr>
                <w:rFonts w:hint="default" w:ascii="Times New Roman" w:hAnsi="Times New Roman" w:eastAsia="宋体" w:cs="Times New Roman"/>
                <w:caps w:val="0"/>
                <w:smallCaps w:val="0"/>
                <w:color w:val="auto"/>
                <w:spacing w:val="0"/>
                <w:w w:val="100"/>
                <w:kern w:val="2"/>
                <w:sz w:val="18"/>
                <w:szCs w:val="18"/>
                <w:highlight w:val="none"/>
                <w:vertAlign w:val="subscript"/>
              </w:rPr>
              <w:t>本项目</w:t>
            </w:r>
            <w:r>
              <w:rPr>
                <w:rFonts w:hint="default" w:ascii="Times New Roman" w:hAnsi="Times New Roman" w:eastAsia="宋体" w:cs="Times New Roman"/>
                <w:caps w:val="0"/>
                <w:smallCaps w:val="0"/>
                <w:color w:val="auto"/>
                <w:spacing w:val="0"/>
                <w:w w:val="100"/>
                <w:kern w:val="2"/>
                <w:sz w:val="18"/>
                <w:szCs w:val="18"/>
                <w:highlight w:val="none"/>
              </w:rPr>
              <w:t>最大占标率≦100%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915" w:type="pct"/>
            <w:gridSpan w:val="10"/>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w:t>
            </w:r>
            <w:r>
              <w:rPr>
                <w:rFonts w:hint="default" w:ascii="Times New Roman" w:hAnsi="Times New Roman" w:eastAsia="宋体" w:cs="Times New Roman"/>
                <w:caps w:val="0"/>
                <w:smallCaps w:val="0"/>
                <w:color w:val="auto"/>
                <w:spacing w:val="0"/>
                <w:w w:val="100"/>
                <w:kern w:val="2"/>
                <w:sz w:val="18"/>
                <w:szCs w:val="18"/>
                <w:highlight w:val="none"/>
                <w:vertAlign w:val="subscript"/>
              </w:rPr>
              <w:t>本项目</w:t>
            </w:r>
            <w:r>
              <w:rPr>
                <w:rFonts w:hint="default" w:ascii="Times New Roman" w:hAnsi="Times New Roman" w:eastAsia="宋体" w:cs="Times New Roman"/>
                <w:caps w:val="0"/>
                <w:smallCaps w:val="0"/>
                <w:color w:val="auto"/>
                <w:spacing w:val="0"/>
                <w:w w:val="100"/>
                <w:kern w:val="2"/>
                <w:sz w:val="18"/>
                <w:szCs w:val="18"/>
                <w:highlight w:val="none"/>
              </w:rPr>
              <w:t>最大占标率&gt;100%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vMerge w:val="restar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正常排放年均浓度贡献值</w:t>
            </w:r>
          </w:p>
        </w:tc>
        <w:tc>
          <w:tcPr>
            <w:tcW w:w="925" w:type="pct"/>
            <w:gridSpan w:val="2"/>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一类区</w:t>
            </w:r>
          </w:p>
        </w:tc>
        <w:tc>
          <w:tcPr>
            <w:tcW w:w="1431"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w:t>
            </w:r>
            <w:r>
              <w:rPr>
                <w:rFonts w:hint="default" w:ascii="Times New Roman" w:hAnsi="Times New Roman" w:eastAsia="宋体" w:cs="Times New Roman"/>
                <w:caps w:val="0"/>
                <w:smallCaps w:val="0"/>
                <w:color w:val="auto"/>
                <w:spacing w:val="0"/>
                <w:w w:val="100"/>
                <w:kern w:val="2"/>
                <w:sz w:val="18"/>
                <w:szCs w:val="18"/>
                <w:highlight w:val="none"/>
                <w:vertAlign w:val="subscript"/>
              </w:rPr>
              <w:t>本项目</w:t>
            </w:r>
            <w:r>
              <w:rPr>
                <w:rFonts w:hint="default" w:ascii="Times New Roman" w:hAnsi="Times New Roman" w:eastAsia="宋体" w:cs="Times New Roman"/>
                <w:caps w:val="0"/>
                <w:smallCaps w:val="0"/>
                <w:color w:val="auto"/>
                <w:spacing w:val="0"/>
                <w:w w:val="100"/>
                <w:kern w:val="2"/>
                <w:sz w:val="18"/>
                <w:szCs w:val="18"/>
                <w:highlight w:val="none"/>
              </w:rPr>
              <w:t>最大占标率≦10%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164"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w:t>
            </w:r>
            <w:r>
              <w:rPr>
                <w:rFonts w:hint="default" w:ascii="Times New Roman" w:hAnsi="Times New Roman" w:eastAsia="宋体" w:cs="Times New Roman"/>
                <w:caps w:val="0"/>
                <w:smallCaps w:val="0"/>
                <w:color w:val="auto"/>
                <w:spacing w:val="0"/>
                <w:w w:val="100"/>
                <w:kern w:val="2"/>
                <w:sz w:val="18"/>
                <w:szCs w:val="18"/>
                <w:highlight w:val="none"/>
                <w:vertAlign w:val="subscript"/>
              </w:rPr>
              <w:t>本项目</w:t>
            </w:r>
            <w:r>
              <w:rPr>
                <w:rFonts w:hint="default" w:ascii="Times New Roman" w:hAnsi="Times New Roman" w:eastAsia="宋体" w:cs="Times New Roman"/>
                <w:caps w:val="0"/>
                <w:smallCaps w:val="0"/>
                <w:color w:val="auto"/>
                <w:spacing w:val="0"/>
                <w:w w:val="100"/>
                <w:kern w:val="2"/>
                <w:sz w:val="18"/>
                <w:szCs w:val="18"/>
                <w:highlight w:val="none"/>
              </w:rPr>
              <w:t>最大占标率＞10%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925" w:type="pct"/>
            <w:gridSpan w:val="2"/>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二类区</w:t>
            </w:r>
          </w:p>
        </w:tc>
        <w:tc>
          <w:tcPr>
            <w:tcW w:w="1431"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w:t>
            </w:r>
            <w:r>
              <w:rPr>
                <w:rFonts w:hint="default" w:ascii="Times New Roman" w:hAnsi="Times New Roman" w:eastAsia="宋体" w:cs="Times New Roman"/>
                <w:caps w:val="0"/>
                <w:smallCaps w:val="0"/>
                <w:color w:val="auto"/>
                <w:spacing w:val="0"/>
                <w:w w:val="100"/>
                <w:kern w:val="2"/>
                <w:sz w:val="18"/>
                <w:szCs w:val="18"/>
                <w:highlight w:val="none"/>
                <w:vertAlign w:val="subscript"/>
              </w:rPr>
              <w:t>本项目</w:t>
            </w:r>
            <w:r>
              <w:rPr>
                <w:rFonts w:hint="default" w:ascii="Times New Roman" w:hAnsi="Times New Roman" w:eastAsia="宋体" w:cs="Times New Roman"/>
                <w:caps w:val="0"/>
                <w:smallCaps w:val="0"/>
                <w:color w:val="auto"/>
                <w:spacing w:val="0"/>
                <w:w w:val="100"/>
                <w:kern w:val="2"/>
                <w:sz w:val="18"/>
                <w:szCs w:val="18"/>
                <w:highlight w:val="none"/>
              </w:rPr>
              <w:t>最大占标率≦30%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164"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w:t>
            </w:r>
            <w:r>
              <w:rPr>
                <w:rFonts w:hint="default" w:ascii="Times New Roman" w:hAnsi="Times New Roman" w:eastAsia="宋体" w:cs="Times New Roman"/>
                <w:caps w:val="0"/>
                <w:smallCaps w:val="0"/>
                <w:color w:val="auto"/>
                <w:spacing w:val="0"/>
                <w:w w:val="100"/>
                <w:kern w:val="2"/>
                <w:sz w:val="18"/>
                <w:szCs w:val="18"/>
                <w:highlight w:val="none"/>
                <w:vertAlign w:val="subscript"/>
              </w:rPr>
              <w:t>本项目</w:t>
            </w:r>
            <w:r>
              <w:rPr>
                <w:rFonts w:hint="default" w:ascii="Times New Roman" w:hAnsi="Times New Roman" w:eastAsia="宋体" w:cs="Times New Roman"/>
                <w:caps w:val="0"/>
                <w:smallCaps w:val="0"/>
                <w:color w:val="auto"/>
                <w:spacing w:val="0"/>
                <w:w w:val="100"/>
                <w:kern w:val="2"/>
                <w:sz w:val="18"/>
                <w:szCs w:val="18"/>
                <w:highlight w:val="none"/>
              </w:rPr>
              <w:t>最大占标率＞30%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非正常排放1h浓度贡献值</w:t>
            </w:r>
          </w:p>
        </w:tc>
        <w:tc>
          <w:tcPr>
            <w:tcW w:w="1195"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非正常持续时长（）h</w:t>
            </w:r>
          </w:p>
        </w:tc>
        <w:tc>
          <w:tcPr>
            <w:tcW w:w="1367"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C非正常占标率≦100%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957" w:type="pct"/>
            <w:gridSpan w:val="5"/>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C非正常占标率&gt;100%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保证率日平均浓度和年评价浓度叠加值</w:t>
            </w:r>
          </w:p>
        </w:tc>
        <w:tc>
          <w:tcPr>
            <w:tcW w:w="1604" w:type="pct"/>
            <w:gridSpan w:val="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C叠加达标</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915" w:type="pct"/>
            <w:gridSpan w:val="10"/>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C叠加不达标</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区域环境质量的整体变化情况</w:t>
            </w:r>
          </w:p>
        </w:tc>
        <w:tc>
          <w:tcPr>
            <w:tcW w:w="1604" w:type="pct"/>
            <w:gridSpan w:val="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k≦-20%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915" w:type="pct"/>
            <w:gridSpan w:val="10"/>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K&gt;-20%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restar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环境监测计划</w:t>
            </w: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污染源监测</w:t>
            </w:r>
          </w:p>
        </w:tc>
        <w:tc>
          <w:tcPr>
            <w:tcW w:w="1604" w:type="pct"/>
            <w:gridSpan w:val="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监测因子：（）</w:t>
            </w:r>
          </w:p>
        </w:tc>
        <w:tc>
          <w:tcPr>
            <w:tcW w:w="1202" w:type="pct"/>
            <w:gridSpan w:val="7"/>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有组织废气监测</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无组织废气监测</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713"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环境质量监测</w:t>
            </w:r>
          </w:p>
        </w:tc>
        <w:tc>
          <w:tcPr>
            <w:tcW w:w="1604" w:type="pct"/>
            <w:gridSpan w:val="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监测因子：（）</w:t>
            </w:r>
          </w:p>
        </w:tc>
        <w:tc>
          <w:tcPr>
            <w:tcW w:w="1202" w:type="pct"/>
            <w:gridSpan w:val="7"/>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监测点位数（）</w:t>
            </w:r>
          </w:p>
        </w:tc>
        <w:tc>
          <w:tcPr>
            <w:tcW w:w="713" w:type="pct"/>
            <w:gridSpan w:val="3"/>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restar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环评结论</w:t>
            </w: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环境影响</w:t>
            </w:r>
          </w:p>
        </w:tc>
        <w:tc>
          <w:tcPr>
            <w:tcW w:w="3520" w:type="pct"/>
            <w:gridSpan w:val="1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可以接受√      不可以接受</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大气环境防护距离</w:t>
            </w:r>
          </w:p>
        </w:tc>
        <w:tc>
          <w:tcPr>
            <w:tcW w:w="3520" w:type="pct"/>
            <w:gridSpan w:val="1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872" w:type="pct"/>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污染源年排放量</w:t>
            </w:r>
          </w:p>
        </w:tc>
        <w:tc>
          <w:tcPr>
            <w:tcW w:w="925" w:type="pct"/>
            <w:gridSpan w:val="2"/>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NOx：（  ）t/a</w:t>
            </w:r>
          </w:p>
        </w:tc>
        <w:tc>
          <w:tcPr>
            <w:tcW w:w="679" w:type="pct"/>
            <w:gridSpan w:val="2"/>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SO</w:t>
            </w:r>
            <w:r>
              <w:rPr>
                <w:rFonts w:hint="default" w:ascii="Times New Roman" w:hAnsi="Times New Roman" w:eastAsia="宋体" w:cs="Times New Roman"/>
                <w:caps w:val="0"/>
                <w:smallCaps w:val="0"/>
                <w:color w:val="auto"/>
                <w:spacing w:val="0"/>
                <w:w w:val="100"/>
                <w:kern w:val="2"/>
                <w:sz w:val="18"/>
                <w:szCs w:val="18"/>
                <w:highlight w:val="none"/>
                <w:vertAlign w:val="subscript"/>
              </w:rPr>
              <w:t>2</w:t>
            </w:r>
            <w:r>
              <w:rPr>
                <w:rFonts w:hint="default" w:ascii="Times New Roman" w:hAnsi="Times New Roman" w:eastAsia="宋体" w:cs="Times New Roman"/>
                <w:caps w:val="0"/>
                <w:smallCaps w:val="0"/>
                <w:color w:val="auto"/>
                <w:spacing w:val="0"/>
                <w:w w:val="100"/>
                <w:kern w:val="2"/>
                <w:sz w:val="18"/>
                <w:szCs w:val="18"/>
                <w:highlight w:val="none"/>
              </w:rPr>
              <w:t>：（ ）t/a</w:t>
            </w:r>
          </w:p>
        </w:tc>
        <w:tc>
          <w:tcPr>
            <w:tcW w:w="1121" w:type="pct"/>
            <w:gridSpan w:val="6"/>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颗粒物：（ ）t/a</w:t>
            </w:r>
          </w:p>
        </w:tc>
        <w:tc>
          <w:tcPr>
            <w:tcW w:w="794" w:type="pct"/>
            <w:gridSpan w:val="4"/>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VOC</w:t>
            </w:r>
            <w:r>
              <w:rPr>
                <w:rFonts w:hint="default" w:ascii="Times New Roman" w:hAnsi="Times New Roman" w:eastAsia="宋体" w:cs="Times New Roman"/>
                <w:caps w:val="0"/>
                <w:smallCaps w:val="0"/>
                <w:color w:val="auto"/>
                <w:spacing w:val="0"/>
                <w:w w:val="100"/>
                <w:kern w:val="2"/>
                <w:sz w:val="18"/>
                <w:szCs w:val="18"/>
                <w:highlight w:val="none"/>
                <w:vertAlign w:val="subscript"/>
              </w:rPr>
              <w:t>S</w:t>
            </w:r>
            <w:r>
              <w:rPr>
                <w:rFonts w:hint="default" w:ascii="Times New Roman" w:hAnsi="Times New Roman" w:eastAsia="宋体" w:cs="Times New Roman"/>
                <w:caps w:val="0"/>
                <w:smallCaps w:val="0"/>
                <w:color w:val="auto"/>
                <w:spacing w:val="0"/>
                <w:w w:val="100"/>
                <w:kern w:val="2"/>
                <w:sz w:val="18"/>
                <w:szCs w:val="18"/>
                <w:highlight w:val="none"/>
              </w:rPr>
              <w:t>：（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16"/>
            <w:noWrap w:val="0"/>
            <w:vAlign w:val="center"/>
          </w:tcPr>
          <w:p>
            <w:pPr>
              <w:pageBreakBefore w:val="0"/>
              <w:widowControl w:val="0"/>
              <w:bidi w:val="0"/>
              <w:spacing w:line="360" w:lineRule="auto"/>
              <w:ind w:firstLine="0" w:firstLineChars="0"/>
              <w:jc w:val="left"/>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注：“</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r>
              <w:rPr>
                <w:rFonts w:hint="default" w:ascii="Times New Roman" w:hAnsi="Times New Roman" w:eastAsia="宋体" w:cs="Times New Roman"/>
                <w:caps w:val="0"/>
                <w:smallCaps w:val="0"/>
                <w:color w:val="auto"/>
                <w:spacing w:val="0"/>
                <w:w w:val="100"/>
                <w:kern w:val="2"/>
                <w:sz w:val="18"/>
                <w:szCs w:val="18"/>
                <w:highlight w:val="none"/>
              </w:rPr>
              <w:t>”为勾选项，填“√”；“（）”为内容填写项</w:t>
            </w:r>
          </w:p>
        </w:tc>
      </w:tr>
    </w:tbl>
    <w:p>
      <w:pPr>
        <w:rPr>
          <w:rFonts w:hint="default"/>
          <w:color w:val="auto"/>
          <w:highlight w:val="none"/>
          <w:lang w:val="en-US" w:eastAsia="zh-CN"/>
        </w:rPr>
      </w:pPr>
      <w:r>
        <w:rPr>
          <w:rFonts w:hint="default"/>
          <w:color w:val="auto"/>
          <w:highlight w:val="none"/>
          <w:lang w:val="en-US" w:eastAsia="zh-CN"/>
        </w:rPr>
        <w:br w:type="page"/>
      </w:r>
    </w:p>
    <w:p>
      <w:pPr>
        <w:pStyle w:val="22"/>
        <w:ind w:left="0" w:leftChars="0" w:firstLine="0" w:firstLineChars="0"/>
        <w:rPr>
          <w:rFonts w:hint="default"/>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keepLines/>
        <w:pageBreakBefore w:val="0"/>
        <w:widowControl w:val="0"/>
        <w:bidi w:val="0"/>
        <w:spacing w:line="360" w:lineRule="auto"/>
        <w:ind w:firstLine="0" w:firstLineChars="0"/>
        <w:jc w:val="center"/>
        <w:outlineLvl w:val="0"/>
        <w:rPr>
          <w:rFonts w:hint="default" w:ascii="Times New Roman" w:hAnsi="Times New Roman" w:eastAsia="黑体" w:cs="Times New Roman"/>
          <w:caps w:val="0"/>
          <w:smallCaps w:val="0"/>
          <w:color w:val="auto"/>
          <w:spacing w:val="0"/>
          <w:w w:val="100"/>
          <w:kern w:val="44"/>
          <w:sz w:val="24"/>
          <w:szCs w:val="30"/>
          <w:highlight w:val="none"/>
          <w:lang w:val="zh-CN"/>
        </w:rPr>
      </w:pPr>
      <w:bookmarkStart w:id="225" w:name="_Toc861"/>
      <w:r>
        <w:rPr>
          <w:rFonts w:hint="default" w:ascii="Times New Roman" w:hAnsi="Times New Roman" w:eastAsia="黑体" w:cs="Times New Roman"/>
          <w:caps w:val="0"/>
          <w:smallCaps w:val="0"/>
          <w:color w:val="auto"/>
          <w:spacing w:val="0"/>
          <w:w w:val="100"/>
          <w:kern w:val="44"/>
          <w:sz w:val="24"/>
          <w:szCs w:val="30"/>
          <w:highlight w:val="none"/>
          <w:lang w:val="zh-CN"/>
        </w:rPr>
        <w:t>附表二    地表水环境影响评价自查表</w:t>
      </w:r>
      <w:bookmarkEnd w:id="225"/>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2" w:type="dxa"/>
          <w:left w:w="106" w:type="dxa"/>
          <w:bottom w:w="0" w:type="dxa"/>
          <w:right w:w="19" w:type="dxa"/>
        </w:tblCellMar>
      </w:tblPr>
      <w:tblGrid>
        <w:gridCol w:w="702"/>
        <w:gridCol w:w="2512"/>
        <w:gridCol w:w="1369"/>
        <w:gridCol w:w="1417"/>
        <w:gridCol w:w="502"/>
        <w:gridCol w:w="390"/>
        <w:gridCol w:w="398"/>
        <w:gridCol w:w="1730"/>
        <w:gridCol w:w="1320"/>
        <w:gridCol w:w="481"/>
        <w:gridCol w:w="690"/>
        <w:gridCol w:w="226"/>
        <w:gridCol w:w="730"/>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3214" w:type="dxa"/>
            <w:gridSpan w:val="2"/>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工作内容</w:t>
            </w:r>
          </w:p>
        </w:tc>
        <w:tc>
          <w:tcPr>
            <w:tcW w:w="10915" w:type="dxa"/>
            <w:gridSpan w:val="12"/>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影响识别</w:t>
            </w: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影响类型</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水污染影响型 √；水文要素影响型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水环境保护目标</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饮用水水源保护区 □；饮用水取水口 □；涉水的自然保护区 □；重要湿地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重点保护与珍稀水生生物的栖息地 □；重要水生生物的自然产卵场及索饵场、越冬场和洄游通道、天然渔场等渔业水体 □；涉水的风景名胜区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影响途径</w:t>
            </w:r>
          </w:p>
        </w:tc>
        <w:tc>
          <w:tcPr>
            <w:tcW w:w="5806"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水污染影响型</w:t>
            </w:r>
          </w:p>
        </w:tc>
        <w:tc>
          <w:tcPr>
            <w:tcW w:w="5109"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5806"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直接排放 □；间接排放√；其他 □ </w:t>
            </w:r>
          </w:p>
        </w:tc>
        <w:tc>
          <w:tcPr>
            <w:tcW w:w="5109"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水温 □；径流 □；水域面积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影响因子</w:t>
            </w:r>
          </w:p>
        </w:tc>
        <w:tc>
          <w:tcPr>
            <w:tcW w:w="5806"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持久性污染物 □；有毒有害污染物 □；非持久性污染物 □； pH 值 □；热污染 □；富营养化□；其他 □ </w:t>
            </w:r>
          </w:p>
        </w:tc>
        <w:tc>
          <w:tcPr>
            <w:tcW w:w="5109" w:type="dxa"/>
            <w:gridSpan w:val="6"/>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水温 □；水位（水深） □；流速 □；流量 □；其他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3214" w:type="dxa"/>
            <w:gridSpan w:val="2"/>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评价等级</w:t>
            </w:r>
          </w:p>
        </w:tc>
        <w:tc>
          <w:tcPr>
            <w:tcW w:w="5806"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水污染影响型 </w:t>
            </w:r>
          </w:p>
        </w:tc>
        <w:tc>
          <w:tcPr>
            <w:tcW w:w="5109"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水文要素影响型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3214" w:type="dxa"/>
            <w:gridSpan w:val="2"/>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5806"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一级 □；二级 □；三级 A □；三级 B √</w:t>
            </w:r>
          </w:p>
        </w:tc>
        <w:tc>
          <w:tcPr>
            <w:tcW w:w="5109"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一级 □；二级 □；三级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现状调查</w:t>
            </w:r>
          </w:p>
        </w:tc>
        <w:tc>
          <w:tcPr>
            <w:tcW w:w="251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区域污染源 </w:t>
            </w:r>
          </w:p>
        </w:tc>
        <w:tc>
          <w:tcPr>
            <w:tcW w:w="5806"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调查项目 </w:t>
            </w:r>
          </w:p>
        </w:tc>
        <w:tc>
          <w:tcPr>
            <w:tcW w:w="5109"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数据来源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786" w:type="dxa"/>
            <w:gridSpan w:val="2"/>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已建 □；在建 □；拟建 </w:t>
            </w:r>
            <w:r>
              <w:rPr>
                <w:rFonts w:hint="eastAsia" w:cs="Times New Roman"/>
                <w:caps w:val="0"/>
                <w:smallCaps w:val="0"/>
                <w:color w:val="auto"/>
                <w:spacing w:val="0"/>
                <w:w w:val="100"/>
                <w:highlight w:val="none"/>
                <w:lang w:eastAsia="zh-CN"/>
              </w:rPr>
              <w:t>☑</w:t>
            </w:r>
            <w:r>
              <w:rPr>
                <w:rFonts w:hint="default" w:ascii="Times New Roman" w:hAnsi="Times New Roman" w:cs="Times New Roman"/>
                <w:caps w:val="0"/>
                <w:smallCaps w:val="0"/>
                <w:color w:val="auto"/>
                <w:spacing w:val="0"/>
                <w:w w:val="100"/>
                <w:highlight w:val="none"/>
              </w:rPr>
              <w:t>；其他 □</w:t>
            </w:r>
          </w:p>
        </w:tc>
        <w:tc>
          <w:tcPr>
            <w:tcW w:w="3020" w:type="dxa"/>
            <w:gridSpan w:val="4"/>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拟替代的污染源 □</w:t>
            </w:r>
          </w:p>
        </w:tc>
        <w:tc>
          <w:tcPr>
            <w:tcW w:w="5109" w:type="dxa"/>
            <w:gridSpan w:val="6"/>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排污许可证 □；环评 □；环保验收 □；既有实测 □；现场监测 □；入河排放口数据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受影响水体水环境质量  </w:t>
            </w:r>
          </w:p>
        </w:tc>
        <w:tc>
          <w:tcPr>
            <w:tcW w:w="5806"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调查时期 </w:t>
            </w:r>
          </w:p>
        </w:tc>
        <w:tc>
          <w:tcPr>
            <w:tcW w:w="5109"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数据来源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5806" w:type="dxa"/>
            <w:gridSpan w:val="6"/>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丰水期 □；平水期 □；枯水期 </w:t>
            </w:r>
            <w:r>
              <w:rPr>
                <w:rFonts w:hint="eastAsia" w:cs="Times New Roman"/>
                <w:caps w:val="0"/>
                <w:smallCaps w:val="0"/>
                <w:color w:val="auto"/>
                <w:spacing w:val="0"/>
                <w:w w:val="100"/>
                <w:highlight w:val="none"/>
                <w:lang w:eastAsia="zh-CN"/>
              </w:rPr>
              <w:t>□</w:t>
            </w:r>
            <w:r>
              <w:rPr>
                <w:rFonts w:hint="default" w:ascii="Times New Roman" w:hAnsi="Times New Roman" w:cs="Times New Roman"/>
                <w:caps w:val="0"/>
                <w:smallCaps w:val="0"/>
                <w:color w:val="auto"/>
                <w:spacing w:val="0"/>
                <w:w w:val="100"/>
                <w:highlight w:val="none"/>
              </w:rPr>
              <w:t xml:space="preserve">；冰封期 □ 春季 □；夏季 □；秋季 □；冬季 □ </w:t>
            </w:r>
          </w:p>
        </w:tc>
        <w:tc>
          <w:tcPr>
            <w:tcW w:w="5109" w:type="dxa"/>
            <w:gridSpan w:val="6"/>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生态环境保护主管部门 □；补充监测 □；其他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区域水资源开发利用状况 </w:t>
            </w:r>
          </w:p>
        </w:tc>
        <w:tc>
          <w:tcPr>
            <w:tcW w:w="10915" w:type="dxa"/>
            <w:gridSpan w:val="12"/>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未开发 □；开发量 40%以下 □；开发量 40%以上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2" w:type="dxa"/>
            <w:left w:w="106" w:type="dxa"/>
            <w:bottom w:w="0" w:type="dxa"/>
            <w:right w:w="19"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水文情势调查  </w:t>
            </w:r>
          </w:p>
        </w:tc>
        <w:tc>
          <w:tcPr>
            <w:tcW w:w="5806"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调查时期 </w:t>
            </w:r>
          </w:p>
        </w:tc>
        <w:tc>
          <w:tcPr>
            <w:tcW w:w="5109"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数据来源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5806" w:type="dxa"/>
            <w:gridSpan w:val="6"/>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丰水期 □；平水期 □；枯水期 □；冰封期 □ 春季 □；夏季 □；秋季 □；冬季 □ </w:t>
            </w:r>
          </w:p>
        </w:tc>
        <w:tc>
          <w:tcPr>
            <w:tcW w:w="5109" w:type="dxa"/>
            <w:gridSpan w:val="6"/>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水行政主管部门 □；补充监测 □；其他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补充监测  </w:t>
            </w:r>
          </w:p>
        </w:tc>
        <w:tc>
          <w:tcPr>
            <w:tcW w:w="5806" w:type="dxa"/>
            <w:gridSpan w:val="6"/>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监测时期 </w:t>
            </w:r>
          </w:p>
        </w:tc>
        <w:tc>
          <w:tcPr>
            <w:tcW w:w="2717" w:type="dxa"/>
            <w:gridSpan w:val="4"/>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监测因子 </w:t>
            </w:r>
          </w:p>
        </w:tc>
        <w:tc>
          <w:tcPr>
            <w:tcW w:w="2392" w:type="dxa"/>
            <w:gridSpan w:val="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监测断面或点位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5806" w:type="dxa"/>
            <w:gridSpan w:val="6"/>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丰水期 □；平水期 □；枯水期 □；冰封期 □ 春季 □；夏季 □；秋季 □；冬季 □ </w:t>
            </w:r>
          </w:p>
        </w:tc>
        <w:tc>
          <w:tcPr>
            <w:tcW w:w="2717" w:type="dxa"/>
            <w:gridSpan w:val="4"/>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w:t>
            </w:r>
          </w:p>
        </w:tc>
        <w:tc>
          <w:tcPr>
            <w:tcW w:w="2392" w:type="dxa"/>
            <w:gridSpan w:val="2"/>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监测断面或点位个数（       ）个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0" w:hRule="atLeast"/>
        </w:trPr>
        <w:tc>
          <w:tcPr>
            <w:tcW w:w="70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现状评价</w:t>
            </w: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评价范围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河流：长度（       ）km；湖库、河口及近岸海域：面积（       ）km</w:t>
            </w:r>
            <w:r>
              <w:rPr>
                <w:rFonts w:hint="default" w:ascii="Times New Roman" w:hAnsi="Times New Roman" w:cs="Times New Roman"/>
                <w:caps w:val="0"/>
                <w:smallCaps w:val="0"/>
                <w:color w:val="auto"/>
                <w:spacing w:val="0"/>
                <w:w w:val="100"/>
                <w:highlight w:val="none"/>
                <w:vertAlign w:val="superscript"/>
              </w:rPr>
              <w:t>2</w:t>
            </w:r>
            <w:r>
              <w:rPr>
                <w:rFonts w:hint="default" w:ascii="Times New Roman" w:hAnsi="Times New Roman" w:cs="Times New Roman"/>
                <w:caps w:val="0"/>
                <w:smallCaps w:val="0"/>
                <w:color w:val="auto"/>
                <w:spacing w:val="0"/>
                <w:w w:val="100"/>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评价因子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评价标准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河流、湖库、河口：Ⅰ类 □；Ⅱ类 □；Ⅲ类 □；Ⅳ类 □；Ⅴ类 □ 近岸海域：第一类 □；第二类 □；第三类 □；第四类 □ 规划年评价标准（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评价时期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丰水期 □；平水期 □；枯水期 □；冰封期 □ 春季 □；夏季 □；秋季 □；冬季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123"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评价结论 </w:t>
            </w:r>
          </w:p>
        </w:tc>
        <w:tc>
          <w:tcPr>
            <w:tcW w:w="9253" w:type="dxa"/>
            <w:gridSpan w:val="11"/>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mc:AlternateContent>
                <mc:Choice Requires="wpg">
                  <w:drawing>
                    <wp:anchor distT="0" distB="0" distL="114300" distR="114300" simplePos="0" relativeHeight="251659264" behindDoc="0" locked="0" layoutInCell="1" allowOverlap="1">
                      <wp:simplePos x="0" y="0"/>
                      <wp:positionH relativeFrom="column">
                        <wp:posOffset>5589270</wp:posOffset>
                      </wp:positionH>
                      <wp:positionV relativeFrom="paragraph">
                        <wp:posOffset>-41275</wp:posOffset>
                      </wp:positionV>
                      <wp:extent cx="8890" cy="1783080"/>
                      <wp:effectExtent l="0" t="0" r="10160" b="7620"/>
                      <wp:wrapSquare wrapText="bothSides"/>
                      <wp:docPr id="20" name="组合 20"/>
                      <wp:cNvGraphicFramePr/>
                      <a:graphic xmlns:a="http://schemas.openxmlformats.org/drawingml/2006/main">
                        <a:graphicData uri="http://schemas.microsoft.com/office/word/2010/wordprocessingGroup">
                          <wpg:wgp>
                            <wpg:cNvGrpSpPr/>
                            <wpg:grpSpPr>
                              <a:xfrm>
                                <a:off x="0" y="0"/>
                                <a:ext cx="8890" cy="1783080"/>
                                <a:chOff x="0" y="0"/>
                                <a:chExt cx="9144" cy="1783334"/>
                              </a:xfrm>
                              <a:effectLst/>
                            </wpg:grpSpPr>
                            <wps:wsp>
                              <wps:cNvPr id="19" name="任意多边形 19"/>
                              <wps:cNvSpPr/>
                              <wps:spPr>
                                <a:xfrm>
                                  <a:off x="0" y="0"/>
                                  <a:ext cx="9144" cy="1783334"/>
                                </a:xfrm>
                                <a:custGeom>
                                  <a:avLst/>
                                  <a:gdLst/>
                                  <a:ahLst/>
                                  <a:cxnLst/>
                                  <a:pathLst>
                                    <a:path w="9144" h="1783334">
                                      <a:moveTo>
                                        <a:pt x="0" y="0"/>
                                      </a:moveTo>
                                      <a:lnTo>
                                        <a:pt x="9144" y="0"/>
                                      </a:lnTo>
                                      <a:lnTo>
                                        <a:pt x="9144" y="1783334"/>
                                      </a:lnTo>
                                      <a:lnTo>
                                        <a:pt x="0" y="1783334"/>
                                      </a:lnTo>
                                      <a:lnTo>
                                        <a:pt x="0" y="0"/>
                                      </a:lnTo>
                                    </a:path>
                                  </a:pathLst>
                                </a:custGeom>
                                <a:solidFill>
                                  <a:srgbClr val="000000"/>
                                </a:solidFill>
                                <a:ln w="0">
                                  <a:noFill/>
                                </a:ln>
                                <a:effectLst/>
                              </wps:spPr>
                              <wps:bodyPr vert="horz" wrap="square" anchor="t" anchorCtr="0" upright="1"/>
                            </wps:wsp>
                          </wpg:wgp>
                        </a:graphicData>
                      </a:graphic>
                    </wp:anchor>
                  </w:drawing>
                </mc:Choice>
                <mc:Fallback>
                  <w:pict>
                    <v:group id="_x0000_s1026" o:spid="_x0000_s1026" o:spt="203" style="position:absolute;left:0pt;margin-left:440.1pt;margin-top:-3.25pt;height:140.4pt;width:0.7pt;mso-wrap-distance-bottom:0pt;mso-wrap-distance-left:9pt;mso-wrap-distance-right:9pt;mso-wrap-distance-top:0pt;z-index:251659264;mso-width-relative:page;mso-height-relative:page;" coordsize="9144,1783334" o:gfxdata="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hS8YK2wAAAAoB&#10;AAAPAAAAAAAAAAEAIAAAACIAAABkcnMvZG93bnJldi54bWxQSwECFAAUAAAACACHTuJAXthHuooC&#10;AAAEBgAADgAAAAAAAAABACAAAAAqAQAAZHJzL2Uyb0RvYy54bWxQSwUGAAAAAAYABgBZAQAAJgYA&#10;AAAA&#10;">
                      <o:lock v:ext="edit" aspectratio="f"/>
                      <v:shape id="_x0000_s1026" o:spid="_x0000_s1026" o:spt="100" style="position:absolute;left:0;top:0;height:1783334;width:9144;" fillcolor="#000000" filled="t" stroked="f" coordsize="9144,1783334" o:gfxdata="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mdqmugAAANsA&#10;AAAPAAAAAAAAAAEAIAAAACIAAABkcnMvZG93bnJldi54bWxQSwECFAAUAAAACACHTuJAMy8FnjsA&#10;AAA5AAAAEAAAAAAAAAABACAAAAAJAQAAZHJzL3NoYXBleG1sLnhtbFBLBQYAAAAABgAGAFsBAACz&#10;AwAAAAA=&#10;" path="m0,0l9144,0,9144,1783334,0,1783334,0,0e">
                        <v:fill on="t" focussize="0,0"/>
                        <v:stroke on="f" weight="0pt"/>
                        <v:imagedata o:title=""/>
                        <o:lock v:ext="edit" aspectratio="f"/>
                      </v:shape>
                      <w10:wrap type="square"/>
                    </v:group>
                  </w:pict>
                </mc:Fallback>
              </mc:AlternateContent>
            </w:r>
            <w:r>
              <w:rPr>
                <w:rFonts w:hint="default" w:ascii="Times New Roman" w:hAnsi="Times New Roman" w:cs="Times New Roman"/>
                <w:caps w:val="0"/>
                <w:smallCaps w:val="0"/>
                <w:color w:val="auto"/>
                <w:spacing w:val="0"/>
                <w:w w:val="100"/>
                <w:highlight w:val="none"/>
              </w:rPr>
              <w:t>水环境功能区或水功能区、近岸海域环境功能区水质达标状况 □：达标□；不达标□</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水环境控制单元或断面水质达标状况 □：达标 □；不达标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水环境保护目标质量状况 □：达标 □；不达标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对照断面、控制断面等代表性断面的水质状况 □：达标 □；不达标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底泥污染评价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水资源与开发利用程度及其水文情势评价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水环境质量回顾评价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流域（区域）水资源（包括水能资源）与开发利用总体状况、生态流量管理要求与现状满足程度、建设项目占用水域空间的水流状况与河湖演变状况 □</w:t>
            </w:r>
          </w:p>
        </w:tc>
        <w:tc>
          <w:tcPr>
            <w:tcW w:w="1662" w:type="dxa"/>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达标区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不达标区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0" w:hRule="atLeast"/>
        </w:trPr>
        <w:tc>
          <w:tcPr>
            <w:tcW w:w="70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影响预测</w:t>
            </w: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预测范围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河流：长度（       ）km；湖库、河口及近岸海域：面积（       ）km</w:t>
            </w:r>
            <w:r>
              <w:rPr>
                <w:rFonts w:hint="default" w:ascii="Times New Roman" w:hAnsi="Times New Roman" w:cs="Times New Roman"/>
                <w:caps w:val="0"/>
                <w:smallCaps w:val="0"/>
                <w:color w:val="auto"/>
                <w:spacing w:val="0"/>
                <w:w w:val="100"/>
                <w:highlight w:val="none"/>
                <w:vertAlign w:val="superscript"/>
              </w:rPr>
              <w:t>2</w:t>
            </w:r>
            <w:r>
              <w:rPr>
                <w:rFonts w:hint="default" w:ascii="Times New Roman" w:hAnsi="Times New Roman" w:cs="Times New Roman"/>
                <w:caps w:val="0"/>
                <w:smallCaps w:val="0"/>
                <w:color w:val="auto"/>
                <w:spacing w:val="0"/>
                <w:w w:val="100"/>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预测因子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预测时期</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丰水期 □；平水期 □；枯水期 □；冰封期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春季 □；夏季 □；秋季 □；冬季 □ 设计水文条件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预测情景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建设期 □；生产运行期 □；服务期满后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正常工况 □；非正常工况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污染控制和减缓措施方案 □ 区（流）</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域环境质量改善目标要求情景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预测方法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数值解 □：解析解 □；其他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导则推荐模式 □：其他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影响评价</w:t>
            </w: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水污染控制和水环境影响减缓措施有效性评价 </w:t>
            </w:r>
          </w:p>
        </w:tc>
        <w:tc>
          <w:tcPr>
            <w:tcW w:w="10915" w:type="dxa"/>
            <w:gridSpan w:val="12"/>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区（流）域水环境质量改善目标 □；替代削减源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水环境影响评价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排放口混合区外满足水环境管理要求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水环境功能区或水功能区、近岸海域环境功能区水质达标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满足水环境保护目标水域水环境质量要求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水环境控制单元或断面水质达标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满足重点水污染物排放总量控制指标要求，重点行业建设项目，主要污染物排放满足等量或减量替代要求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满足区（流）域水环境质量改善目标要求 □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水文要素影响型建设项目同时应包括水文情势变化评价、主要水文特征值影响评价、生态流量符合性评价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对于新设或调整入河（湖库、近岸海域）排放口的建设项目，应包括排放口设置的环境合理性评价 □</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满足生态保护红线、水环境质量底线、资源利用上线和环境准入清单管理要求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污染源排放量核算 </w:t>
            </w:r>
          </w:p>
        </w:tc>
        <w:tc>
          <w:tcPr>
            <w:tcW w:w="4076" w:type="dxa"/>
            <w:gridSpan w:val="5"/>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污染物名称 </w:t>
            </w:r>
          </w:p>
        </w:tc>
        <w:tc>
          <w:tcPr>
            <w:tcW w:w="3531"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排放量/（t/a） </w:t>
            </w:r>
          </w:p>
        </w:tc>
        <w:tc>
          <w:tcPr>
            <w:tcW w:w="3308" w:type="dxa"/>
            <w:gridSpan w:val="4"/>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排放浓度/（mg/L）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4076" w:type="dxa"/>
            <w:gridSpan w:val="5"/>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w:t>
            </w:r>
          </w:p>
        </w:tc>
        <w:tc>
          <w:tcPr>
            <w:tcW w:w="3531"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w:t>
            </w:r>
          </w:p>
        </w:tc>
        <w:tc>
          <w:tcPr>
            <w:tcW w:w="3308" w:type="dxa"/>
            <w:gridSpan w:val="4"/>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替代源排放情况 </w:t>
            </w:r>
          </w:p>
        </w:tc>
        <w:tc>
          <w:tcPr>
            <w:tcW w:w="1369"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污染源名称</w:t>
            </w:r>
          </w:p>
        </w:tc>
        <w:tc>
          <w:tcPr>
            <w:tcW w:w="2309"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排污许可证编号</w:t>
            </w:r>
          </w:p>
        </w:tc>
        <w:tc>
          <w:tcPr>
            <w:tcW w:w="2128" w:type="dxa"/>
            <w:gridSpan w:val="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污染物名称</w:t>
            </w:r>
          </w:p>
        </w:tc>
        <w:tc>
          <w:tcPr>
            <w:tcW w:w="2491"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排放量/（t/a）</w:t>
            </w:r>
          </w:p>
        </w:tc>
        <w:tc>
          <w:tcPr>
            <w:tcW w:w="2618"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1369"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w:t>
            </w:r>
          </w:p>
        </w:tc>
        <w:tc>
          <w:tcPr>
            <w:tcW w:w="2309"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w:t>
            </w:r>
          </w:p>
        </w:tc>
        <w:tc>
          <w:tcPr>
            <w:tcW w:w="2128" w:type="dxa"/>
            <w:gridSpan w:val="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w:t>
            </w:r>
          </w:p>
        </w:tc>
        <w:tc>
          <w:tcPr>
            <w:tcW w:w="2491"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w:t>
            </w:r>
          </w:p>
        </w:tc>
        <w:tc>
          <w:tcPr>
            <w:tcW w:w="2618"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生态流量确定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生态流量：一般水期（       ）m</w:t>
            </w:r>
            <w:r>
              <w:rPr>
                <w:rFonts w:hint="default" w:ascii="Times New Roman" w:hAnsi="Times New Roman" w:cs="Times New Roman"/>
                <w:caps w:val="0"/>
                <w:smallCaps w:val="0"/>
                <w:color w:val="auto"/>
                <w:spacing w:val="0"/>
                <w:w w:val="100"/>
                <w:highlight w:val="none"/>
                <w:vertAlign w:val="superscript"/>
              </w:rPr>
              <w:t>3</w:t>
            </w:r>
            <w:r>
              <w:rPr>
                <w:rFonts w:hint="default" w:ascii="Times New Roman" w:hAnsi="Times New Roman" w:cs="Times New Roman"/>
                <w:caps w:val="0"/>
                <w:smallCaps w:val="0"/>
                <w:color w:val="auto"/>
                <w:spacing w:val="0"/>
                <w:w w:val="100"/>
                <w:highlight w:val="none"/>
              </w:rPr>
              <w:t>/s；鱼类繁殖期（       ）m</w:t>
            </w:r>
            <w:r>
              <w:rPr>
                <w:rFonts w:hint="default" w:ascii="Times New Roman" w:hAnsi="Times New Roman" w:cs="Times New Roman"/>
                <w:caps w:val="0"/>
                <w:smallCaps w:val="0"/>
                <w:color w:val="auto"/>
                <w:spacing w:val="0"/>
                <w:w w:val="100"/>
                <w:highlight w:val="none"/>
                <w:vertAlign w:val="superscript"/>
              </w:rPr>
              <w:t>3</w:t>
            </w:r>
            <w:r>
              <w:rPr>
                <w:rFonts w:hint="default" w:ascii="Times New Roman" w:hAnsi="Times New Roman" w:cs="Times New Roman"/>
                <w:caps w:val="0"/>
                <w:smallCaps w:val="0"/>
                <w:color w:val="auto"/>
                <w:spacing w:val="0"/>
                <w:w w:val="100"/>
                <w:highlight w:val="none"/>
              </w:rPr>
              <w:t>/s；其他（       ）m</w:t>
            </w:r>
            <w:r>
              <w:rPr>
                <w:rFonts w:hint="default" w:ascii="Times New Roman" w:hAnsi="Times New Roman" w:cs="Times New Roman"/>
                <w:caps w:val="0"/>
                <w:smallCaps w:val="0"/>
                <w:color w:val="auto"/>
                <w:spacing w:val="0"/>
                <w:w w:val="100"/>
                <w:highlight w:val="none"/>
                <w:vertAlign w:val="superscript"/>
              </w:rPr>
              <w:t>3</w:t>
            </w:r>
            <w:r>
              <w:rPr>
                <w:rFonts w:hint="default" w:ascii="Times New Roman" w:hAnsi="Times New Roman" w:cs="Times New Roman"/>
                <w:caps w:val="0"/>
                <w:smallCaps w:val="0"/>
                <w:color w:val="auto"/>
                <w:spacing w:val="0"/>
                <w:w w:val="100"/>
                <w:highlight w:val="none"/>
              </w:rPr>
              <w:t>/s</w:t>
            </w:r>
          </w:p>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生态水位：一般水期（       ）m；鱼类繁殖期（       ）m；其他（       ）m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防治措施</w:t>
            </w: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环保措施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污水处理设施 □；水文减缓设施 □；生态流量保障设施 □；区域削减 □；依托其他工程措施 □；其他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restart"/>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监测计划 </w:t>
            </w:r>
          </w:p>
        </w:tc>
        <w:tc>
          <w:tcPr>
            <w:tcW w:w="3288"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3838" w:type="dxa"/>
            <w:gridSpan w:val="4"/>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环境质量 </w:t>
            </w:r>
          </w:p>
        </w:tc>
        <w:tc>
          <w:tcPr>
            <w:tcW w:w="3789" w:type="dxa"/>
            <w:gridSpan w:val="5"/>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污染源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3288"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监测方式 </w:t>
            </w:r>
          </w:p>
        </w:tc>
        <w:tc>
          <w:tcPr>
            <w:tcW w:w="3838" w:type="dxa"/>
            <w:gridSpan w:val="4"/>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手动 □；自动 □；无监测 □ </w:t>
            </w:r>
          </w:p>
        </w:tc>
        <w:tc>
          <w:tcPr>
            <w:tcW w:w="3789" w:type="dxa"/>
            <w:gridSpan w:val="5"/>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手动 □；自动 □；无监测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3288"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监测点位 </w:t>
            </w:r>
          </w:p>
        </w:tc>
        <w:tc>
          <w:tcPr>
            <w:tcW w:w="3838" w:type="dxa"/>
            <w:gridSpan w:val="4"/>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       ） </w:t>
            </w:r>
          </w:p>
        </w:tc>
        <w:tc>
          <w:tcPr>
            <w:tcW w:w="3789" w:type="dxa"/>
            <w:gridSpan w:val="5"/>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3288" w:type="dxa"/>
            <w:gridSpan w:val="3"/>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监测因子 </w:t>
            </w:r>
          </w:p>
        </w:tc>
        <w:tc>
          <w:tcPr>
            <w:tcW w:w="3838" w:type="dxa"/>
            <w:gridSpan w:val="4"/>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       ） </w:t>
            </w:r>
          </w:p>
        </w:tc>
        <w:tc>
          <w:tcPr>
            <w:tcW w:w="3789" w:type="dxa"/>
            <w:gridSpan w:val="5"/>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702" w:type="dxa"/>
            <w:vMerge w:val="continue"/>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p>
        </w:tc>
        <w:tc>
          <w:tcPr>
            <w:tcW w:w="2512" w:type="dxa"/>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污染物排放清单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3214" w:type="dxa"/>
            <w:gridSpan w:val="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评价结论 </w:t>
            </w:r>
          </w:p>
        </w:tc>
        <w:tc>
          <w:tcPr>
            <w:tcW w:w="10915" w:type="dxa"/>
            <w:gridSpan w:val="12"/>
            <w:noWrap w:val="0"/>
            <w:vAlign w:val="top"/>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可以接受 □；不可以接受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 w:type="dxa"/>
            <w:left w:w="106" w:type="dxa"/>
            <w:bottom w:w="0" w:type="dxa"/>
            <w:right w:w="115" w:type="dxa"/>
          </w:tblCellMar>
        </w:tblPrEx>
        <w:trPr>
          <w:trHeight w:val="20" w:hRule="atLeast"/>
        </w:trPr>
        <w:tc>
          <w:tcPr>
            <w:tcW w:w="14129" w:type="dxa"/>
            <w:gridSpan w:val="14"/>
            <w:noWrap w:val="0"/>
            <w:vAlign w:val="center"/>
          </w:tcPr>
          <w:p>
            <w:pPr>
              <w:pStyle w:val="38"/>
              <w:pageBreakBefore w:val="0"/>
              <w:bidi w:val="0"/>
              <w:spacing w:line="360" w:lineRule="auto"/>
              <w:rPr>
                <w:rFonts w:hint="default" w:ascii="Times New Roman" w:hAnsi="Times New Roman" w:cs="Times New Roman"/>
                <w:caps w:val="0"/>
                <w:smallCaps w:val="0"/>
                <w:color w:val="auto"/>
                <w:spacing w:val="0"/>
                <w:w w:val="100"/>
                <w:highlight w:val="none"/>
              </w:rPr>
            </w:pPr>
            <w:r>
              <w:rPr>
                <w:rFonts w:hint="default" w:ascii="Times New Roman" w:hAnsi="Times New Roman" w:cs="Times New Roman"/>
                <w:caps w:val="0"/>
                <w:smallCaps w:val="0"/>
                <w:color w:val="auto"/>
                <w:spacing w:val="0"/>
                <w:w w:val="100"/>
                <w:highlight w:val="none"/>
              </w:rPr>
              <w:t xml:space="preserve">注：“□”为勾选项，可√；“（   ）”为内容填写项；“备注”为其他补充内容。 </w:t>
            </w:r>
          </w:p>
        </w:tc>
      </w:tr>
    </w:tbl>
    <w:p>
      <w:pPr>
        <w:rPr>
          <w:rFonts w:hint="default"/>
          <w:color w:val="auto"/>
          <w:highlight w:val="none"/>
          <w:lang w:val="en-US" w:eastAsia="zh-CN"/>
        </w:rPr>
      </w:pPr>
      <w:r>
        <w:rPr>
          <w:rFonts w:hint="default"/>
          <w:color w:val="auto"/>
          <w:highlight w:val="none"/>
          <w:lang w:val="en-US" w:eastAsia="zh-CN"/>
        </w:rPr>
        <w:br w:type="page"/>
      </w:r>
    </w:p>
    <w:p>
      <w:pPr>
        <w:pStyle w:val="22"/>
        <w:rPr>
          <w:rFonts w:hint="default"/>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keepLines/>
        <w:pageBreakBefore w:val="0"/>
        <w:widowControl w:val="0"/>
        <w:bidi w:val="0"/>
        <w:spacing w:line="360" w:lineRule="auto"/>
        <w:ind w:firstLine="0" w:firstLineChars="0"/>
        <w:jc w:val="center"/>
        <w:outlineLvl w:val="0"/>
        <w:rPr>
          <w:rFonts w:hint="default" w:ascii="Times New Roman" w:hAnsi="Times New Roman" w:eastAsia="黑体" w:cs="Times New Roman"/>
          <w:caps w:val="0"/>
          <w:smallCaps w:val="0"/>
          <w:color w:val="auto"/>
          <w:spacing w:val="0"/>
          <w:w w:val="100"/>
          <w:kern w:val="44"/>
          <w:sz w:val="24"/>
          <w:szCs w:val="30"/>
          <w:highlight w:val="none"/>
          <w:lang w:val="zh-CN"/>
        </w:rPr>
      </w:pPr>
      <w:bookmarkStart w:id="226" w:name="_Toc8269"/>
      <w:bookmarkStart w:id="227" w:name="_Toc5703"/>
      <w:r>
        <w:rPr>
          <w:rFonts w:hint="default" w:ascii="Times New Roman" w:hAnsi="Times New Roman" w:eastAsia="黑体" w:cs="Times New Roman"/>
          <w:caps w:val="0"/>
          <w:smallCaps w:val="0"/>
          <w:color w:val="auto"/>
          <w:spacing w:val="0"/>
          <w:w w:val="100"/>
          <w:kern w:val="44"/>
          <w:sz w:val="24"/>
          <w:szCs w:val="30"/>
          <w:highlight w:val="none"/>
          <w:lang w:val="zh-CN"/>
        </w:rPr>
        <w:t>附表</w:t>
      </w:r>
      <w:r>
        <w:rPr>
          <w:rFonts w:hint="eastAsia" w:ascii="Times New Roman" w:hAnsi="Times New Roman" w:eastAsia="黑体" w:cs="Times New Roman"/>
          <w:caps w:val="0"/>
          <w:smallCaps w:val="0"/>
          <w:color w:val="auto"/>
          <w:spacing w:val="0"/>
          <w:w w:val="100"/>
          <w:kern w:val="44"/>
          <w:sz w:val="24"/>
          <w:szCs w:val="30"/>
          <w:highlight w:val="none"/>
          <w:lang w:val="en-US" w:eastAsia="zh-CN"/>
        </w:rPr>
        <w:t>三</w:t>
      </w:r>
      <w:r>
        <w:rPr>
          <w:rFonts w:hint="default" w:ascii="Times New Roman" w:hAnsi="Times New Roman" w:eastAsia="黑体" w:cs="Times New Roman"/>
          <w:caps w:val="0"/>
          <w:smallCaps w:val="0"/>
          <w:color w:val="auto"/>
          <w:spacing w:val="0"/>
          <w:w w:val="100"/>
          <w:kern w:val="44"/>
          <w:sz w:val="24"/>
          <w:szCs w:val="30"/>
          <w:highlight w:val="none"/>
          <w:lang w:val="zh-CN"/>
        </w:rPr>
        <w:t xml:space="preserve">   声环境影响评价自查表</w:t>
      </w:r>
      <w:bookmarkEnd w:id="226"/>
      <w:bookmarkEnd w:id="227"/>
    </w:p>
    <w:tbl>
      <w:tblPr>
        <w:tblStyle w:val="19"/>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01"/>
        <w:gridCol w:w="1410"/>
        <w:gridCol w:w="1090"/>
        <w:gridCol w:w="548"/>
        <w:gridCol w:w="315"/>
        <w:gridCol w:w="234"/>
        <w:gridCol w:w="1069"/>
        <w:gridCol w:w="678"/>
        <w:gridCol w:w="445"/>
        <w:gridCol w:w="549"/>
        <w:gridCol w:w="508"/>
        <w:gridCol w:w="11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2411" w:type="dxa"/>
            <w:gridSpan w:val="2"/>
            <w:tcBorders>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工作内容</w:t>
            </w:r>
          </w:p>
        </w:tc>
        <w:tc>
          <w:tcPr>
            <w:tcW w:w="6563" w:type="dxa"/>
            <w:gridSpan w:val="10"/>
            <w:tcBorders>
              <w:lef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自查项目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5" w:hRule="atLeast"/>
        </w:trPr>
        <w:tc>
          <w:tcPr>
            <w:tcW w:w="1001" w:type="dxa"/>
            <w:vMerge w:val="restart"/>
            <w:tcBorders>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2"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评价等级与范围</w:t>
            </w:r>
          </w:p>
        </w:tc>
        <w:tc>
          <w:tcPr>
            <w:tcW w:w="1410" w:type="dxa"/>
            <w:tcBorders>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评价等级</w:t>
            </w:r>
          </w:p>
        </w:tc>
        <w:tc>
          <w:tcPr>
            <w:tcW w:w="6563" w:type="dxa"/>
            <w:gridSpan w:val="10"/>
            <w:tcBorders>
              <w:left w:val="single" w:color="000000" w:sz="4" w:space="0"/>
              <w:bottom w:val="single" w:color="000000" w:sz="4" w:space="0"/>
            </w:tcBorders>
            <w:noWrap w:val="0"/>
            <w:vAlign w:val="top"/>
          </w:tcPr>
          <w:p>
            <w:pPr>
              <w:keepNext w:val="0"/>
              <w:keepLines w:val="0"/>
              <w:pageBreakBefore w:val="0"/>
              <w:widowControl w:val="0"/>
              <w:tabs>
                <w:tab w:val="left" w:pos="2103"/>
                <w:tab w:val="left" w:pos="3635"/>
              </w:tabs>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一级□</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二</w:t>
            </w:r>
            <w:r>
              <w:rPr>
                <w:rFonts w:hint="default" w:ascii="Times New Roman" w:hAnsi="Times New Roman" w:eastAsia="宋体" w:cs="Times New Roman"/>
                <w:color w:val="auto"/>
                <w:spacing w:val="-3"/>
                <w:sz w:val="18"/>
                <w:szCs w:val="22"/>
                <w:highlight w:val="none"/>
                <w:lang w:val="zh-CN" w:eastAsia="zh-CN" w:bidi="zh-CN"/>
              </w:rPr>
              <w:t>级</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三级</w:t>
            </w:r>
            <w:r>
              <w:rPr>
                <w:rFonts w:hint="default" w:ascii="Times New Roman" w:hAnsi="Times New Roman" w:eastAsia="宋体" w:cs="Times New Roman"/>
                <w:color w:val="auto"/>
                <w:sz w:val="18"/>
                <w:szCs w:val="22"/>
                <w:highlight w:val="none"/>
                <w:lang w:val="zh-CN" w:eastAsia="zh-CN" w:bidi="zh-CN"/>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4" w:hRule="atLeast"/>
        </w:trPr>
        <w:tc>
          <w:tcPr>
            <w:tcW w:w="1001" w:type="dxa"/>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评价范围</w:t>
            </w:r>
          </w:p>
        </w:tc>
        <w:tc>
          <w:tcPr>
            <w:tcW w:w="6563" w:type="dxa"/>
            <w:gridSpan w:val="10"/>
            <w:tcBorders>
              <w:top w:val="single" w:color="000000" w:sz="4" w:space="0"/>
              <w:left w:val="single" w:color="000000" w:sz="4" w:space="0"/>
              <w:bottom w:val="single" w:color="000000" w:sz="4" w:space="0"/>
            </w:tcBorders>
            <w:noWrap w:val="0"/>
            <w:vAlign w:val="top"/>
          </w:tcPr>
          <w:p>
            <w:pPr>
              <w:keepNext w:val="0"/>
              <w:keepLines w:val="0"/>
              <w:pageBreakBefore w:val="0"/>
              <w:widowControl w:val="0"/>
              <w:tabs>
                <w:tab w:val="left" w:pos="2384"/>
                <w:tab w:val="left" w:pos="5315"/>
              </w:tabs>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Times New Roman" w:cs="Times New Roman"/>
                <w:color w:val="auto"/>
                <w:sz w:val="18"/>
                <w:szCs w:val="22"/>
                <w:highlight w:val="none"/>
                <w:lang w:val="zh-CN" w:eastAsia="zh-CN" w:bidi="zh-CN"/>
              </w:rPr>
              <w:t>200</w:t>
            </w:r>
            <w:r>
              <w:rPr>
                <w:rFonts w:hint="default" w:ascii="Times New Roman" w:hAnsi="Times New Roman" w:eastAsia="Times New Roman" w:cs="Times New Roman"/>
                <w:color w:val="auto"/>
                <w:spacing w:val="-2"/>
                <w:sz w:val="18"/>
                <w:szCs w:val="22"/>
                <w:highlight w:val="none"/>
                <w:lang w:val="zh-CN" w:eastAsia="zh-CN" w:bidi="zh-CN"/>
              </w:rPr>
              <w:t xml:space="preserve"> </w:t>
            </w:r>
            <w:r>
              <w:rPr>
                <w:rFonts w:hint="default" w:ascii="Times New Roman" w:hAnsi="Times New Roman" w:eastAsia="Times New Roman" w:cs="Times New Roman"/>
                <w:color w:val="auto"/>
                <w:sz w:val="18"/>
                <w:szCs w:val="22"/>
                <w:highlight w:val="none"/>
                <w:lang w:val="zh-CN" w:eastAsia="zh-CN" w:bidi="zh-CN"/>
              </w:rPr>
              <w:t>m</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pacing w:val="-3"/>
                <w:sz w:val="18"/>
                <w:szCs w:val="22"/>
                <w:highlight w:val="none"/>
                <w:lang w:val="zh-CN" w:eastAsia="zh-CN" w:bidi="zh-CN"/>
              </w:rPr>
              <w:t>大</w:t>
            </w:r>
            <w:r>
              <w:rPr>
                <w:rFonts w:hint="default" w:ascii="Times New Roman" w:hAnsi="Times New Roman" w:eastAsia="宋体" w:cs="Times New Roman"/>
                <w:color w:val="auto"/>
                <w:sz w:val="18"/>
                <w:szCs w:val="22"/>
                <w:highlight w:val="none"/>
                <w:lang w:val="zh-CN" w:eastAsia="zh-CN" w:bidi="zh-CN"/>
              </w:rPr>
              <w:t>于</w:t>
            </w:r>
            <w:r>
              <w:rPr>
                <w:rFonts w:hint="default" w:ascii="Times New Roman" w:hAnsi="Times New Roman" w:eastAsia="宋体" w:cs="Times New Roman"/>
                <w:color w:val="auto"/>
                <w:spacing w:val="-46"/>
                <w:sz w:val="18"/>
                <w:szCs w:val="22"/>
                <w:highlight w:val="none"/>
                <w:lang w:val="zh-CN" w:eastAsia="zh-CN" w:bidi="zh-CN"/>
              </w:rPr>
              <w:t xml:space="preserve"> </w:t>
            </w:r>
            <w:r>
              <w:rPr>
                <w:rFonts w:hint="default" w:ascii="Times New Roman" w:hAnsi="Times New Roman" w:eastAsia="Times New Roman" w:cs="Times New Roman"/>
                <w:color w:val="auto"/>
                <w:sz w:val="18"/>
                <w:szCs w:val="22"/>
                <w:highlight w:val="none"/>
                <w:lang w:val="zh-CN" w:eastAsia="zh-CN" w:bidi="zh-CN"/>
              </w:rPr>
              <w:t>200 m</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小于</w:t>
            </w:r>
            <w:r>
              <w:rPr>
                <w:rFonts w:hint="default" w:ascii="Times New Roman" w:hAnsi="Times New Roman" w:eastAsia="宋体" w:cs="Times New Roman"/>
                <w:color w:val="auto"/>
                <w:spacing w:val="-48"/>
                <w:sz w:val="18"/>
                <w:szCs w:val="22"/>
                <w:highlight w:val="none"/>
                <w:lang w:val="zh-CN" w:eastAsia="zh-CN" w:bidi="zh-CN"/>
              </w:rPr>
              <w:t xml:space="preserve"> </w:t>
            </w:r>
            <w:r>
              <w:rPr>
                <w:rFonts w:hint="default" w:ascii="Times New Roman" w:hAnsi="Times New Roman" w:eastAsia="Times New Roman" w:cs="Times New Roman"/>
                <w:color w:val="auto"/>
                <w:sz w:val="18"/>
                <w:szCs w:val="22"/>
                <w:highlight w:val="none"/>
                <w:lang w:val="zh-CN" w:eastAsia="zh-CN" w:bidi="zh-CN"/>
              </w:rPr>
              <w:t>200 m</w:t>
            </w:r>
            <w:r>
              <w:rPr>
                <w:rFonts w:hint="default" w:ascii="Times New Roman" w:hAnsi="Times New Roman" w:eastAsia="宋体" w:cs="Times New Roman"/>
                <w:color w:val="auto"/>
                <w:sz w:val="18"/>
                <w:szCs w:val="22"/>
                <w:highlight w:val="none"/>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1001" w:type="dxa"/>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评价因子</w:t>
            </w: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评价因子</w:t>
            </w:r>
          </w:p>
        </w:tc>
        <w:tc>
          <w:tcPr>
            <w:tcW w:w="1953" w:type="dxa"/>
            <w:gridSpan w:val="3"/>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等效连续</w:t>
            </w:r>
            <w:r>
              <w:rPr>
                <w:rFonts w:hint="default" w:ascii="Times New Roman" w:hAnsi="Times New Roman" w:eastAsia="Times New Roman" w:cs="Times New Roman"/>
                <w:color w:val="auto"/>
                <w:sz w:val="18"/>
                <w:szCs w:val="22"/>
                <w:highlight w:val="none"/>
                <w:lang w:val="zh-CN" w:eastAsia="zh-CN" w:bidi="zh-CN"/>
              </w:rPr>
              <w:t>A</w:t>
            </w:r>
            <w:r>
              <w:rPr>
                <w:rFonts w:hint="default" w:ascii="Times New Roman" w:hAnsi="Times New Roman" w:eastAsia="宋体" w:cs="Times New Roman"/>
                <w:color w:val="auto"/>
                <w:sz w:val="18"/>
                <w:szCs w:val="22"/>
                <w:highlight w:val="none"/>
                <w:lang w:val="zh-CN" w:eastAsia="zh-CN" w:bidi="zh-CN"/>
              </w:rPr>
              <w:t>声级</w:t>
            </w:r>
            <w:r>
              <w:rPr>
                <w:rFonts w:hint="eastAsia" w:ascii="Times New Roman" w:hAnsi="Times New Roman" w:eastAsia="宋体" w:cs="Times New Roman"/>
                <w:color w:val="auto"/>
                <w:sz w:val="18"/>
                <w:szCs w:val="22"/>
                <w:highlight w:val="none"/>
                <w:lang w:val="zh-CN" w:eastAsia="zh-CN" w:bidi="zh-CN"/>
              </w:rPr>
              <w:t>☑</w:t>
            </w:r>
          </w:p>
        </w:tc>
        <w:tc>
          <w:tcPr>
            <w:tcW w:w="234"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747" w:type="dxa"/>
            <w:gridSpan w:val="2"/>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最大</w:t>
            </w:r>
            <w:r>
              <w:rPr>
                <w:rFonts w:hint="default" w:ascii="Times New Roman" w:hAnsi="Times New Roman" w:eastAsia="Times New Roman" w:cs="Times New Roman"/>
                <w:color w:val="auto"/>
                <w:sz w:val="18"/>
                <w:szCs w:val="22"/>
                <w:highlight w:val="none"/>
                <w:lang w:val="zh-CN" w:eastAsia="zh-CN" w:bidi="zh-CN"/>
              </w:rPr>
              <w:t>A</w:t>
            </w:r>
            <w:r>
              <w:rPr>
                <w:rFonts w:hint="default" w:ascii="Times New Roman" w:hAnsi="Times New Roman" w:eastAsia="宋体" w:cs="Times New Roman"/>
                <w:color w:val="auto"/>
                <w:sz w:val="18"/>
                <w:szCs w:val="22"/>
                <w:highlight w:val="none"/>
                <w:lang w:val="zh-CN" w:eastAsia="zh-CN" w:bidi="zh-CN"/>
              </w:rPr>
              <w:t>声级□</w:t>
            </w:r>
          </w:p>
        </w:tc>
        <w:tc>
          <w:tcPr>
            <w:tcW w:w="2629" w:type="dxa"/>
            <w:gridSpan w:val="4"/>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计权等效连续感觉噪声级□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0" w:hRule="atLeast"/>
        </w:trPr>
        <w:tc>
          <w:tcPr>
            <w:tcW w:w="1001" w:type="dxa"/>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评价标准</w:t>
            </w: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评价标准</w:t>
            </w:r>
          </w:p>
        </w:tc>
        <w:tc>
          <w:tcPr>
            <w:tcW w:w="1638" w:type="dxa"/>
            <w:gridSpan w:val="2"/>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国家标准</w:t>
            </w:r>
            <w:r>
              <w:rPr>
                <w:rFonts w:hint="eastAsia" w:ascii="Times New Roman" w:hAnsi="Times New Roman" w:eastAsia="宋体" w:cs="Times New Roman"/>
                <w:color w:val="auto"/>
                <w:sz w:val="18"/>
                <w:szCs w:val="22"/>
                <w:highlight w:val="none"/>
                <w:lang w:val="zh-CN" w:eastAsia="zh-CN" w:bidi="zh-CN"/>
              </w:rPr>
              <w:t>☑</w:t>
            </w:r>
          </w:p>
        </w:tc>
        <w:tc>
          <w:tcPr>
            <w:tcW w:w="315"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234"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747" w:type="dxa"/>
            <w:gridSpan w:val="2"/>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地方标准□</w:t>
            </w:r>
          </w:p>
        </w:tc>
        <w:tc>
          <w:tcPr>
            <w:tcW w:w="445"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549"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508"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127" w:type="dxa"/>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国外标准□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1001" w:type="dxa"/>
            <w:vMerge w:val="restart"/>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现状评价</w:t>
            </w: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环境功能区</w:t>
            </w:r>
          </w:p>
        </w:tc>
        <w:tc>
          <w:tcPr>
            <w:tcW w:w="109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Times New Roman" w:cs="Times New Roman"/>
                <w:color w:val="auto"/>
                <w:sz w:val="18"/>
                <w:szCs w:val="22"/>
                <w:highlight w:val="none"/>
                <w:lang w:val="zh-CN" w:eastAsia="zh-CN" w:bidi="zh-CN"/>
              </w:rPr>
              <w:t xml:space="preserve">0 </w:t>
            </w:r>
            <w:r>
              <w:rPr>
                <w:rFonts w:hint="default" w:ascii="Times New Roman" w:hAnsi="Times New Roman" w:eastAsia="宋体" w:cs="Times New Roman"/>
                <w:color w:val="auto"/>
                <w:sz w:val="18"/>
                <w:szCs w:val="22"/>
                <w:highlight w:val="none"/>
                <w:lang w:val="zh-CN" w:eastAsia="zh-CN" w:bidi="zh-CN"/>
              </w:rPr>
              <w:t>类区□</w:t>
            </w:r>
          </w:p>
        </w:tc>
        <w:tc>
          <w:tcPr>
            <w:tcW w:w="1097"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Times New Roman" w:cs="Times New Roman"/>
                <w:color w:val="auto"/>
                <w:sz w:val="18"/>
                <w:szCs w:val="22"/>
                <w:highlight w:val="none"/>
                <w:lang w:val="zh-CN" w:eastAsia="zh-CN" w:bidi="zh-CN"/>
              </w:rPr>
              <w:t xml:space="preserve">1 </w:t>
            </w:r>
            <w:r>
              <w:rPr>
                <w:rFonts w:hint="default" w:ascii="Times New Roman" w:hAnsi="Times New Roman" w:eastAsia="宋体" w:cs="Times New Roman"/>
                <w:color w:val="auto"/>
                <w:sz w:val="18"/>
                <w:szCs w:val="22"/>
                <w:highlight w:val="none"/>
                <w:lang w:val="zh-CN" w:eastAsia="zh-CN" w:bidi="zh-CN"/>
              </w:rPr>
              <w:t>类区</w:t>
            </w:r>
            <w:r>
              <w:rPr>
                <w:rFonts w:hint="eastAsia" w:ascii="Times New Roman" w:hAnsi="Times New Roman" w:eastAsia="宋体" w:cs="Times New Roman"/>
                <w:color w:val="auto"/>
                <w:sz w:val="18"/>
                <w:szCs w:val="22"/>
                <w:highlight w:val="none"/>
                <w:lang w:val="zh-CN" w:eastAsia="zh-CN" w:bidi="zh-CN"/>
              </w:rPr>
              <w:t>☑</w:t>
            </w:r>
          </w:p>
        </w:tc>
        <w:tc>
          <w:tcPr>
            <w:tcW w:w="106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Times New Roman" w:cs="Times New Roman"/>
                <w:color w:val="auto"/>
                <w:sz w:val="18"/>
                <w:szCs w:val="22"/>
                <w:highlight w:val="none"/>
                <w:lang w:val="zh-CN" w:eastAsia="zh-CN" w:bidi="zh-CN"/>
              </w:rPr>
              <w:t xml:space="preserve">2 </w:t>
            </w:r>
            <w:r>
              <w:rPr>
                <w:rFonts w:hint="default" w:ascii="Times New Roman" w:hAnsi="Times New Roman" w:eastAsia="宋体" w:cs="Times New Roman"/>
                <w:color w:val="auto"/>
                <w:sz w:val="18"/>
                <w:szCs w:val="22"/>
                <w:highlight w:val="none"/>
                <w:lang w:val="zh-CN" w:eastAsia="zh-CN" w:bidi="zh-CN"/>
              </w:rPr>
              <w:t>类区</w:t>
            </w:r>
            <w:r>
              <w:rPr>
                <w:rFonts w:hint="eastAsia" w:ascii="Times New Roman" w:hAnsi="Times New Roman" w:eastAsia="宋体" w:cs="Times New Roman"/>
                <w:color w:val="auto"/>
                <w:sz w:val="18"/>
                <w:szCs w:val="22"/>
                <w:highlight w:val="none"/>
                <w:lang w:val="zh-CN" w:eastAsia="zh-CN" w:bidi="zh-CN"/>
              </w:rPr>
              <w:t>☑</w:t>
            </w:r>
          </w:p>
        </w:tc>
        <w:tc>
          <w:tcPr>
            <w:tcW w:w="1123"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Times New Roman" w:cs="Times New Roman"/>
                <w:color w:val="auto"/>
                <w:sz w:val="18"/>
                <w:szCs w:val="22"/>
                <w:highlight w:val="none"/>
                <w:lang w:val="zh-CN" w:eastAsia="zh-CN" w:bidi="zh-CN"/>
              </w:rPr>
              <w:t xml:space="preserve">3 </w:t>
            </w:r>
            <w:r>
              <w:rPr>
                <w:rFonts w:hint="default" w:ascii="Times New Roman" w:hAnsi="Times New Roman" w:eastAsia="宋体" w:cs="Times New Roman"/>
                <w:color w:val="auto"/>
                <w:sz w:val="18"/>
                <w:szCs w:val="22"/>
                <w:highlight w:val="none"/>
                <w:lang w:val="zh-CN" w:eastAsia="zh-CN" w:bidi="zh-CN"/>
              </w:rPr>
              <w:t>类区□</w:t>
            </w:r>
          </w:p>
        </w:tc>
        <w:tc>
          <w:tcPr>
            <w:tcW w:w="1057"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Times New Roman" w:cs="Times New Roman"/>
                <w:color w:val="auto"/>
                <w:sz w:val="18"/>
                <w:szCs w:val="22"/>
                <w:highlight w:val="none"/>
                <w:lang w:val="zh-CN" w:eastAsia="zh-CN" w:bidi="zh-CN"/>
              </w:rPr>
              <w:t xml:space="preserve">4a </w:t>
            </w:r>
            <w:r>
              <w:rPr>
                <w:rFonts w:hint="default" w:ascii="Times New Roman" w:hAnsi="Times New Roman" w:eastAsia="宋体" w:cs="Times New Roman"/>
                <w:color w:val="auto"/>
                <w:sz w:val="18"/>
                <w:szCs w:val="22"/>
                <w:highlight w:val="none"/>
                <w:lang w:val="zh-CN" w:eastAsia="zh-CN" w:bidi="zh-CN"/>
              </w:rPr>
              <w:t>类区□</w:t>
            </w:r>
          </w:p>
        </w:tc>
        <w:tc>
          <w:tcPr>
            <w:tcW w:w="1127" w:type="dxa"/>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Times New Roman" w:cs="Times New Roman"/>
                <w:color w:val="auto"/>
                <w:sz w:val="18"/>
                <w:szCs w:val="22"/>
                <w:highlight w:val="none"/>
                <w:lang w:val="zh-CN" w:eastAsia="zh-CN" w:bidi="zh-CN"/>
              </w:rPr>
              <w:t xml:space="preserve">4b </w:t>
            </w:r>
            <w:r>
              <w:rPr>
                <w:rFonts w:hint="default" w:ascii="Times New Roman" w:hAnsi="Times New Roman" w:eastAsia="宋体" w:cs="Times New Roman"/>
                <w:color w:val="auto"/>
                <w:sz w:val="18"/>
                <w:szCs w:val="22"/>
                <w:highlight w:val="none"/>
                <w:lang w:val="zh-CN" w:eastAsia="zh-CN" w:bidi="zh-CN"/>
              </w:rPr>
              <w:t>类区□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01" w:type="dxa"/>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评价年度</w:t>
            </w:r>
          </w:p>
        </w:tc>
        <w:tc>
          <w:tcPr>
            <w:tcW w:w="1638" w:type="dxa"/>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初期□</w:t>
            </w:r>
          </w:p>
        </w:tc>
        <w:tc>
          <w:tcPr>
            <w:tcW w:w="1618"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近期□</w:t>
            </w:r>
          </w:p>
        </w:tc>
        <w:tc>
          <w:tcPr>
            <w:tcW w:w="167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中期□</w:t>
            </w:r>
          </w:p>
        </w:tc>
        <w:tc>
          <w:tcPr>
            <w:tcW w:w="1635" w:type="dxa"/>
            <w:gridSpan w:val="2"/>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远期□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2" w:hRule="atLeast"/>
        </w:trPr>
        <w:tc>
          <w:tcPr>
            <w:tcW w:w="1001" w:type="dxa"/>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现状调查方法</w:t>
            </w:r>
          </w:p>
        </w:tc>
        <w:tc>
          <w:tcPr>
            <w:tcW w:w="1953" w:type="dxa"/>
            <w:gridSpan w:val="3"/>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现场实测法□</w:t>
            </w:r>
          </w:p>
        </w:tc>
        <w:tc>
          <w:tcPr>
            <w:tcW w:w="234"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2741" w:type="dxa"/>
            <w:gridSpan w:val="4"/>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现场实测加模型计算法</w:t>
            </w:r>
            <w:r>
              <w:rPr>
                <w:rFonts w:hint="eastAsia" w:ascii="Times New Roman" w:hAnsi="Times New Roman" w:eastAsia="宋体" w:cs="Times New Roman"/>
                <w:color w:val="auto"/>
                <w:sz w:val="18"/>
                <w:szCs w:val="22"/>
                <w:highlight w:val="none"/>
                <w:lang w:val="zh-CN" w:eastAsia="zh-CN" w:bidi="zh-CN"/>
              </w:rPr>
              <w:t>☑</w:t>
            </w:r>
          </w:p>
        </w:tc>
        <w:tc>
          <w:tcPr>
            <w:tcW w:w="1635" w:type="dxa"/>
            <w:gridSpan w:val="2"/>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收集资料□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01" w:type="dxa"/>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现状评价</w:t>
            </w:r>
          </w:p>
        </w:tc>
        <w:tc>
          <w:tcPr>
            <w:tcW w:w="1953"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达标百分比</w:t>
            </w:r>
          </w:p>
        </w:tc>
        <w:tc>
          <w:tcPr>
            <w:tcW w:w="4610" w:type="dxa"/>
            <w:gridSpan w:val="7"/>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en-US" w:eastAsia="zh-CN" w:bidi="zh-CN"/>
              </w:rPr>
            </w:pPr>
            <w:r>
              <w:rPr>
                <w:rFonts w:hint="default" w:ascii="Times New Roman" w:hAnsi="Times New Roman" w:eastAsia="宋体" w:cs="Times New Roman"/>
                <w:color w:val="auto"/>
                <w:sz w:val="18"/>
                <w:szCs w:val="22"/>
                <w:highlight w:val="none"/>
                <w:lang w:val="en-US" w:eastAsia="zh-CN" w:bidi="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41" w:hRule="atLeast"/>
        </w:trPr>
        <w:tc>
          <w:tcPr>
            <w:tcW w:w="1001" w:type="dxa"/>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76"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噪声源调查</w:t>
            </w: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2"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噪声源调查方法</w:t>
            </w:r>
          </w:p>
        </w:tc>
        <w:tc>
          <w:tcPr>
            <w:tcW w:w="1638" w:type="dxa"/>
            <w:gridSpan w:val="2"/>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9"/>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现场实测□</w:t>
            </w:r>
          </w:p>
        </w:tc>
        <w:tc>
          <w:tcPr>
            <w:tcW w:w="315"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234"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747" w:type="dxa"/>
            <w:gridSpan w:val="2"/>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9"/>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已有资料</w:t>
            </w:r>
            <w:r>
              <w:rPr>
                <w:rFonts w:hint="eastAsia" w:ascii="Times New Roman" w:hAnsi="Times New Roman" w:eastAsia="宋体" w:cs="Times New Roman"/>
                <w:color w:val="auto"/>
                <w:sz w:val="18"/>
                <w:szCs w:val="22"/>
                <w:highlight w:val="none"/>
                <w:lang w:val="zh-CN" w:eastAsia="zh-CN" w:bidi="zh-CN"/>
              </w:rPr>
              <w:t>☑</w:t>
            </w:r>
          </w:p>
        </w:tc>
        <w:tc>
          <w:tcPr>
            <w:tcW w:w="445"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549"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635" w:type="dxa"/>
            <w:gridSpan w:val="2"/>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9"/>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研究成果□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6" w:hRule="atLeast"/>
        </w:trPr>
        <w:tc>
          <w:tcPr>
            <w:tcW w:w="1001" w:type="dxa"/>
            <w:vMerge w:val="restart"/>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after="0" w:line="242"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声环境影响预测与评价</w:t>
            </w: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预测模型</w:t>
            </w:r>
          </w:p>
        </w:tc>
        <w:tc>
          <w:tcPr>
            <w:tcW w:w="1638" w:type="dxa"/>
            <w:gridSpan w:val="2"/>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导则推荐模型□</w:t>
            </w:r>
          </w:p>
        </w:tc>
        <w:tc>
          <w:tcPr>
            <w:tcW w:w="315"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234"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069"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678"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2629" w:type="dxa"/>
            <w:gridSpan w:val="4"/>
            <w:tcBorders>
              <w:top w:val="single" w:color="000000" w:sz="4" w:space="0"/>
              <w:left w:val="nil"/>
              <w:bottom w:val="single" w:color="000000" w:sz="4" w:space="0"/>
            </w:tcBorders>
            <w:noWrap w:val="0"/>
            <w:vAlign w:val="top"/>
          </w:tcPr>
          <w:p>
            <w:pPr>
              <w:keepNext w:val="0"/>
              <w:keepLines w:val="0"/>
              <w:pageBreakBefore w:val="0"/>
              <w:widowControl w:val="0"/>
              <w:tabs>
                <w:tab w:val="left" w:pos="1633"/>
              </w:tabs>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Times New Roman"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其他</w:t>
            </w:r>
            <w:r>
              <w:rPr>
                <w:rFonts w:hint="default" w:ascii="Times New Roman" w:hAnsi="Times New Roman" w:eastAsia="宋体" w:cs="Times New Roman"/>
                <w:color w:val="auto"/>
                <w:sz w:val="18"/>
                <w:szCs w:val="22"/>
                <w:highlight w:val="none"/>
                <w:lang w:val="zh-CN" w:eastAsia="zh-CN" w:bidi="zh-CN"/>
              </w:rPr>
              <w:sym w:font="Wingdings 2" w:char="0052"/>
            </w:r>
            <w:r>
              <w:rPr>
                <w:rFonts w:hint="default" w:ascii="Times New Roman" w:hAnsi="Times New Roman" w:eastAsia="Times New Roman" w:cs="Times New Roman"/>
                <w:color w:val="auto"/>
                <w:sz w:val="18"/>
                <w:szCs w:val="22"/>
                <w:highlight w:val="none"/>
                <w:u w:val="single"/>
                <w:lang w:val="zh-CN" w:eastAsia="zh-CN" w:bidi="zh-CN"/>
              </w:rPr>
              <w:t xml:space="preserve"> </w:t>
            </w:r>
            <w:r>
              <w:rPr>
                <w:rFonts w:hint="default" w:ascii="Times New Roman" w:hAnsi="Times New Roman" w:eastAsia="Times New Roman" w:cs="Times New Roman"/>
                <w:color w:val="auto"/>
                <w:sz w:val="18"/>
                <w:szCs w:val="22"/>
                <w:highlight w:val="none"/>
                <w:u w:val="single"/>
                <w:lang w:val="zh-CN" w:eastAsia="zh-CN" w:bidi="zh-CN"/>
              </w:rPr>
              <w:tab/>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01" w:type="dxa"/>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预测范围</w:t>
            </w:r>
          </w:p>
        </w:tc>
        <w:tc>
          <w:tcPr>
            <w:tcW w:w="1638" w:type="dxa"/>
            <w:gridSpan w:val="2"/>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200 m□</w:t>
            </w:r>
          </w:p>
        </w:tc>
        <w:tc>
          <w:tcPr>
            <w:tcW w:w="315"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234"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747" w:type="dxa"/>
            <w:gridSpan w:val="2"/>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 xml:space="preserve">大于 </w:t>
            </w:r>
            <w:r>
              <w:rPr>
                <w:rFonts w:hint="default" w:ascii="Times New Roman" w:hAnsi="Times New Roman" w:eastAsia="Times New Roman" w:cs="Times New Roman"/>
                <w:color w:val="auto"/>
                <w:sz w:val="18"/>
                <w:szCs w:val="22"/>
                <w:highlight w:val="none"/>
                <w:lang w:val="zh-CN" w:eastAsia="zh-CN" w:bidi="zh-CN"/>
              </w:rPr>
              <w:t>200 m</w:t>
            </w:r>
            <w:r>
              <w:rPr>
                <w:rFonts w:hint="default" w:ascii="Times New Roman" w:hAnsi="Times New Roman" w:eastAsia="宋体" w:cs="Times New Roman"/>
                <w:color w:val="auto"/>
                <w:sz w:val="18"/>
                <w:szCs w:val="22"/>
                <w:highlight w:val="none"/>
                <w:lang w:val="zh-CN" w:eastAsia="zh-CN" w:bidi="zh-CN"/>
              </w:rPr>
              <w:t>□</w:t>
            </w:r>
          </w:p>
        </w:tc>
        <w:tc>
          <w:tcPr>
            <w:tcW w:w="445"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2184" w:type="dxa"/>
            <w:gridSpan w:val="3"/>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 xml:space="preserve">小于 </w:t>
            </w:r>
            <w:r>
              <w:rPr>
                <w:rFonts w:hint="default" w:ascii="Times New Roman" w:hAnsi="Times New Roman" w:eastAsia="Times New Roman" w:cs="Times New Roman"/>
                <w:color w:val="auto"/>
                <w:sz w:val="18"/>
                <w:szCs w:val="22"/>
                <w:highlight w:val="none"/>
                <w:lang w:val="zh-CN" w:eastAsia="zh-CN" w:bidi="zh-CN"/>
              </w:rPr>
              <w:t>200 m</w:t>
            </w:r>
            <w:r>
              <w:rPr>
                <w:rFonts w:hint="default" w:ascii="Times New Roman" w:hAnsi="Times New Roman" w:eastAsia="宋体" w:cs="Times New Roman"/>
                <w:color w:val="auto"/>
                <w:sz w:val="18"/>
                <w:szCs w:val="22"/>
                <w:highlight w:val="none"/>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01" w:type="dxa"/>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预测因子</w:t>
            </w:r>
          </w:p>
        </w:tc>
        <w:tc>
          <w:tcPr>
            <w:tcW w:w="1953" w:type="dxa"/>
            <w:gridSpan w:val="3"/>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 xml:space="preserve">等效连续 </w:t>
            </w:r>
            <w:r>
              <w:rPr>
                <w:rFonts w:hint="default" w:ascii="Times New Roman" w:hAnsi="Times New Roman" w:eastAsia="Times New Roman" w:cs="Times New Roman"/>
                <w:color w:val="auto"/>
                <w:sz w:val="18"/>
                <w:szCs w:val="22"/>
                <w:highlight w:val="none"/>
                <w:lang w:val="zh-CN" w:eastAsia="zh-CN" w:bidi="zh-CN"/>
              </w:rPr>
              <w:t xml:space="preserve">A </w:t>
            </w:r>
            <w:r>
              <w:rPr>
                <w:rFonts w:hint="default" w:ascii="Times New Roman" w:hAnsi="Times New Roman" w:eastAsia="宋体" w:cs="Times New Roman"/>
                <w:color w:val="auto"/>
                <w:sz w:val="18"/>
                <w:szCs w:val="22"/>
                <w:highlight w:val="none"/>
                <w:lang w:val="zh-CN" w:eastAsia="zh-CN" w:bidi="zh-CN"/>
              </w:rPr>
              <w:t>声级</w:t>
            </w:r>
            <w:r>
              <w:rPr>
                <w:rFonts w:hint="eastAsia" w:ascii="Times New Roman" w:hAnsi="Times New Roman" w:eastAsia="宋体" w:cs="Times New Roman"/>
                <w:color w:val="auto"/>
                <w:sz w:val="18"/>
                <w:szCs w:val="22"/>
                <w:highlight w:val="none"/>
                <w:lang w:val="zh-CN" w:eastAsia="zh-CN" w:bidi="zh-CN"/>
              </w:rPr>
              <w:t>☑</w:t>
            </w:r>
          </w:p>
        </w:tc>
        <w:tc>
          <w:tcPr>
            <w:tcW w:w="234"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747" w:type="dxa"/>
            <w:gridSpan w:val="2"/>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 xml:space="preserve">最大 </w:t>
            </w:r>
            <w:r>
              <w:rPr>
                <w:rFonts w:hint="default" w:ascii="Times New Roman" w:hAnsi="Times New Roman" w:eastAsia="Times New Roman" w:cs="Times New Roman"/>
                <w:color w:val="auto"/>
                <w:sz w:val="18"/>
                <w:szCs w:val="22"/>
                <w:highlight w:val="none"/>
                <w:lang w:val="zh-CN" w:eastAsia="zh-CN" w:bidi="zh-CN"/>
              </w:rPr>
              <w:t xml:space="preserve">A </w:t>
            </w:r>
            <w:r>
              <w:rPr>
                <w:rFonts w:hint="default" w:ascii="Times New Roman" w:hAnsi="Times New Roman" w:eastAsia="宋体" w:cs="Times New Roman"/>
                <w:color w:val="auto"/>
                <w:sz w:val="18"/>
                <w:szCs w:val="22"/>
                <w:highlight w:val="none"/>
                <w:lang w:val="zh-CN" w:eastAsia="zh-CN" w:bidi="zh-CN"/>
              </w:rPr>
              <w:t>声级□</w:t>
            </w:r>
          </w:p>
        </w:tc>
        <w:tc>
          <w:tcPr>
            <w:tcW w:w="2629" w:type="dxa"/>
            <w:gridSpan w:val="4"/>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计权等效连续感觉噪声级□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0" w:hRule="atLeast"/>
        </w:trPr>
        <w:tc>
          <w:tcPr>
            <w:tcW w:w="1001" w:type="dxa"/>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4"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厂界噪声贡献值</w:t>
            </w:r>
          </w:p>
        </w:tc>
        <w:tc>
          <w:tcPr>
            <w:tcW w:w="1090" w:type="dxa"/>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863" w:type="dxa"/>
            <w:gridSpan w:val="2"/>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达标 □</w:t>
            </w:r>
          </w:p>
        </w:tc>
        <w:tc>
          <w:tcPr>
            <w:tcW w:w="234"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069"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678"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445"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057" w:type="dxa"/>
            <w:gridSpan w:val="2"/>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不达标□</w:t>
            </w:r>
          </w:p>
        </w:tc>
        <w:tc>
          <w:tcPr>
            <w:tcW w:w="1127" w:type="dxa"/>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7" w:hRule="atLeast"/>
        </w:trPr>
        <w:tc>
          <w:tcPr>
            <w:tcW w:w="1001" w:type="dxa"/>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2"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声环境保护目标处噪声值</w:t>
            </w:r>
          </w:p>
        </w:tc>
        <w:tc>
          <w:tcPr>
            <w:tcW w:w="1090" w:type="dxa"/>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863" w:type="dxa"/>
            <w:gridSpan w:val="2"/>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达标</w:t>
            </w:r>
            <w:r>
              <w:rPr>
                <w:rFonts w:hint="eastAsia" w:ascii="Times New Roman" w:hAnsi="Times New Roman" w:eastAsia="宋体" w:cs="Times New Roman"/>
                <w:color w:val="auto"/>
                <w:sz w:val="18"/>
                <w:szCs w:val="22"/>
                <w:highlight w:val="none"/>
                <w:lang w:val="zh-CN" w:eastAsia="zh-CN" w:bidi="zh-CN"/>
              </w:rPr>
              <w:t>☑</w:t>
            </w:r>
          </w:p>
        </w:tc>
        <w:tc>
          <w:tcPr>
            <w:tcW w:w="234"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069"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678"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445" w:type="dxa"/>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c>
          <w:tcPr>
            <w:tcW w:w="1057" w:type="dxa"/>
            <w:gridSpan w:val="2"/>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不达标□</w:t>
            </w:r>
          </w:p>
        </w:tc>
        <w:tc>
          <w:tcPr>
            <w:tcW w:w="1127" w:type="dxa"/>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1001" w:type="dxa"/>
            <w:vMerge w:val="restart"/>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4"/>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after="0" w:line="242"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环境监测计划</w:t>
            </w: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排放监测</w:t>
            </w:r>
          </w:p>
        </w:tc>
        <w:tc>
          <w:tcPr>
            <w:tcW w:w="3256" w:type="dxa"/>
            <w:gridSpan w:val="5"/>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tabs>
                <w:tab w:val="left" w:pos="1621"/>
              </w:tabs>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厂界监测□</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固定位置监</w:t>
            </w:r>
            <w:r>
              <w:rPr>
                <w:rFonts w:hint="default" w:ascii="Times New Roman" w:hAnsi="Times New Roman" w:eastAsia="宋体" w:cs="Times New Roman"/>
                <w:color w:val="auto"/>
                <w:spacing w:val="-3"/>
                <w:sz w:val="18"/>
                <w:szCs w:val="22"/>
                <w:highlight w:val="none"/>
                <w:lang w:val="zh-CN" w:eastAsia="zh-CN" w:bidi="zh-CN"/>
              </w:rPr>
              <w:t>测</w:t>
            </w:r>
            <w:r>
              <w:rPr>
                <w:rFonts w:hint="default" w:ascii="Times New Roman" w:hAnsi="Times New Roman" w:eastAsia="宋体" w:cs="Times New Roman"/>
                <w:color w:val="auto"/>
                <w:sz w:val="18"/>
                <w:szCs w:val="22"/>
                <w:highlight w:val="none"/>
                <w:lang w:val="zh-CN" w:eastAsia="zh-CN" w:bidi="zh-CN"/>
              </w:rPr>
              <w:t>□</w:t>
            </w:r>
          </w:p>
        </w:tc>
        <w:tc>
          <w:tcPr>
            <w:tcW w:w="2180" w:type="dxa"/>
            <w:gridSpan w:val="4"/>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自动监测□ 手动监测□</w:t>
            </w:r>
          </w:p>
        </w:tc>
        <w:tc>
          <w:tcPr>
            <w:tcW w:w="1127" w:type="dxa"/>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无监测</w:t>
            </w:r>
            <w:r>
              <w:rPr>
                <w:rFonts w:hint="eastAsia" w:ascii="Times New Roman" w:hAnsi="Times New Roman" w:eastAsia="宋体" w:cs="Times New Roman"/>
                <w:color w:val="auto"/>
                <w:sz w:val="18"/>
                <w:szCs w:val="22"/>
                <w:highlight w:val="none"/>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8" w:hRule="atLeast"/>
        </w:trPr>
        <w:tc>
          <w:tcPr>
            <w:tcW w:w="1001" w:type="dxa"/>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2"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声环境保护目标处噪声监测</w:t>
            </w:r>
          </w:p>
        </w:tc>
        <w:tc>
          <w:tcPr>
            <w:tcW w:w="3256" w:type="dxa"/>
            <w:gridSpan w:val="5"/>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tabs>
                <w:tab w:val="left" w:pos="2252"/>
              </w:tabs>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监测因子</w:t>
            </w:r>
            <w:r>
              <w:rPr>
                <w:rFonts w:hint="default" w:ascii="Times New Roman" w:hAnsi="Times New Roman" w:eastAsia="宋体" w:cs="Times New Roman"/>
                <w:color w:val="auto"/>
                <w:spacing w:val="-92"/>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tc>
        <w:tc>
          <w:tcPr>
            <w:tcW w:w="2180" w:type="dxa"/>
            <w:gridSpan w:val="4"/>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tabs>
                <w:tab w:val="left" w:pos="1735"/>
              </w:tabs>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监测点位数（</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tc>
        <w:tc>
          <w:tcPr>
            <w:tcW w:w="1127" w:type="dxa"/>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无监测□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01" w:type="dxa"/>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评价结论</w:t>
            </w:r>
          </w:p>
        </w:tc>
        <w:tc>
          <w:tcPr>
            <w:tcW w:w="141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环境影响</w:t>
            </w:r>
          </w:p>
        </w:tc>
        <w:tc>
          <w:tcPr>
            <w:tcW w:w="6563" w:type="dxa"/>
            <w:gridSpan w:val="10"/>
            <w:tcBorders>
              <w:top w:val="single" w:color="000000" w:sz="4" w:space="0"/>
              <w:left w:val="single" w:color="000000" w:sz="4" w:space="0"/>
              <w:bottom w:val="single" w:color="000000" w:sz="4" w:space="0"/>
            </w:tcBorders>
            <w:noWrap w:val="0"/>
            <w:vAlign w:val="top"/>
          </w:tcPr>
          <w:p>
            <w:pPr>
              <w:keepNext w:val="0"/>
              <w:keepLines w:val="0"/>
              <w:pageBreakBefore w:val="0"/>
              <w:widowControl w:val="0"/>
              <w:tabs>
                <w:tab w:val="left" w:pos="1202"/>
              </w:tabs>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可行</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不可行□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8974" w:type="dxa"/>
            <w:gridSpan w:val="12"/>
            <w:tcBorders>
              <w:top w:val="single" w:color="000000" w:sz="4" w:space="0"/>
            </w:tcBorders>
            <w:noWrap w:val="0"/>
            <w:vAlign w:val="top"/>
          </w:tcPr>
          <w:p>
            <w:pPr>
              <w:keepNext w:val="0"/>
              <w:keepLines w:val="0"/>
              <w:pageBreakBefore w:val="0"/>
              <w:widowControl w:val="0"/>
              <w:tabs>
                <w:tab w:val="left" w:pos="3079"/>
              </w:tabs>
              <w:kinsoku/>
              <w:wordWrap/>
              <w:overflowPunct/>
              <w:topLinePunct w:val="0"/>
              <w:autoSpaceDE w:val="0"/>
              <w:autoSpaceDN w:val="0"/>
              <w:bidi w:val="0"/>
              <w:adjustRightInd/>
              <w:snapToGrid/>
              <w:spacing w:after="0" w:line="240" w:lineRule="auto"/>
              <w:ind w:left="0" w:right="0" w:firstLine="0" w:firstLineChars="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注</w:t>
            </w:r>
            <w:r>
              <w:rPr>
                <w:rFonts w:hint="default" w:ascii="Times New Roman" w:hAnsi="Times New Roman" w:eastAsia="宋体" w:cs="Times New Roman"/>
                <w:color w:val="auto"/>
                <w:spacing w:val="-92"/>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pacing w:val="1"/>
                <w:sz w:val="18"/>
                <w:szCs w:val="22"/>
                <w:highlight w:val="none"/>
                <w:lang w:val="zh-CN" w:eastAsia="zh-CN" w:bidi="zh-CN"/>
              </w:rPr>
              <w:t xml:space="preserve"> </w:t>
            </w:r>
            <w:r>
              <w:rPr>
                <w:rFonts w:hint="default" w:ascii="Times New Roman" w:hAnsi="Times New Roman" w:eastAsia="宋体" w:cs="Times New Roman"/>
                <w:color w:val="auto"/>
                <w:sz w:val="18"/>
                <w:szCs w:val="22"/>
                <w:highlight w:val="none"/>
                <w:lang w:val="zh-CN" w:eastAsia="zh-CN" w:bidi="zh-CN"/>
              </w:rPr>
              <w:t>为勾选项</w:t>
            </w:r>
            <w:r>
              <w:rPr>
                <w:rFonts w:hint="default" w:ascii="Times New Roman" w:hAnsi="Times New Roman" w:eastAsia="宋体" w:cs="Times New Roman"/>
                <w:color w:val="auto"/>
                <w:spacing w:val="1"/>
                <w:sz w:val="18"/>
                <w:szCs w:val="22"/>
                <w:highlight w:val="none"/>
                <w:lang w:val="zh-CN" w:eastAsia="zh-CN" w:bidi="zh-CN"/>
              </w:rPr>
              <w:t xml:space="preserve"> </w:t>
            </w:r>
            <w:r>
              <w:rPr>
                <w:rFonts w:hint="default" w:ascii="Times New Roman" w:hAnsi="Times New Roman" w:eastAsia="宋体" w:cs="Times New Roman"/>
                <w:color w:val="auto"/>
                <w:sz w:val="18"/>
                <w:szCs w:val="22"/>
                <w:highlight w:val="none"/>
                <w:lang w:val="zh-CN" w:eastAsia="zh-CN" w:bidi="zh-CN"/>
              </w:rPr>
              <w:t>，可√</w:t>
            </w:r>
            <w:r>
              <w:rPr>
                <w:rFonts w:hint="default" w:ascii="Times New Roman" w:hAnsi="Times New Roman" w:eastAsia="宋体" w:cs="Times New Roman"/>
                <w:color w:val="auto"/>
                <w:spacing w:val="1"/>
                <w:sz w:val="18"/>
                <w:szCs w:val="22"/>
                <w:highlight w:val="none"/>
                <w:lang w:val="zh-CN" w:eastAsia="zh-CN" w:bidi="zh-CN"/>
              </w:rPr>
              <w:t xml:space="preserve"> </w:t>
            </w:r>
            <w:r>
              <w:rPr>
                <w:rFonts w:hint="default" w:ascii="Times New Roman" w:hAnsi="Times New Roman" w:eastAsia="宋体" w:cs="Times New Roman"/>
                <w:color w:val="auto"/>
                <w:spacing w:val="-92"/>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pacing w:val="-92"/>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pacing w:val="1"/>
                <w:sz w:val="18"/>
                <w:szCs w:val="22"/>
                <w:highlight w:val="none"/>
                <w:lang w:val="zh-CN" w:eastAsia="zh-CN" w:bidi="zh-CN"/>
              </w:rPr>
              <w:t xml:space="preserve"> </w:t>
            </w:r>
            <w:r>
              <w:rPr>
                <w:rFonts w:hint="default" w:ascii="Times New Roman" w:hAnsi="Times New Roman" w:eastAsia="宋体" w:cs="Times New Roman"/>
                <w:color w:val="auto"/>
                <w:sz w:val="18"/>
                <w:szCs w:val="22"/>
                <w:highlight w:val="none"/>
                <w:lang w:val="zh-CN" w:eastAsia="zh-CN" w:bidi="zh-CN"/>
              </w:rPr>
              <w:t>为内容填写项。</w:t>
            </w:r>
          </w:p>
        </w:tc>
      </w:tr>
    </w:tbl>
    <w:p>
      <w:pPr>
        <w:rPr>
          <w:rFonts w:hint="default"/>
          <w:color w:val="auto"/>
          <w:highlight w:val="none"/>
          <w:lang w:val="en-US" w:eastAsia="zh-CN"/>
        </w:rPr>
      </w:pPr>
      <w:r>
        <w:rPr>
          <w:rFonts w:hint="default"/>
          <w:color w:val="auto"/>
          <w:highlight w:val="none"/>
          <w:lang w:val="en-US" w:eastAsia="zh-CN"/>
        </w:rPr>
        <w:br w:type="page"/>
      </w:r>
    </w:p>
    <w:p>
      <w:pPr>
        <w:keepNext/>
        <w:keepLines/>
        <w:pageBreakBefore w:val="0"/>
        <w:widowControl w:val="0"/>
        <w:bidi w:val="0"/>
        <w:spacing w:line="360" w:lineRule="auto"/>
        <w:ind w:firstLine="0" w:firstLineChars="0"/>
        <w:jc w:val="center"/>
        <w:outlineLvl w:val="0"/>
        <w:rPr>
          <w:rFonts w:hint="default" w:ascii="Times New Roman" w:hAnsi="Times New Roman" w:eastAsia="黑体" w:cs="Times New Roman"/>
          <w:caps w:val="0"/>
          <w:smallCaps w:val="0"/>
          <w:color w:val="auto"/>
          <w:spacing w:val="0"/>
          <w:w w:val="100"/>
          <w:kern w:val="44"/>
          <w:sz w:val="24"/>
          <w:szCs w:val="30"/>
          <w:highlight w:val="none"/>
          <w:lang w:val="zh-CN"/>
        </w:rPr>
      </w:pPr>
      <w:bookmarkStart w:id="228" w:name="_Toc1346"/>
      <w:bookmarkStart w:id="229" w:name="_Toc7290"/>
      <w:bookmarkStart w:id="230" w:name="_Toc49174414"/>
      <w:bookmarkStart w:id="231" w:name="_Toc49174447"/>
      <w:r>
        <w:rPr>
          <w:rFonts w:hint="default" w:ascii="Times New Roman" w:hAnsi="Times New Roman" w:eastAsia="黑体" w:cs="Times New Roman"/>
          <w:caps w:val="0"/>
          <w:smallCaps w:val="0"/>
          <w:color w:val="auto"/>
          <w:spacing w:val="0"/>
          <w:w w:val="100"/>
          <w:kern w:val="44"/>
          <w:sz w:val="24"/>
          <w:szCs w:val="30"/>
          <w:highlight w:val="none"/>
          <w:lang w:val="zh-CN"/>
        </w:rPr>
        <w:t>附表</w:t>
      </w:r>
      <w:r>
        <w:rPr>
          <w:rFonts w:hint="eastAsia" w:ascii="Times New Roman" w:hAnsi="Times New Roman" w:eastAsia="黑体" w:cs="Times New Roman"/>
          <w:caps w:val="0"/>
          <w:smallCaps w:val="0"/>
          <w:color w:val="auto"/>
          <w:spacing w:val="0"/>
          <w:w w:val="100"/>
          <w:kern w:val="44"/>
          <w:sz w:val="24"/>
          <w:szCs w:val="30"/>
          <w:highlight w:val="none"/>
          <w:lang w:val="en-US" w:eastAsia="zh-CN"/>
        </w:rPr>
        <w:t>四</w:t>
      </w:r>
      <w:r>
        <w:rPr>
          <w:rFonts w:hint="default" w:ascii="Times New Roman" w:hAnsi="Times New Roman" w:eastAsia="黑体" w:cs="Times New Roman"/>
          <w:caps w:val="0"/>
          <w:smallCaps w:val="0"/>
          <w:color w:val="auto"/>
          <w:spacing w:val="0"/>
          <w:w w:val="100"/>
          <w:kern w:val="44"/>
          <w:sz w:val="24"/>
          <w:szCs w:val="30"/>
          <w:highlight w:val="none"/>
          <w:lang w:val="zh-CN"/>
        </w:rPr>
        <w:t xml:space="preserve">   环境风险评价自查表</w:t>
      </w:r>
      <w:bookmarkEnd w:id="228"/>
      <w:bookmarkEnd w:id="229"/>
      <w:bookmarkEnd w:id="230"/>
      <w:bookmarkEnd w:id="231"/>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9"/>
        <w:gridCol w:w="1242"/>
        <w:gridCol w:w="1235"/>
        <w:gridCol w:w="308"/>
        <w:gridCol w:w="461"/>
        <w:gridCol w:w="308"/>
        <w:gridCol w:w="780"/>
        <w:gridCol w:w="297"/>
        <w:gridCol w:w="314"/>
        <w:gridCol w:w="6"/>
        <w:gridCol w:w="771"/>
        <w:gridCol w:w="145"/>
        <w:gridCol w:w="470"/>
        <w:gridCol w:w="462"/>
        <w:gridCol w:w="383"/>
        <w:gridCol w:w="91"/>
        <w:gridCol w:w="676"/>
        <w:gridCol w:w="7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2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工作内容</w:t>
            </w:r>
          </w:p>
        </w:tc>
        <w:tc>
          <w:tcPr>
            <w:tcW w:w="7465" w:type="dxa"/>
            <w:gridSpan w:val="16"/>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风险调查</w:t>
            </w:r>
          </w:p>
        </w:tc>
        <w:tc>
          <w:tcPr>
            <w:tcW w:w="1242" w:type="dxa"/>
            <w:vMerge w:val="restart"/>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危险物质</w:t>
            </w:r>
          </w:p>
        </w:tc>
        <w:tc>
          <w:tcPr>
            <w:tcW w:w="123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名称</w:t>
            </w:r>
          </w:p>
        </w:tc>
        <w:tc>
          <w:tcPr>
            <w:tcW w:w="1077"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柴油</w:t>
            </w:r>
          </w:p>
        </w:tc>
        <w:tc>
          <w:tcPr>
            <w:tcW w:w="1077"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36"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315"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767"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7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continue"/>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3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存在总量t</w:t>
            </w:r>
          </w:p>
        </w:tc>
        <w:tc>
          <w:tcPr>
            <w:tcW w:w="1077"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eastAsia" w:ascii="Times New Roman" w:hAnsi="Times New Roman" w:cs="Times New Roman"/>
                <w:caps w:val="0"/>
                <w:smallCaps w:val="0"/>
                <w:color w:val="auto"/>
                <w:spacing w:val="0"/>
                <w:w w:val="100"/>
                <w:kern w:val="2"/>
                <w:sz w:val="18"/>
                <w:szCs w:val="18"/>
                <w:highlight w:val="none"/>
                <w:lang w:val="en-US" w:eastAsia="zh-CN"/>
              </w:rPr>
              <w:t>202</w:t>
            </w:r>
          </w:p>
        </w:tc>
        <w:tc>
          <w:tcPr>
            <w:tcW w:w="1077"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lang w:val="en-US" w:eastAsia="zh-CN"/>
              </w:rPr>
            </w:pPr>
          </w:p>
        </w:tc>
        <w:tc>
          <w:tcPr>
            <w:tcW w:w="1236"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315"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767"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7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restart"/>
            <w:tcBorders>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环境敏感性</w:t>
            </w:r>
          </w:p>
        </w:tc>
        <w:tc>
          <w:tcPr>
            <w:tcW w:w="1235" w:type="dxa"/>
            <w:vMerge w:val="restart"/>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大气</w:t>
            </w:r>
          </w:p>
        </w:tc>
        <w:tc>
          <w:tcPr>
            <w:tcW w:w="3390" w:type="dxa"/>
            <w:gridSpan w:val="9"/>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500m范围内人口数</w:t>
            </w:r>
            <w:r>
              <w:rPr>
                <w:rFonts w:hint="default" w:ascii="Times New Roman" w:hAnsi="Times New Roman" w:eastAsia="宋体" w:cs="Times New Roman"/>
                <w:caps w:val="0"/>
                <w:smallCaps w:val="0"/>
                <w:color w:val="auto"/>
                <w:spacing w:val="0"/>
                <w:w w:val="100"/>
                <w:kern w:val="2"/>
                <w:sz w:val="18"/>
                <w:szCs w:val="18"/>
                <w:highlight w:val="none"/>
                <w:u w:val="single"/>
              </w:rPr>
              <w:t xml:space="preserve">     </w:t>
            </w:r>
            <w:r>
              <w:rPr>
                <w:rFonts w:hint="default" w:ascii="Times New Roman" w:hAnsi="Times New Roman" w:eastAsia="宋体" w:cs="Times New Roman"/>
                <w:caps w:val="0"/>
                <w:smallCaps w:val="0"/>
                <w:color w:val="auto"/>
                <w:spacing w:val="0"/>
                <w:w w:val="100"/>
                <w:kern w:val="2"/>
                <w:sz w:val="18"/>
                <w:szCs w:val="18"/>
                <w:highlight w:val="none"/>
              </w:rPr>
              <w:t>人</w:t>
            </w:r>
          </w:p>
        </w:tc>
        <w:tc>
          <w:tcPr>
            <w:tcW w:w="2840" w:type="dxa"/>
            <w:gridSpan w:val="6"/>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5km范围内人口数</w:t>
            </w:r>
            <w:r>
              <w:rPr>
                <w:rFonts w:hint="default" w:ascii="Times New Roman" w:hAnsi="Times New Roman" w:eastAsia="宋体" w:cs="Times New Roman"/>
                <w:caps w:val="0"/>
                <w:smallCaps w:val="0"/>
                <w:color w:val="auto"/>
                <w:spacing w:val="0"/>
                <w:w w:val="100"/>
                <w:kern w:val="2"/>
                <w:sz w:val="18"/>
                <w:szCs w:val="18"/>
                <w:highlight w:val="none"/>
                <w:u w:val="single"/>
              </w:rPr>
              <w:t xml:space="preserve">    </w:t>
            </w:r>
            <w:r>
              <w:rPr>
                <w:rFonts w:hint="default" w:ascii="Times New Roman" w:hAnsi="Times New Roman" w:eastAsia="宋体" w:cs="Times New Roman"/>
                <w:caps w:val="0"/>
                <w:smallCaps w:val="0"/>
                <w:color w:val="auto"/>
                <w:spacing w:val="0"/>
                <w:w w:val="100"/>
                <w:kern w:val="2"/>
                <w:sz w:val="18"/>
                <w:szCs w:val="18"/>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continue"/>
            <w:tcBorders>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35" w:type="dxa"/>
            <w:vMerge w:val="continue"/>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4796" w:type="dxa"/>
            <w:gridSpan w:val="1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每公里管段周边200m范围内人口数（最大）</w:t>
            </w:r>
          </w:p>
        </w:tc>
        <w:tc>
          <w:tcPr>
            <w:tcW w:w="143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continue"/>
            <w:tcBorders>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35" w:type="dxa"/>
            <w:vMerge w:val="restart"/>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地表水</w:t>
            </w:r>
          </w:p>
        </w:tc>
        <w:tc>
          <w:tcPr>
            <w:tcW w:w="1857"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地表水功能敏感性</w:t>
            </w:r>
          </w:p>
        </w:tc>
        <w:tc>
          <w:tcPr>
            <w:tcW w:w="138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F1</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551"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F2</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43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F3</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continue"/>
            <w:tcBorders>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35" w:type="dxa"/>
            <w:vMerge w:val="continue"/>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857"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环境敏感目标分级</w:t>
            </w:r>
          </w:p>
        </w:tc>
        <w:tc>
          <w:tcPr>
            <w:tcW w:w="138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S1</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551"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S2</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43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S3</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continue"/>
            <w:tcBorders>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35" w:type="dxa"/>
            <w:vMerge w:val="restart"/>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地下水</w:t>
            </w:r>
          </w:p>
        </w:tc>
        <w:tc>
          <w:tcPr>
            <w:tcW w:w="1857"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地下水功能敏感性</w:t>
            </w:r>
          </w:p>
        </w:tc>
        <w:tc>
          <w:tcPr>
            <w:tcW w:w="138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G1</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551"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G2</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43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G3</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continue"/>
            <w:tcBorders>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35" w:type="dxa"/>
            <w:vMerge w:val="continue"/>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857"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包气带防污性能</w:t>
            </w:r>
          </w:p>
        </w:tc>
        <w:tc>
          <w:tcPr>
            <w:tcW w:w="138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D1</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551"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D2</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43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D3</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21" w:type="dxa"/>
            <w:gridSpan w:val="2"/>
            <w:vMerge w:val="restart"/>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物质及工艺系数危险性</w:t>
            </w:r>
          </w:p>
        </w:tc>
        <w:tc>
          <w:tcPr>
            <w:tcW w:w="123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Q值</w:t>
            </w:r>
          </w:p>
        </w:tc>
        <w:tc>
          <w:tcPr>
            <w:tcW w:w="1857"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Q＜1√</w:t>
            </w:r>
          </w:p>
        </w:tc>
        <w:tc>
          <w:tcPr>
            <w:tcW w:w="138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1≤Q＜10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551"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10≤Q＜100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43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Q＞100</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21" w:type="dxa"/>
            <w:gridSpan w:val="2"/>
            <w:vMerge w:val="continue"/>
            <w:tcBorders>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3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M值</w:t>
            </w:r>
          </w:p>
        </w:tc>
        <w:tc>
          <w:tcPr>
            <w:tcW w:w="1857"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M1</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38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M2</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551"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M3</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43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M4</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21" w:type="dxa"/>
            <w:gridSpan w:val="2"/>
            <w:vMerge w:val="continue"/>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3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P值</w:t>
            </w:r>
          </w:p>
        </w:tc>
        <w:tc>
          <w:tcPr>
            <w:tcW w:w="1857"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P1</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38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P2</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551"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P3</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43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P4</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2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环境风险潜势</w:t>
            </w:r>
          </w:p>
        </w:tc>
        <w:tc>
          <w:tcPr>
            <w:tcW w:w="1543"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Ⅳ</w:t>
            </w:r>
            <w:r>
              <w:rPr>
                <w:rFonts w:hint="default" w:ascii="Times New Roman" w:hAnsi="Times New Roman" w:eastAsia="宋体" w:cs="Times New Roman"/>
                <w:caps w:val="0"/>
                <w:smallCaps w:val="0"/>
                <w:color w:val="auto"/>
                <w:spacing w:val="0"/>
                <w:w w:val="100"/>
                <w:kern w:val="2"/>
                <w:sz w:val="18"/>
                <w:szCs w:val="18"/>
                <w:highlight w:val="none"/>
                <w:vertAlign w:val="superscript"/>
              </w:rPr>
              <w:t>+</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549"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Ⅳ</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38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Ⅲ</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551"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Ⅱ</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43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2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评价等级</w:t>
            </w:r>
          </w:p>
        </w:tc>
        <w:tc>
          <w:tcPr>
            <w:tcW w:w="3092"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一级</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38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二级</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551"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三级</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43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简单分析√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风险识别</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物质危险性</w:t>
            </w:r>
          </w:p>
        </w:tc>
        <w:tc>
          <w:tcPr>
            <w:tcW w:w="3709" w:type="dxa"/>
            <w:gridSpan w:val="8"/>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有毒有害</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3756" w:type="dxa"/>
            <w:gridSpan w:val="8"/>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易燃易爆√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bidi w:val="0"/>
              <w:spacing w:line="360" w:lineRule="auto"/>
              <w:ind w:firstLine="0" w:firstLineChars="0"/>
              <w:jc w:val="left"/>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环境风险类型</w:t>
            </w:r>
          </w:p>
        </w:tc>
        <w:tc>
          <w:tcPr>
            <w:tcW w:w="3709" w:type="dxa"/>
            <w:gridSpan w:val="8"/>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泄漏√</w:t>
            </w:r>
          </w:p>
        </w:tc>
        <w:tc>
          <w:tcPr>
            <w:tcW w:w="3756" w:type="dxa"/>
            <w:gridSpan w:val="8"/>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火灾、爆炸引发伴生/次生污染物排放√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bidi w:val="0"/>
              <w:spacing w:line="360" w:lineRule="auto"/>
              <w:ind w:firstLine="0" w:firstLineChars="0"/>
              <w:jc w:val="left"/>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影响途径</w:t>
            </w:r>
          </w:p>
        </w:tc>
        <w:tc>
          <w:tcPr>
            <w:tcW w:w="2312"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大气√</w:t>
            </w:r>
          </w:p>
        </w:tc>
        <w:tc>
          <w:tcPr>
            <w:tcW w:w="2783" w:type="dxa"/>
            <w:gridSpan w:val="7"/>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地表水√</w:t>
            </w:r>
          </w:p>
        </w:tc>
        <w:tc>
          <w:tcPr>
            <w:tcW w:w="2370"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地下水√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21"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事故情形分析</w:t>
            </w:r>
          </w:p>
        </w:tc>
        <w:tc>
          <w:tcPr>
            <w:tcW w:w="2004"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源强设定方法</w:t>
            </w:r>
          </w:p>
        </w:tc>
        <w:tc>
          <w:tcPr>
            <w:tcW w:w="1705"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计算法</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84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经验估算法</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90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其他估算法</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风险预测与评价</w:t>
            </w:r>
          </w:p>
        </w:tc>
        <w:tc>
          <w:tcPr>
            <w:tcW w:w="1242" w:type="dxa"/>
            <w:vMerge w:val="restart"/>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大气</w:t>
            </w:r>
          </w:p>
        </w:tc>
        <w:tc>
          <w:tcPr>
            <w:tcW w:w="2004"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预测模型</w:t>
            </w:r>
          </w:p>
        </w:tc>
        <w:tc>
          <w:tcPr>
            <w:tcW w:w="1699"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SLAB</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854"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AFTOX</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c>
          <w:tcPr>
            <w:tcW w:w="1908" w:type="dxa"/>
            <w:gridSpan w:val="4"/>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其他</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continue"/>
            <w:tcBorders>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2004" w:type="dxa"/>
            <w:gridSpan w:val="3"/>
            <w:vMerge w:val="restart"/>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预测结果</w:t>
            </w:r>
          </w:p>
        </w:tc>
        <w:tc>
          <w:tcPr>
            <w:tcW w:w="5461" w:type="dxa"/>
            <w:gridSpan w:val="1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u w:val="single"/>
              </w:rPr>
            </w:pPr>
            <w:r>
              <w:rPr>
                <w:rFonts w:hint="default" w:ascii="Times New Roman" w:hAnsi="Times New Roman" w:eastAsia="宋体" w:cs="Times New Roman"/>
                <w:caps w:val="0"/>
                <w:smallCaps w:val="0"/>
                <w:color w:val="auto"/>
                <w:spacing w:val="0"/>
                <w:w w:val="100"/>
                <w:kern w:val="2"/>
                <w:sz w:val="18"/>
                <w:szCs w:val="18"/>
                <w:highlight w:val="none"/>
              </w:rPr>
              <w:t>大气毒性终点浓度-1 最大影响范围m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bidi w:val="0"/>
              <w:spacing w:line="360" w:lineRule="auto"/>
              <w:ind w:firstLine="0" w:firstLineChars="0"/>
              <w:jc w:val="left"/>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continue"/>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2004" w:type="dxa"/>
            <w:gridSpan w:val="3"/>
            <w:vMerge w:val="continue"/>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5461" w:type="dxa"/>
            <w:gridSpan w:val="13"/>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大气毒性终点浓度-2 最大影响范围m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bidi w:val="0"/>
              <w:spacing w:line="360" w:lineRule="auto"/>
              <w:ind w:firstLine="0" w:firstLineChars="0"/>
              <w:jc w:val="left"/>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地表水</w:t>
            </w:r>
          </w:p>
        </w:tc>
        <w:tc>
          <w:tcPr>
            <w:tcW w:w="7465" w:type="dxa"/>
            <w:gridSpan w:val="16"/>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最近敏感目标，到达时间h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bidi w:val="0"/>
              <w:spacing w:line="360" w:lineRule="auto"/>
              <w:ind w:firstLine="0" w:firstLineChars="0"/>
              <w:jc w:val="left"/>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restart"/>
            <w:tcBorders>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地下水</w:t>
            </w:r>
          </w:p>
        </w:tc>
        <w:tc>
          <w:tcPr>
            <w:tcW w:w="7465" w:type="dxa"/>
            <w:gridSpan w:val="16"/>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u w:val="single"/>
              </w:rPr>
            </w:pPr>
            <w:r>
              <w:rPr>
                <w:rFonts w:hint="default" w:ascii="Times New Roman" w:hAnsi="Times New Roman" w:eastAsia="宋体" w:cs="Times New Roman"/>
                <w:caps w:val="0"/>
                <w:smallCaps w:val="0"/>
                <w:color w:val="auto"/>
                <w:spacing w:val="0"/>
                <w:w w:val="100"/>
                <w:kern w:val="2"/>
                <w:sz w:val="18"/>
                <w:szCs w:val="18"/>
                <w:highlight w:val="none"/>
              </w:rPr>
              <w:t>下游厂区边界到达时间d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bidi w:val="0"/>
              <w:spacing w:line="360" w:lineRule="auto"/>
              <w:ind w:firstLine="0" w:firstLineChars="0"/>
              <w:jc w:val="left"/>
              <w:rPr>
                <w:rFonts w:hint="default" w:ascii="Times New Roman" w:hAnsi="Times New Roman" w:eastAsia="宋体" w:cs="Times New Roman"/>
                <w:caps w:val="0"/>
                <w:smallCaps w:val="0"/>
                <w:color w:val="auto"/>
                <w:spacing w:val="0"/>
                <w:w w:val="100"/>
                <w:kern w:val="2"/>
                <w:sz w:val="18"/>
                <w:szCs w:val="18"/>
                <w:highlight w:val="none"/>
              </w:rPr>
            </w:pPr>
          </w:p>
        </w:tc>
        <w:tc>
          <w:tcPr>
            <w:tcW w:w="1242" w:type="dxa"/>
            <w:vMerge w:val="continue"/>
            <w:tcBorders>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p>
        </w:tc>
        <w:tc>
          <w:tcPr>
            <w:tcW w:w="7465" w:type="dxa"/>
            <w:gridSpan w:val="16"/>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最近环境敏感目标，到达时间d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1821" w:type="dxa"/>
            <w:gridSpan w:val="2"/>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重点风险防范措施</w:t>
            </w:r>
          </w:p>
        </w:tc>
        <w:tc>
          <w:tcPr>
            <w:tcW w:w="7465" w:type="dxa"/>
            <w:gridSpan w:val="16"/>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加强钻井施工过程中的井控管理，采取有效措施加以防范，设计上采取严格的预防井喷、井漏及固井等环境风险防范措施。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5" w:hRule="atLeast"/>
          <w:jc w:val="center"/>
        </w:trPr>
        <w:tc>
          <w:tcPr>
            <w:tcW w:w="1821" w:type="dxa"/>
            <w:gridSpan w:val="2"/>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center"/>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评价结论与建议</w:t>
            </w:r>
          </w:p>
        </w:tc>
        <w:tc>
          <w:tcPr>
            <w:tcW w:w="7465" w:type="dxa"/>
            <w:gridSpan w:val="16"/>
            <w:tcBorders>
              <w:top w:val="single" w:color="auto" w:sz="4" w:space="0"/>
              <w:left w:val="single" w:color="auto" w:sz="4" w:space="0"/>
              <w:right w:val="single" w:color="auto" w:sz="4" w:space="0"/>
            </w:tcBorders>
            <w:noWrap w:val="0"/>
            <w:vAlign w:val="center"/>
          </w:tcPr>
          <w:p>
            <w:pPr>
              <w:pageBreakBefore w:val="0"/>
              <w:widowControl w:val="0"/>
              <w:bidi w:val="0"/>
              <w:spacing w:line="360" w:lineRule="auto"/>
              <w:ind w:firstLine="0" w:firstLineChars="0"/>
              <w:jc w:val="both"/>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项</w:t>
            </w:r>
            <w:r>
              <w:rPr>
                <w:rFonts w:hint="eastAsia" w:ascii="Times New Roman" w:hAnsi="Times New Roman" w:eastAsia="宋体" w:cs="Times New Roman"/>
                <w:caps w:val="0"/>
                <w:smallCaps w:val="0"/>
                <w:color w:val="auto"/>
                <w:spacing w:val="0"/>
                <w:w w:val="100"/>
                <w:kern w:val="2"/>
                <w:sz w:val="18"/>
                <w:szCs w:val="18"/>
                <w:highlight w:val="none"/>
                <w:lang w:val="en-US" w:eastAsia="zh-CN"/>
              </w:rPr>
              <w:t xml:space="preserve">  </w:t>
            </w:r>
            <w:r>
              <w:rPr>
                <w:rFonts w:hint="default" w:ascii="Times New Roman" w:hAnsi="Times New Roman" w:eastAsia="宋体" w:cs="Times New Roman"/>
                <w:caps w:val="0"/>
                <w:smallCaps w:val="0"/>
                <w:color w:val="auto"/>
                <w:spacing w:val="0"/>
                <w:w w:val="100"/>
                <w:kern w:val="2"/>
                <w:sz w:val="18"/>
                <w:szCs w:val="18"/>
                <w:highlight w:val="none"/>
              </w:rPr>
              <w:t>目主要环境风险是井喷、泄漏和火灾爆炸，</w:t>
            </w:r>
            <w:r>
              <w:rPr>
                <w:rFonts w:hint="eastAsia" w:ascii="Times New Roman" w:hAnsi="Times New Roman" w:eastAsia="宋体" w:cs="Times New Roman"/>
                <w:caps w:val="0"/>
                <w:smallCaps w:val="0"/>
                <w:color w:val="auto"/>
                <w:spacing w:val="0"/>
                <w:w w:val="100"/>
                <w:kern w:val="2"/>
                <w:sz w:val="18"/>
                <w:szCs w:val="18"/>
                <w:highlight w:val="none"/>
                <w:lang w:val="en-US" w:eastAsia="zh-CN"/>
              </w:rPr>
              <w:t>天然气爆炸产生巨大气浪，</w:t>
            </w:r>
            <w:r>
              <w:rPr>
                <w:rFonts w:hint="default" w:ascii="Times New Roman" w:hAnsi="Times New Roman" w:eastAsia="宋体" w:cs="Times New Roman"/>
                <w:caps w:val="0"/>
                <w:smallCaps w:val="0"/>
                <w:color w:val="auto"/>
                <w:spacing w:val="0"/>
                <w:w w:val="100"/>
                <w:kern w:val="2"/>
                <w:sz w:val="18"/>
                <w:szCs w:val="18"/>
                <w:highlight w:val="none"/>
              </w:rPr>
              <w:t>对区域内的大气环境、地表水环境、地下水环境和土壤植被危害性</w:t>
            </w:r>
            <w:r>
              <w:rPr>
                <w:rFonts w:hint="eastAsia" w:ascii="Times New Roman" w:hAnsi="Times New Roman" w:eastAsia="宋体" w:cs="Times New Roman"/>
                <w:caps w:val="0"/>
                <w:smallCaps w:val="0"/>
                <w:color w:val="auto"/>
                <w:spacing w:val="0"/>
                <w:w w:val="100"/>
                <w:kern w:val="2"/>
                <w:sz w:val="18"/>
                <w:szCs w:val="18"/>
                <w:highlight w:val="none"/>
                <w:lang w:val="en-US" w:eastAsia="zh-CN"/>
              </w:rPr>
              <w:t>较</w:t>
            </w:r>
            <w:r>
              <w:rPr>
                <w:rFonts w:hint="default" w:ascii="Times New Roman" w:hAnsi="Times New Roman" w:eastAsia="宋体" w:cs="Times New Roman"/>
                <w:caps w:val="0"/>
                <w:smallCaps w:val="0"/>
                <w:color w:val="auto"/>
                <w:spacing w:val="0"/>
                <w:w w:val="100"/>
                <w:kern w:val="2"/>
                <w:sz w:val="18"/>
                <w:szCs w:val="18"/>
                <w:highlight w:val="none"/>
              </w:rPr>
              <w:t>大。在工程采取一系列风险防范措施和应急措施后，可以降低事故的发生率和事故情况下对周围环境的影响。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9286" w:type="dxa"/>
            <w:gridSpan w:val="18"/>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bidi w:val="0"/>
              <w:spacing w:line="360" w:lineRule="auto"/>
              <w:ind w:firstLine="0" w:firstLineChars="0"/>
              <w:jc w:val="left"/>
              <w:rPr>
                <w:rFonts w:hint="default" w:ascii="Times New Roman" w:hAnsi="Times New Roman" w:eastAsia="宋体" w:cs="Times New Roman"/>
                <w:caps w:val="0"/>
                <w:smallCaps w:val="0"/>
                <w:color w:val="auto"/>
                <w:spacing w:val="0"/>
                <w:w w:val="100"/>
                <w:kern w:val="2"/>
                <w:sz w:val="18"/>
                <w:szCs w:val="18"/>
                <w:highlight w:val="none"/>
              </w:rPr>
            </w:pPr>
            <w:r>
              <w:rPr>
                <w:rFonts w:hint="default" w:ascii="Times New Roman" w:hAnsi="Times New Roman" w:eastAsia="宋体" w:cs="Times New Roman"/>
                <w:caps w:val="0"/>
                <w:smallCaps w:val="0"/>
                <w:color w:val="auto"/>
                <w:spacing w:val="0"/>
                <w:w w:val="100"/>
                <w:kern w:val="2"/>
                <w:sz w:val="18"/>
                <w:szCs w:val="18"/>
                <w:highlight w:val="none"/>
              </w:rPr>
              <w:t>注：“</w:t>
            </w:r>
            <w:r>
              <w:rPr>
                <w:rFonts w:hint="default" w:ascii="Times New Roman" w:hAnsi="Times New Roman" w:eastAsia="宋体" w:cs="Times New Roman"/>
                <w:caps w:val="0"/>
                <w:smallCaps w:val="0"/>
                <w:color w:val="auto"/>
                <w:spacing w:val="0"/>
                <w:w w:val="100"/>
                <w:kern w:val="2"/>
                <w:sz w:val="18"/>
                <w:szCs w:val="18"/>
                <w:highlight w:val="none"/>
              </w:rPr>
              <w:sym w:font="Wingdings" w:char="00A8"/>
            </w:r>
            <w:r>
              <w:rPr>
                <w:rFonts w:hint="default" w:ascii="Times New Roman" w:hAnsi="Times New Roman" w:eastAsia="宋体" w:cs="Times New Roman"/>
                <w:caps w:val="0"/>
                <w:smallCaps w:val="0"/>
                <w:color w:val="auto"/>
                <w:spacing w:val="0"/>
                <w:w w:val="100"/>
                <w:kern w:val="2"/>
                <w:sz w:val="18"/>
                <w:szCs w:val="18"/>
                <w:highlight w:val="none"/>
              </w:rPr>
              <w:t>”为勾选项， “”为内容填写项</w:t>
            </w:r>
          </w:p>
        </w:tc>
      </w:tr>
    </w:tbl>
    <w:p>
      <w:pPr>
        <w:rPr>
          <w:rFonts w:hint="default"/>
          <w:color w:val="auto"/>
          <w:highlight w:val="none"/>
          <w:lang w:val="en-US" w:eastAsia="zh-CN"/>
        </w:rPr>
      </w:pPr>
      <w:r>
        <w:rPr>
          <w:rFonts w:hint="default"/>
          <w:color w:val="auto"/>
          <w:highlight w:val="none"/>
          <w:lang w:val="en-US" w:eastAsia="zh-CN"/>
        </w:rPr>
        <w:br w:type="page"/>
      </w:r>
    </w:p>
    <w:p>
      <w:pPr>
        <w:keepNext/>
        <w:keepLines/>
        <w:pageBreakBefore w:val="0"/>
        <w:widowControl w:val="0"/>
        <w:bidi w:val="0"/>
        <w:spacing w:line="360" w:lineRule="auto"/>
        <w:ind w:firstLine="0" w:firstLineChars="0"/>
        <w:jc w:val="center"/>
        <w:outlineLvl w:val="0"/>
        <w:rPr>
          <w:rFonts w:hint="default" w:ascii="Times New Roman" w:hAnsi="Times New Roman" w:eastAsia="黑体" w:cs="Times New Roman"/>
          <w:caps w:val="0"/>
          <w:smallCaps w:val="0"/>
          <w:color w:val="auto"/>
          <w:spacing w:val="0"/>
          <w:w w:val="100"/>
          <w:kern w:val="44"/>
          <w:sz w:val="24"/>
          <w:szCs w:val="30"/>
          <w:highlight w:val="none"/>
          <w:lang w:val="zh-CN"/>
        </w:rPr>
      </w:pPr>
      <w:bookmarkStart w:id="232" w:name="_Toc24623"/>
      <w:bookmarkStart w:id="233" w:name="_Toc12734"/>
      <w:r>
        <w:rPr>
          <w:rFonts w:hint="default" w:ascii="Times New Roman" w:hAnsi="Times New Roman" w:eastAsia="黑体" w:cs="Times New Roman"/>
          <w:caps w:val="0"/>
          <w:smallCaps w:val="0"/>
          <w:color w:val="auto"/>
          <w:spacing w:val="0"/>
          <w:w w:val="100"/>
          <w:kern w:val="44"/>
          <w:sz w:val="24"/>
          <w:szCs w:val="30"/>
          <w:highlight w:val="none"/>
          <w:lang w:val="zh-CN"/>
        </w:rPr>
        <w:t>附表</w:t>
      </w:r>
      <w:r>
        <w:rPr>
          <w:rFonts w:hint="eastAsia" w:ascii="Times New Roman" w:hAnsi="Times New Roman" w:eastAsia="黑体" w:cs="Times New Roman"/>
          <w:caps w:val="0"/>
          <w:smallCaps w:val="0"/>
          <w:color w:val="auto"/>
          <w:spacing w:val="0"/>
          <w:w w:val="100"/>
          <w:kern w:val="44"/>
          <w:sz w:val="24"/>
          <w:szCs w:val="30"/>
          <w:highlight w:val="none"/>
          <w:lang w:val="en-US" w:eastAsia="zh-CN"/>
        </w:rPr>
        <w:t>五</w:t>
      </w:r>
      <w:r>
        <w:rPr>
          <w:rFonts w:hint="default" w:ascii="Times New Roman" w:hAnsi="Times New Roman" w:eastAsia="黑体" w:cs="Times New Roman"/>
          <w:caps w:val="0"/>
          <w:smallCaps w:val="0"/>
          <w:color w:val="auto"/>
          <w:spacing w:val="0"/>
          <w:w w:val="100"/>
          <w:kern w:val="44"/>
          <w:sz w:val="24"/>
          <w:szCs w:val="30"/>
          <w:highlight w:val="none"/>
          <w:lang w:val="zh-CN"/>
        </w:rPr>
        <w:t xml:space="preserve">   土壤环境影响评价自查表</w:t>
      </w:r>
      <w:bookmarkEnd w:id="232"/>
      <w:bookmarkEnd w:id="233"/>
    </w:p>
    <w:tbl>
      <w:tblPr>
        <w:tblStyle w:val="19"/>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86"/>
        <w:gridCol w:w="13"/>
        <w:gridCol w:w="1814"/>
        <w:gridCol w:w="1297"/>
        <w:gridCol w:w="326"/>
        <w:gridCol w:w="1336"/>
        <w:gridCol w:w="1487"/>
        <w:gridCol w:w="253"/>
        <w:gridCol w:w="1059"/>
        <w:gridCol w:w="12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213" w:type="dxa"/>
            <w:gridSpan w:val="3"/>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工作内容</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完成情况</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86" w:type="dxa"/>
            <w:vMerge w:val="restart"/>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影像识别</w:t>
            </w:r>
          </w:p>
        </w:tc>
        <w:tc>
          <w:tcPr>
            <w:tcW w:w="1827"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影响类型</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污染影响型</w:t>
            </w:r>
            <w:r>
              <w:rPr>
                <w:rFonts w:hint="eastAsia" w:cs="Times New Roman"/>
                <w:bCs/>
                <w:caps w:val="0"/>
                <w:smallCaps w:val="0"/>
                <w:color w:val="auto"/>
                <w:spacing w:val="0"/>
                <w:w w:val="100"/>
                <w:kern w:val="2"/>
                <w:sz w:val="21"/>
                <w:szCs w:val="21"/>
                <w:highlight w:val="none"/>
                <w:lang w:eastAsia="zh-CN"/>
              </w:rPr>
              <w:t>☑</w:t>
            </w:r>
            <w:r>
              <w:rPr>
                <w:rFonts w:hint="default" w:ascii="Times New Roman" w:hAnsi="Times New Roman" w:eastAsia="宋体" w:cs="Times New Roman"/>
                <w:bCs/>
                <w:caps w:val="0"/>
                <w:smallCaps w:val="0"/>
                <w:color w:val="auto"/>
                <w:spacing w:val="0"/>
                <w:w w:val="100"/>
                <w:kern w:val="2"/>
                <w:sz w:val="21"/>
                <w:szCs w:val="21"/>
                <w:highlight w:val="none"/>
              </w:rPr>
              <w:t>；生态影响型□；两种兼有□</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86"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27"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土地利用类型</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建设用地☑；农用地</w:t>
            </w:r>
            <w:r>
              <w:rPr>
                <w:rFonts w:hint="default" w:ascii="Times New Roman" w:hAnsi="Times New Roman" w:eastAsia="MS Mincho" w:cs="Times New Roman"/>
                <w:bCs/>
                <w:caps w:val="0"/>
                <w:smallCaps w:val="0"/>
                <w:color w:val="auto"/>
                <w:spacing w:val="0"/>
                <w:w w:val="100"/>
                <w:kern w:val="2"/>
                <w:sz w:val="21"/>
                <w:szCs w:val="21"/>
                <w:highlight w:val="none"/>
              </w:rPr>
              <w:t>☑</w:t>
            </w:r>
            <w:r>
              <w:rPr>
                <w:rFonts w:hint="default" w:ascii="Times New Roman" w:hAnsi="Times New Roman" w:eastAsia="宋体" w:cs="Times New Roman"/>
                <w:bCs/>
                <w:caps w:val="0"/>
                <w:smallCaps w:val="0"/>
                <w:color w:val="auto"/>
                <w:spacing w:val="0"/>
                <w:w w:val="100"/>
                <w:kern w:val="2"/>
                <w:sz w:val="21"/>
                <w:szCs w:val="21"/>
                <w:highlight w:val="none"/>
              </w:rPr>
              <w:t>；未利用地□</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土地利用类型图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86"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27"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占地规模</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w:t>
            </w:r>
            <w:r>
              <w:rPr>
                <w:rFonts w:hint="eastAsia" w:ascii="Times New Roman" w:hAnsi="Times New Roman" w:eastAsia="宋体" w:cs="Times New Roman"/>
                <w:bCs/>
                <w:caps w:val="0"/>
                <w:smallCaps w:val="0"/>
                <w:color w:val="auto"/>
                <w:spacing w:val="0"/>
                <w:w w:val="100"/>
                <w:kern w:val="2"/>
                <w:sz w:val="21"/>
                <w:szCs w:val="21"/>
                <w:highlight w:val="none"/>
                <w:lang w:val="en-US" w:eastAsia="zh-CN"/>
              </w:rPr>
              <w:t>0.48</w:t>
            </w:r>
            <w:r>
              <w:rPr>
                <w:rFonts w:hint="default" w:ascii="Times New Roman" w:hAnsi="Times New Roman" w:eastAsia="宋体" w:cs="Times New Roman"/>
                <w:bCs/>
                <w:caps w:val="0"/>
                <w:smallCaps w:val="0"/>
                <w:color w:val="auto"/>
                <w:spacing w:val="0"/>
                <w:w w:val="100"/>
                <w:kern w:val="2"/>
                <w:sz w:val="21"/>
                <w:szCs w:val="21"/>
                <w:highlight w:val="none"/>
              </w:rPr>
              <w:t>）hm</w:t>
            </w:r>
            <w:r>
              <w:rPr>
                <w:rFonts w:hint="default" w:ascii="Times New Roman" w:hAnsi="Times New Roman" w:eastAsia="宋体" w:cs="Times New Roman"/>
                <w:bCs/>
                <w:caps w:val="0"/>
                <w:smallCaps w:val="0"/>
                <w:color w:val="auto"/>
                <w:spacing w:val="0"/>
                <w:w w:val="100"/>
                <w:kern w:val="2"/>
                <w:sz w:val="21"/>
                <w:szCs w:val="21"/>
                <w:highlight w:val="none"/>
                <w:vertAlign w:val="superscript"/>
              </w:rPr>
              <w:t>2</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86"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27"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敏感目标信息</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敏感目标（）、方位（）、距离（）</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86"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27"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影响途径</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大气沉降</w:t>
            </w:r>
            <w:r>
              <w:rPr>
                <w:rFonts w:hint="eastAsia" w:ascii="Times New Roman" w:hAnsi="Times New Roman" w:eastAsia="宋体" w:cs="Times New Roman"/>
                <w:bCs/>
                <w:caps w:val="0"/>
                <w:smallCaps w:val="0"/>
                <w:color w:val="auto"/>
                <w:spacing w:val="0"/>
                <w:w w:val="100"/>
                <w:kern w:val="2"/>
                <w:sz w:val="21"/>
                <w:szCs w:val="21"/>
                <w:highlight w:val="none"/>
                <w:lang w:eastAsia="zh-CN"/>
              </w:rPr>
              <w:t>□</w:t>
            </w:r>
            <w:r>
              <w:rPr>
                <w:rFonts w:hint="default" w:ascii="Times New Roman" w:hAnsi="Times New Roman" w:eastAsia="宋体" w:cs="Times New Roman"/>
                <w:bCs/>
                <w:caps w:val="0"/>
                <w:smallCaps w:val="0"/>
                <w:color w:val="auto"/>
                <w:spacing w:val="0"/>
                <w:w w:val="100"/>
                <w:kern w:val="2"/>
                <w:sz w:val="21"/>
                <w:szCs w:val="21"/>
                <w:highlight w:val="none"/>
              </w:rPr>
              <w:t>；地面漫流□；垂直入渗</w:t>
            </w:r>
            <w:r>
              <w:rPr>
                <w:rFonts w:hint="default" w:ascii="Times New Roman" w:hAnsi="Times New Roman" w:eastAsia="MS Mincho" w:cs="Times New Roman"/>
                <w:bCs/>
                <w:caps w:val="0"/>
                <w:smallCaps w:val="0"/>
                <w:color w:val="auto"/>
                <w:spacing w:val="0"/>
                <w:w w:val="100"/>
                <w:kern w:val="2"/>
                <w:sz w:val="21"/>
                <w:szCs w:val="21"/>
                <w:highlight w:val="none"/>
              </w:rPr>
              <w:t>☑</w:t>
            </w:r>
            <w:r>
              <w:rPr>
                <w:rFonts w:hint="default" w:ascii="Times New Roman" w:hAnsi="Times New Roman" w:eastAsia="宋体" w:cs="Times New Roman"/>
                <w:bCs/>
                <w:caps w:val="0"/>
                <w:smallCaps w:val="0"/>
                <w:color w:val="auto"/>
                <w:spacing w:val="0"/>
                <w:w w:val="100"/>
                <w:kern w:val="2"/>
                <w:sz w:val="21"/>
                <w:szCs w:val="21"/>
                <w:highlight w:val="none"/>
              </w:rPr>
              <w:t>；地下水位□；其他</w:t>
            </w:r>
            <w:r>
              <w:rPr>
                <w:rFonts w:hint="default" w:ascii="Times New Roman" w:hAnsi="Times New Roman" w:eastAsia="MS Mincho" w:cs="Times New Roman"/>
                <w:bCs/>
                <w:caps w:val="0"/>
                <w:smallCaps w:val="0"/>
                <w:color w:val="auto"/>
                <w:spacing w:val="0"/>
                <w:w w:val="100"/>
                <w:kern w:val="2"/>
                <w:sz w:val="21"/>
                <w:szCs w:val="21"/>
                <w:highlight w:val="none"/>
              </w:rPr>
              <w:t>□</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86"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27"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全部污染物</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86"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27"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特征因子</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石油烃</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86"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27"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所属土壤环境影响评价项目类别</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I类</w:t>
            </w:r>
            <w:r>
              <w:rPr>
                <w:rFonts w:hint="eastAsia" w:ascii="Times New Roman" w:hAnsi="Times New Roman" w:eastAsia="宋体" w:cs="Times New Roman"/>
                <w:bCs/>
                <w:caps w:val="0"/>
                <w:smallCaps w:val="0"/>
                <w:color w:val="auto"/>
                <w:spacing w:val="0"/>
                <w:w w:val="100"/>
                <w:kern w:val="2"/>
                <w:sz w:val="21"/>
                <w:szCs w:val="21"/>
                <w:highlight w:val="none"/>
                <w:lang w:eastAsia="zh-CN"/>
              </w:rPr>
              <w:t>□</w:t>
            </w:r>
            <w:r>
              <w:rPr>
                <w:rFonts w:hint="default" w:ascii="Times New Roman" w:hAnsi="Times New Roman" w:eastAsia="宋体" w:cs="Times New Roman"/>
                <w:bCs/>
                <w:caps w:val="0"/>
                <w:smallCaps w:val="0"/>
                <w:color w:val="auto"/>
                <w:spacing w:val="0"/>
                <w:w w:val="100"/>
                <w:kern w:val="2"/>
                <w:sz w:val="21"/>
                <w:szCs w:val="21"/>
                <w:highlight w:val="none"/>
              </w:rPr>
              <w:t>；II类</w:t>
            </w:r>
            <w:r>
              <w:rPr>
                <w:rFonts w:hint="eastAsia" w:ascii="Times New Roman" w:hAnsi="Times New Roman" w:eastAsia="宋体" w:cs="Times New Roman"/>
                <w:bCs/>
                <w:caps w:val="0"/>
                <w:smallCaps w:val="0"/>
                <w:color w:val="auto"/>
                <w:spacing w:val="0"/>
                <w:w w:val="100"/>
                <w:kern w:val="2"/>
                <w:sz w:val="21"/>
                <w:szCs w:val="21"/>
                <w:highlight w:val="none"/>
                <w:lang w:eastAsia="zh-CN"/>
              </w:rPr>
              <w:t>☑</w:t>
            </w:r>
            <w:r>
              <w:rPr>
                <w:rFonts w:hint="default" w:ascii="Times New Roman" w:hAnsi="Times New Roman" w:eastAsia="宋体" w:cs="Times New Roman"/>
                <w:bCs/>
                <w:caps w:val="0"/>
                <w:smallCaps w:val="0"/>
                <w:color w:val="auto"/>
                <w:spacing w:val="0"/>
                <w:w w:val="100"/>
                <w:kern w:val="2"/>
                <w:sz w:val="21"/>
                <w:szCs w:val="21"/>
                <w:highlight w:val="none"/>
              </w:rPr>
              <w:t>；III类□；IV类□</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86"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27"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敏感程度</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敏感</w:t>
            </w:r>
            <w:r>
              <w:rPr>
                <w:rFonts w:hint="default" w:ascii="Times New Roman" w:hAnsi="Times New Roman" w:eastAsia="MS Mincho" w:cs="Times New Roman"/>
                <w:bCs/>
                <w:caps w:val="0"/>
                <w:smallCaps w:val="0"/>
                <w:color w:val="auto"/>
                <w:spacing w:val="0"/>
                <w:w w:val="100"/>
                <w:kern w:val="2"/>
                <w:sz w:val="21"/>
                <w:szCs w:val="21"/>
                <w:highlight w:val="none"/>
              </w:rPr>
              <w:t>☑</w:t>
            </w:r>
            <w:r>
              <w:rPr>
                <w:rFonts w:hint="default" w:ascii="Times New Roman" w:hAnsi="Times New Roman" w:eastAsia="宋体" w:cs="Times New Roman"/>
                <w:bCs/>
                <w:caps w:val="0"/>
                <w:smallCaps w:val="0"/>
                <w:color w:val="auto"/>
                <w:spacing w:val="0"/>
                <w:w w:val="100"/>
                <w:kern w:val="2"/>
                <w:sz w:val="21"/>
                <w:szCs w:val="21"/>
                <w:highlight w:val="none"/>
              </w:rPr>
              <w:t>；较敏感□；不敏感□</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213" w:type="dxa"/>
            <w:gridSpan w:val="3"/>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评价工作等级</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一级</w:t>
            </w:r>
            <w:r>
              <w:rPr>
                <w:rFonts w:hint="eastAsia" w:ascii="Times New Roman" w:hAnsi="Times New Roman" w:eastAsia="宋体" w:cs="Times New Roman"/>
                <w:bCs/>
                <w:caps w:val="0"/>
                <w:smallCaps w:val="0"/>
                <w:color w:val="auto"/>
                <w:spacing w:val="0"/>
                <w:w w:val="100"/>
                <w:kern w:val="2"/>
                <w:sz w:val="21"/>
                <w:szCs w:val="21"/>
                <w:highlight w:val="none"/>
                <w:lang w:eastAsia="zh-CN"/>
              </w:rPr>
              <w:t>□</w:t>
            </w:r>
            <w:r>
              <w:rPr>
                <w:rFonts w:hint="default" w:ascii="Times New Roman" w:hAnsi="Times New Roman" w:eastAsia="宋体" w:cs="Times New Roman"/>
                <w:bCs/>
                <w:caps w:val="0"/>
                <w:smallCaps w:val="0"/>
                <w:color w:val="auto"/>
                <w:spacing w:val="0"/>
                <w:w w:val="100"/>
                <w:kern w:val="2"/>
                <w:sz w:val="21"/>
                <w:szCs w:val="21"/>
                <w:highlight w:val="none"/>
              </w:rPr>
              <w:t>；二级</w:t>
            </w:r>
            <w:r>
              <w:rPr>
                <w:rFonts w:hint="eastAsia" w:ascii="Times New Roman" w:hAnsi="Times New Roman" w:eastAsia="宋体" w:cs="Times New Roman"/>
                <w:bCs/>
                <w:caps w:val="0"/>
                <w:smallCaps w:val="0"/>
                <w:color w:val="auto"/>
                <w:spacing w:val="0"/>
                <w:w w:val="100"/>
                <w:kern w:val="2"/>
                <w:sz w:val="21"/>
                <w:szCs w:val="21"/>
                <w:highlight w:val="none"/>
                <w:lang w:eastAsia="zh-CN"/>
              </w:rPr>
              <w:t>☑</w:t>
            </w:r>
            <w:r>
              <w:rPr>
                <w:rFonts w:hint="default" w:ascii="Times New Roman" w:hAnsi="Times New Roman" w:eastAsia="宋体" w:cs="Times New Roman"/>
                <w:bCs/>
                <w:caps w:val="0"/>
                <w:smallCaps w:val="0"/>
                <w:color w:val="auto"/>
                <w:spacing w:val="0"/>
                <w:w w:val="100"/>
                <w:kern w:val="2"/>
                <w:sz w:val="21"/>
                <w:szCs w:val="21"/>
                <w:highlight w:val="none"/>
              </w:rPr>
              <w:t>；三级□</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5" w:hRule="atLeast"/>
        </w:trPr>
        <w:tc>
          <w:tcPr>
            <w:tcW w:w="399" w:type="dxa"/>
            <w:gridSpan w:val="2"/>
            <w:vMerge w:val="restart"/>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现状调查内容</w:t>
            </w: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资料收集</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理化特性</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lang w:val="en-US" w:eastAsia="zh-CN"/>
              </w:rPr>
            </w:pPr>
            <w:r>
              <w:rPr>
                <w:rFonts w:hint="default" w:ascii="Times New Roman" w:hAnsi="Times New Roman" w:eastAsia="宋体" w:cs="Times New Roman"/>
                <w:caps w:val="0"/>
                <w:smallCaps w:val="0"/>
                <w:color w:val="auto"/>
                <w:spacing w:val="0"/>
                <w:w w:val="100"/>
                <w:kern w:val="2"/>
                <w:sz w:val="21"/>
                <w:szCs w:val="20"/>
                <w:highlight w:val="none"/>
              </w:rPr>
              <w:t>见表4.2-</w:t>
            </w:r>
            <w:r>
              <w:rPr>
                <w:rFonts w:hint="eastAsia" w:ascii="Times New Roman" w:hAnsi="Times New Roman" w:eastAsia="宋体" w:cs="Times New Roman"/>
                <w:caps w:val="0"/>
                <w:smallCaps w:val="0"/>
                <w:color w:val="auto"/>
                <w:spacing w:val="0"/>
                <w:w w:val="100"/>
                <w:kern w:val="2"/>
                <w:sz w:val="21"/>
                <w:szCs w:val="20"/>
                <w:highlight w:val="none"/>
                <w:lang w:val="en-US" w:eastAsia="zh-CN"/>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vMerge w:val="restart"/>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现状监测点位</w:t>
            </w:r>
          </w:p>
        </w:tc>
        <w:tc>
          <w:tcPr>
            <w:tcW w:w="1623"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336"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占地范围内</w:t>
            </w:r>
          </w:p>
        </w:tc>
        <w:tc>
          <w:tcPr>
            <w:tcW w:w="1487"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占地范围外</w:t>
            </w:r>
          </w:p>
        </w:tc>
        <w:tc>
          <w:tcPr>
            <w:tcW w:w="1312"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深度</w:t>
            </w:r>
          </w:p>
        </w:tc>
        <w:tc>
          <w:tcPr>
            <w:tcW w:w="1261" w:type="dxa"/>
            <w:vMerge w:val="restart"/>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点位布置图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623"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表层样点数</w:t>
            </w:r>
          </w:p>
        </w:tc>
        <w:tc>
          <w:tcPr>
            <w:tcW w:w="1336"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eastAsia" w:ascii="Times New Roman" w:hAnsi="Times New Roman" w:eastAsia="宋体" w:cs="Times New Roman"/>
                <w:bCs/>
                <w:caps w:val="0"/>
                <w:smallCaps w:val="0"/>
                <w:color w:val="auto"/>
                <w:spacing w:val="0"/>
                <w:w w:val="100"/>
                <w:kern w:val="2"/>
                <w:sz w:val="21"/>
                <w:szCs w:val="21"/>
                <w:highlight w:val="none"/>
                <w:lang w:val="en-US" w:eastAsia="zh-CN"/>
              </w:rPr>
              <w:t>1</w:t>
            </w:r>
            <w:r>
              <w:rPr>
                <w:rFonts w:hint="default" w:ascii="Times New Roman" w:hAnsi="Times New Roman" w:eastAsia="宋体" w:cs="Times New Roman"/>
                <w:bCs/>
                <w:caps w:val="0"/>
                <w:smallCaps w:val="0"/>
                <w:color w:val="auto"/>
                <w:spacing w:val="0"/>
                <w:w w:val="100"/>
                <w:kern w:val="2"/>
                <w:sz w:val="21"/>
                <w:szCs w:val="21"/>
                <w:highlight w:val="none"/>
              </w:rPr>
              <w:t>个</w:t>
            </w:r>
          </w:p>
        </w:tc>
        <w:tc>
          <w:tcPr>
            <w:tcW w:w="1487"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eastAsia" w:ascii="Times New Roman" w:hAnsi="Times New Roman" w:eastAsia="宋体" w:cs="Times New Roman"/>
                <w:bCs/>
                <w:caps w:val="0"/>
                <w:smallCaps w:val="0"/>
                <w:color w:val="auto"/>
                <w:spacing w:val="0"/>
                <w:w w:val="100"/>
                <w:kern w:val="2"/>
                <w:sz w:val="21"/>
                <w:szCs w:val="21"/>
                <w:highlight w:val="none"/>
                <w:lang w:val="en-US" w:eastAsia="zh-CN"/>
              </w:rPr>
              <w:t>2</w:t>
            </w:r>
            <w:r>
              <w:rPr>
                <w:rFonts w:hint="default" w:ascii="Times New Roman" w:hAnsi="Times New Roman" w:eastAsia="宋体" w:cs="Times New Roman"/>
                <w:bCs/>
                <w:caps w:val="0"/>
                <w:smallCaps w:val="0"/>
                <w:color w:val="auto"/>
                <w:spacing w:val="0"/>
                <w:w w:val="100"/>
                <w:kern w:val="2"/>
                <w:sz w:val="21"/>
                <w:szCs w:val="21"/>
                <w:highlight w:val="none"/>
              </w:rPr>
              <w:t>个</w:t>
            </w:r>
          </w:p>
        </w:tc>
        <w:tc>
          <w:tcPr>
            <w:tcW w:w="1312"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0-0.2m</w:t>
            </w:r>
          </w:p>
        </w:tc>
        <w:tc>
          <w:tcPr>
            <w:tcW w:w="1261"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623"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柱状样点数</w:t>
            </w:r>
          </w:p>
        </w:tc>
        <w:tc>
          <w:tcPr>
            <w:tcW w:w="1336"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eastAsia" w:ascii="Times New Roman" w:hAnsi="Times New Roman" w:eastAsia="宋体" w:cs="Times New Roman"/>
                <w:bCs/>
                <w:caps w:val="0"/>
                <w:smallCaps w:val="0"/>
                <w:color w:val="auto"/>
                <w:spacing w:val="0"/>
                <w:w w:val="100"/>
                <w:kern w:val="2"/>
                <w:sz w:val="21"/>
                <w:szCs w:val="21"/>
                <w:highlight w:val="none"/>
                <w:lang w:val="en-US" w:eastAsia="zh-CN"/>
              </w:rPr>
              <w:t>3</w:t>
            </w:r>
            <w:r>
              <w:rPr>
                <w:rFonts w:hint="default" w:ascii="Times New Roman" w:hAnsi="Times New Roman" w:eastAsia="宋体" w:cs="Times New Roman"/>
                <w:bCs/>
                <w:caps w:val="0"/>
                <w:smallCaps w:val="0"/>
                <w:color w:val="auto"/>
                <w:spacing w:val="0"/>
                <w:w w:val="100"/>
                <w:kern w:val="2"/>
                <w:sz w:val="21"/>
                <w:szCs w:val="21"/>
                <w:highlight w:val="none"/>
              </w:rPr>
              <w:t>个</w:t>
            </w:r>
          </w:p>
        </w:tc>
        <w:tc>
          <w:tcPr>
            <w:tcW w:w="1487"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w:t>
            </w:r>
          </w:p>
        </w:tc>
        <w:tc>
          <w:tcPr>
            <w:tcW w:w="1312" w:type="dxa"/>
            <w:gridSpan w:val="2"/>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0-0.5m</w:t>
            </w:r>
          </w:p>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0.5-1.5m</w:t>
            </w:r>
          </w:p>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1.5-3m</w:t>
            </w:r>
          </w:p>
        </w:tc>
        <w:tc>
          <w:tcPr>
            <w:tcW w:w="1261"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现状监测因子</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GB15618、GB36600中规定的基本因子以及石油烃</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restart"/>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现状评价</w:t>
            </w: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评价因子</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GB15618、GB36600中规定的基本因子以及石油烃</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评价标准</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GB15618</w:t>
            </w:r>
            <w:r>
              <w:rPr>
                <w:rFonts w:hint="default" w:ascii="Times New Roman" w:hAnsi="Times New Roman" w:eastAsia="MS Mincho" w:cs="Times New Roman"/>
                <w:bCs/>
                <w:caps w:val="0"/>
                <w:smallCaps w:val="0"/>
                <w:color w:val="auto"/>
                <w:spacing w:val="0"/>
                <w:w w:val="100"/>
                <w:kern w:val="2"/>
                <w:sz w:val="21"/>
                <w:szCs w:val="21"/>
                <w:highlight w:val="none"/>
              </w:rPr>
              <w:t>☑</w:t>
            </w:r>
            <w:r>
              <w:rPr>
                <w:rFonts w:hint="default" w:ascii="Times New Roman" w:hAnsi="Times New Roman" w:eastAsia="宋体" w:cs="Times New Roman"/>
                <w:bCs/>
                <w:caps w:val="0"/>
                <w:smallCaps w:val="0"/>
                <w:color w:val="auto"/>
                <w:spacing w:val="0"/>
                <w:w w:val="100"/>
                <w:kern w:val="2"/>
                <w:sz w:val="21"/>
                <w:szCs w:val="21"/>
                <w:highlight w:val="none"/>
              </w:rPr>
              <w:t>；GB36600</w:t>
            </w:r>
            <w:r>
              <w:rPr>
                <w:rFonts w:hint="default" w:ascii="Times New Roman" w:hAnsi="Times New Roman" w:eastAsia="MS Mincho" w:cs="Times New Roman"/>
                <w:bCs/>
                <w:caps w:val="0"/>
                <w:smallCaps w:val="0"/>
                <w:color w:val="auto"/>
                <w:spacing w:val="0"/>
                <w:w w:val="100"/>
                <w:kern w:val="2"/>
                <w:sz w:val="21"/>
                <w:szCs w:val="21"/>
                <w:highlight w:val="none"/>
              </w:rPr>
              <w:t>☑</w:t>
            </w:r>
            <w:r>
              <w:rPr>
                <w:rFonts w:hint="default" w:ascii="Times New Roman" w:hAnsi="Times New Roman" w:eastAsia="宋体" w:cs="Times New Roman"/>
                <w:bCs/>
                <w:caps w:val="0"/>
                <w:smallCaps w:val="0"/>
                <w:color w:val="auto"/>
                <w:spacing w:val="0"/>
                <w:w w:val="100"/>
                <w:kern w:val="2"/>
                <w:sz w:val="21"/>
                <w:szCs w:val="21"/>
                <w:highlight w:val="none"/>
              </w:rPr>
              <w:t>；表D.1□；表D.2□；其他（）</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现状评价结论</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农用地中各项污染物含量均满足《土壤环境质量农用地土壤污染风险管控标准（试行）》（GB15618-2018）中标准限值，建设用地中各项污染物含量均满足《土壤环境质量建设用地土壤污染风险管控标准（试行）》（GB15618-2018）中第二类用地风险筛选值</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restart"/>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影响预测</w:t>
            </w: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预测因子</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石油烃</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预测方法</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附录E□；附录F□；其他（√）</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预测分析内容</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32"/>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影响范围（）影响程度（）</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vMerge w:val="restart"/>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预测结论</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达标结论：a）</w:t>
            </w:r>
            <w:r>
              <w:rPr>
                <w:rFonts w:hint="default" w:ascii="Times New Roman" w:hAnsi="Times New Roman" w:eastAsia="MS Mincho" w:cs="Times New Roman"/>
                <w:bCs/>
                <w:caps w:val="0"/>
                <w:smallCaps w:val="0"/>
                <w:color w:val="auto"/>
                <w:spacing w:val="0"/>
                <w:w w:val="100"/>
                <w:kern w:val="2"/>
                <w:sz w:val="21"/>
                <w:szCs w:val="21"/>
                <w:highlight w:val="none"/>
              </w:rPr>
              <w:t>☑</w:t>
            </w:r>
            <w:r>
              <w:rPr>
                <w:rFonts w:hint="default" w:ascii="Times New Roman" w:hAnsi="Times New Roman" w:eastAsia="宋体" w:cs="Times New Roman"/>
                <w:bCs/>
                <w:caps w:val="0"/>
                <w:smallCaps w:val="0"/>
                <w:color w:val="auto"/>
                <w:spacing w:val="0"/>
                <w:w w:val="100"/>
                <w:kern w:val="2"/>
                <w:sz w:val="21"/>
                <w:szCs w:val="21"/>
                <w:highlight w:val="none"/>
              </w:rPr>
              <w:t>；b）</w:t>
            </w:r>
            <w:r>
              <w:rPr>
                <w:rFonts w:hint="default" w:ascii="Times New Roman" w:hAnsi="Times New Roman" w:eastAsia="MS Mincho" w:cs="Times New Roman"/>
                <w:bCs/>
                <w:caps w:val="0"/>
                <w:smallCaps w:val="0"/>
                <w:color w:val="auto"/>
                <w:spacing w:val="0"/>
                <w:w w:val="100"/>
                <w:kern w:val="2"/>
                <w:sz w:val="21"/>
                <w:szCs w:val="21"/>
                <w:highlight w:val="none"/>
              </w:rPr>
              <w:t>□</w:t>
            </w:r>
            <w:r>
              <w:rPr>
                <w:rFonts w:hint="default" w:ascii="Times New Roman" w:hAnsi="Times New Roman" w:eastAsia="宋体" w:cs="Times New Roman"/>
                <w:bCs/>
                <w:caps w:val="0"/>
                <w:smallCaps w:val="0"/>
                <w:color w:val="auto"/>
                <w:spacing w:val="0"/>
                <w:w w:val="100"/>
                <w:kern w:val="2"/>
                <w:sz w:val="21"/>
                <w:szCs w:val="21"/>
                <w:highlight w:val="none"/>
              </w:rPr>
              <w:t>；c）</w:t>
            </w:r>
            <w:r>
              <w:rPr>
                <w:rFonts w:hint="default" w:ascii="Times New Roman" w:hAnsi="Times New Roman" w:eastAsia="MS Mincho" w:cs="Times New Roman"/>
                <w:bCs/>
                <w:caps w:val="0"/>
                <w:smallCaps w:val="0"/>
                <w:color w:val="auto"/>
                <w:spacing w:val="0"/>
                <w:w w:val="100"/>
                <w:kern w:val="2"/>
                <w:sz w:val="21"/>
                <w:szCs w:val="21"/>
                <w:highlight w:val="none"/>
              </w:rPr>
              <w:t>□</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不达标结论：a）□；b）□</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restart"/>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防治措施</w:t>
            </w: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防控措施</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土壤环境质量现状保障□；源头控制☑；过程防控☑；其他（）</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vMerge w:val="restart"/>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跟踪监测</w:t>
            </w:r>
          </w:p>
        </w:tc>
        <w:tc>
          <w:tcPr>
            <w:tcW w:w="1297"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监测点数</w:t>
            </w:r>
          </w:p>
        </w:tc>
        <w:tc>
          <w:tcPr>
            <w:tcW w:w="3402" w:type="dxa"/>
            <w:gridSpan w:val="4"/>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监测指标</w:t>
            </w:r>
          </w:p>
        </w:tc>
        <w:tc>
          <w:tcPr>
            <w:tcW w:w="1059"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监测频次</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297" w:type="dxa"/>
            <w:noWrap w:val="0"/>
            <w:vAlign w:val="center"/>
          </w:tcPr>
          <w:p>
            <w:pPr>
              <w:pageBreakBefore w:val="0"/>
              <w:widowControl w:val="0"/>
              <w:bidi w:val="0"/>
              <w:adjustRightInd w:val="0"/>
              <w:spacing w:line="360" w:lineRule="auto"/>
              <w:ind w:firstLine="0" w:firstLineChars="0"/>
              <w:jc w:val="center"/>
              <w:rPr>
                <w:rFonts w:hint="eastAsia" w:ascii="Times New Roman" w:hAnsi="Times New Roman" w:eastAsia="宋体" w:cs="Times New Roman"/>
                <w:bCs/>
                <w:caps w:val="0"/>
                <w:smallCaps w:val="0"/>
                <w:color w:val="auto"/>
                <w:spacing w:val="0"/>
                <w:w w:val="100"/>
                <w:kern w:val="2"/>
                <w:sz w:val="21"/>
                <w:szCs w:val="21"/>
                <w:highlight w:val="none"/>
                <w:lang w:eastAsia="zh-CN"/>
              </w:rPr>
            </w:pPr>
            <w:r>
              <w:rPr>
                <w:rFonts w:hint="eastAsia" w:ascii="Times New Roman" w:hAnsi="Times New Roman" w:eastAsia="宋体" w:cs="Times New Roman"/>
                <w:bCs/>
                <w:caps w:val="0"/>
                <w:smallCaps w:val="0"/>
                <w:color w:val="auto"/>
                <w:spacing w:val="0"/>
                <w:w w:val="100"/>
                <w:kern w:val="2"/>
                <w:sz w:val="21"/>
                <w:szCs w:val="21"/>
                <w:highlight w:val="none"/>
                <w:lang w:val="en-US" w:eastAsia="zh-CN"/>
              </w:rPr>
              <w:t>1</w:t>
            </w:r>
          </w:p>
        </w:tc>
        <w:tc>
          <w:tcPr>
            <w:tcW w:w="3402" w:type="dxa"/>
            <w:gridSpan w:val="4"/>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石油类、石油烃（C6～C9）、石油烃（C10～C40）、砷、六价铬</w:t>
            </w:r>
          </w:p>
        </w:tc>
        <w:tc>
          <w:tcPr>
            <w:tcW w:w="1059"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eastAsia" w:ascii="Times New Roman" w:hAnsi="Times New Roman" w:eastAsia="宋体" w:cs="Times New Roman"/>
                <w:bCs/>
                <w:caps w:val="0"/>
                <w:smallCaps w:val="0"/>
                <w:color w:val="auto"/>
                <w:spacing w:val="0"/>
                <w:w w:val="100"/>
                <w:kern w:val="2"/>
                <w:sz w:val="21"/>
                <w:szCs w:val="21"/>
                <w:highlight w:val="none"/>
                <w:lang w:val="en-US" w:eastAsia="zh-CN"/>
              </w:rPr>
              <w:t>1</w:t>
            </w:r>
            <w:r>
              <w:rPr>
                <w:rFonts w:hint="default" w:ascii="Times New Roman" w:hAnsi="Times New Roman" w:eastAsia="宋体" w:cs="Times New Roman"/>
                <w:bCs/>
                <w:caps w:val="0"/>
                <w:smallCaps w:val="0"/>
                <w:color w:val="auto"/>
                <w:spacing w:val="0"/>
                <w:w w:val="100"/>
                <w:kern w:val="2"/>
                <w:sz w:val="21"/>
                <w:szCs w:val="21"/>
                <w:highlight w:val="none"/>
              </w:rPr>
              <w:t>次/年</w:t>
            </w: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399" w:type="dxa"/>
            <w:gridSpan w:val="2"/>
            <w:vMerge w:val="continue"/>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814"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信息公开指标</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213" w:type="dxa"/>
            <w:gridSpan w:val="3"/>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评价结论</w:t>
            </w:r>
          </w:p>
        </w:tc>
        <w:tc>
          <w:tcPr>
            <w:tcW w:w="5758" w:type="dxa"/>
            <w:gridSpan w:val="6"/>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c>
          <w:tcPr>
            <w:tcW w:w="1261" w:type="dxa"/>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232" w:type="dxa"/>
            <w:gridSpan w:val="10"/>
            <w:noWrap w:val="0"/>
            <w:vAlign w:val="center"/>
          </w:tcPr>
          <w:p>
            <w:pPr>
              <w:pageBreakBefore w:val="0"/>
              <w:widowControl w:val="0"/>
              <w:bidi w:val="0"/>
              <w:adjustRightInd w:val="0"/>
              <w:spacing w:line="360" w:lineRule="auto"/>
              <w:ind w:firstLine="0" w:firstLineChars="0"/>
              <w:jc w:val="center"/>
              <w:rPr>
                <w:rFonts w:hint="default" w:ascii="Times New Roman" w:hAnsi="Times New Roman" w:eastAsia="宋体" w:cs="Times New Roman"/>
                <w:bCs/>
                <w:caps w:val="0"/>
                <w:smallCaps w:val="0"/>
                <w:color w:val="auto"/>
                <w:spacing w:val="0"/>
                <w:w w:val="100"/>
                <w:kern w:val="2"/>
                <w:sz w:val="21"/>
                <w:szCs w:val="21"/>
                <w:highlight w:val="none"/>
              </w:rPr>
            </w:pPr>
            <w:r>
              <w:rPr>
                <w:rFonts w:hint="default" w:ascii="Times New Roman" w:hAnsi="Times New Roman" w:eastAsia="宋体" w:cs="Times New Roman"/>
                <w:bCs/>
                <w:caps w:val="0"/>
                <w:smallCaps w:val="0"/>
                <w:color w:val="auto"/>
                <w:spacing w:val="0"/>
                <w:w w:val="100"/>
                <w:kern w:val="2"/>
                <w:sz w:val="21"/>
                <w:szCs w:val="21"/>
                <w:highlight w:val="none"/>
              </w:rPr>
              <w:t>注1：“□”为勾选项，可√；“（）”为内容填写项；“备注”为其他补充内容</w:t>
            </w:r>
          </w:p>
        </w:tc>
      </w:tr>
    </w:tbl>
    <w:p>
      <w:pPr>
        <w:rPr>
          <w:rFonts w:hint="default"/>
          <w:color w:val="auto"/>
          <w:highlight w:val="none"/>
          <w:lang w:val="en-US" w:eastAsia="zh-CN"/>
        </w:rPr>
      </w:pPr>
      <w:r>
        <w:rPr>
          <w:rFonts w:hint="default"/>
          <w:color w:val="auto"/>
          <w:highlight w:val="none"/>
          <w:lang w:val="en-US" w:eastAsia="zh-CN"/>
        </w:rPr>
        <w:br w:type="page"/>
      </w:r>
    </w:p>
    <w:p>
      <w:pPr>
        <w:keepNext/>
        <w:keepLines/>
        <w:pageBreakBefore w:val="0"/>
        <w:widowControl w:val="0"/>
        <w:bidi w:val="0"/>
        <w:spacing w:line="360" w:lineRule="auto"/>
        <w:ind w:firstLine="0" w:firstLineChars="0"/>
        <w:jc w:val="center"/>
        <w:outlineLvl w:val="0"/>
        <w:rPr>
          <w:rFonts w:hint="default" w:ascii="Times New Roman" w:hAnsi="Times New Roman" w:eastAsia="黑体" w:cs="Times New Roman"/>
          <w:caps w:val="0"/>
          <w:smallCaps w:val="0"/>
          <w:color w:val="auto"/>
          <w:spacing w:val="0"/>
          <w:w w:val="100"/>
          <w:kern w:val="44"/>
          <w:sz w:val="24"/>
          <w:szCs w:val="30"/>
          <w:highlight w:val="none"/>
          <w:lang w:val="zh-CN"/>
        </w:rPr>
      </w:pPr>
      <w:bookmarkStart w:id="234" w:name="_Toc24681"/>
      <w:bookmarkStart w:id="235" w:name="_Toc3149"/>
      <w:r>
        <w:rPr>
          <w:rFonts w:hint="default" w:ascii="Times New Roman" w:hAnsi="Times New Roman" w:eastAsia="黑体" w:cs="Times New Roman"/>
          <w:caps w:val="0"/>
          <w:smallCaps w:val="0"/>
          <w:color w:val="auto"/>
          <w:spacing w:val="0"/>
          <w:w w:val="100"/>
          <w:kern w:val="44"/>
          <w:sz w:val="24"/>
          <w:szCs w:val="30"/>
          <w:highlight w:val="none"/>
          <w:lang w:val="zh-CN"/>
        </w:rPr>
        <w:t>附表五   生态影响评价自查表</w:t>
      </w:r>
      <w:bookmarkEnd w:id="234"/>
      <w:bookmarkEnd w:id="235"/>
    </w:p>
    <w:tbl>
      <w:tblPr>
        <w:tblStyle w:val="19"/>
        <w:tblW w:w="5034"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886"/>
        <w:gridCol w:w="1265"/>
        <w:gridCol w:w="3137"/>
        <w:gridCol w:w="569"/>
        <w:gridCol w:w="253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1283" w:type="pct"/>
            <w:gridSpan w:val="2"/>
            <w:tcBorders>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工作内容</w:t>
            </w:r>
          </w:p>
        </w:tc>
        <w:tc>
          <w:tcPr>
            <w:tcW w:w="3716" w:type="pct"/>
            <w:gridSpan w:val="3"/>
            <w:tcBorders>
              <w:lef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自查项目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2" w:hRule="atLeast"/>
        </w:trPr>
        <w:tc>
          <w:tcPr>
            <w:tcW w:w="529" w:type="pct"/>
            <w:vMerge w:val="restart"/>
            <w:tcBorders>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生态影响识别</w:t>
            </w:r>
          </w:p>
        </w:tc>
        <w:tc>
          <w:tcPr>
            <w:tcW w:w="753" w:type="pct"/>
            <w:tcBorders>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20"/>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生态保护目标</w:t>
            </w:r>
          </w:p>
        </w:tc>
        <w:tc>
          <w:tcPr>
            <w:tcW w:w="3716" w:type="pct"/>
            <w:gridSpan w:val="3"/>
            <w:tcBorders>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both"/>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重要物种□；国家公园□；自然保护区□；自然公园□；世界自然遗产□；生态保护红线□；重要生境□；其他具有重要生态功能、对保护生物多样性具有重要意义的区域□；其他</w:t>
            </w:r>
            <w:r>
              <w:rPr>
                <w:rFonts w:hint="eastAsia" w:ascii="Times New Roman" w:hAnsi="Times New Roman" w:eastAsia="宋体" w:cs="Times New Roman"/>
                <w:color w:val="auto"/>
                <w:sz w:val="18"/>
                <w:szCs w:val="22"/>
                <w:highlight w:val="none"/>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529" w:type="pct"/>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753"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影响方式</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工程占用</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；施工活动干扰</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；改变环境条件□；其他□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12" w:hRule="atLeast"/>
        </w:trPr>
        <w:tc>
          <w:tcPr>
            <w:tcW w:w="529" w:type="pct"/>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7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评价因子</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tabs>
                <w:tab w:val="left" w:pos="3092"/>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物种</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p>
            <w:pPr>
              <w:keepNext w:val="0"/>
              <w:keepLines w:val="0"/>
              <w:pageBreakBefore w:val="0"/>
              <w:widowControl w:val="0"/>
              <w:tabs>
                <w:tab w:val="left" w:pos="3092"/>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生境□（</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p>
            <w:pPr>
              <w:keepNext w:val="0"/>
              <w:keepLines w:val="0"/>
              <w:pageBreakBefore w:val="0"/>
              <w:widowControl w:val="0"/>
              <w:tabs>
                <w:tab w:val="left" w:pos="3092"/>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生物群落□（</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p>
            <w:pPr>
              <w:keepNext w:val="0"/>
              <w:keepLines w:val="0"/>
              <w:pageBreakBefore w:val="0"/>
              <w:widowControl w:val="0"/>
              <w:tabs>
                <w:tab w:val="left" w:pos="3092"/>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生态系统</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p>
            <w:pPr>
              <w:keepNext w:val="0"/>
              <w:keepLines w:val="0"/>
              <w:pageBreakBefore w:val="0"/>
              <w:widowControl w:val="0"/>
              <w:tabs>
                <w:tab w:val="left" w:pos="3092"/>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生物多样性</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p>
            <w:pPr>
              <w:keepNext w:val="0"/>
              <w:keepLines w:val="0"/>
              <w:pageBreakBefore w:val="0"/>
              <w:widowControl w:val="0"/>
              <w:tabs>
                <w:tab w:val="left" w:pos="3092"/>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生态敏感区</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p>
            <w:pPr>
              <w:keepNext w:val="0"/>
              <w:keepLines w:val="0"/>
              <w:pageBreakBefore w:val="0"/>
              <w:widowControl w:val="0"/>
              <w:tabs>
                <w:tab w:val="left" w:pos="3092"/>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自然景观□（</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p>
            <w:pPr>
              <w:keepNext w:val="0"/>
              <w:keepLines w:val="0"/>
              <w:pageBreakBefore w:val="0"/>
              <w:widowControl w:val="0"/>
              <w:tabs>
                <w:tab w:val="left" w:pos="3092"/>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自然遗迹□（</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p>
            <w:pPr>
              <w:keepNext w:val="0"/>
              <w:keepLines w:val="0"/>
              <w:pageBreakBefore w:val="0"/>
              <w:widowControl w:val="0"/>
              <w:tabs>
                <w:tab w:val="left" w:pos="3092"/>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其他□（</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283" w:type="pct"/>
            <w:gridSpan w:val="2"/>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评价等级</w:t>
            </w:r>
          </w:p>
        </w:tc>
        <w:tc>
          <w:tcPr>
            <w:tcW w:w="1870" w:type="pct"/>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tabs>
                <w:tab w:val="left" w:pos="1471"/>
                <w:tab w:val="left" w:pos="2823"/>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en-US" w:eastAsia="zh-CN" w:bidi="zh-CN"/>
              </w:rPr>
            </w:pPr>
            <w:r>
              <w:rPr>
                <w:rFonts w:hint="default" w:ascii="Times New Roman" w:hAnsi="Times New Roman" w:eastAsia="宋体" w:cs="Times New Roman"/>
                <w:color w:val="auto"/>
                <w:sz w:val="18"/>
                <w:szCs w:val="22"/>
                <w:highlight w:val="none"/>
                <w:lang w:val="zh-CN" w:eastAsia="zh-CN" w:bidi="zh-CN"/>
              </w:rPr>
              <w:t>一级□</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z w:val="18"/>
                <w:szCs w:val="22"/>
                <w:highlight w:val="none"/>
                <w:lang w:val="zh-CN" w:eastAsia="zh-CN" w:bidi="zh-CN"/>
              </w:rPr>
              <w:t>二级□</w:t>
            </w:r>
            <w:r>
              <w:rPr>
                <w:rFonts w:hint="eastAsia" w:ascii="Times New Roman" w:hAnsi="Times New Roman" w:eastAsia="宋体" w:cs="Times New Roman"/>
                <w:color w:val="auto"/>
                <w:sz w:val="18"/>
                <w:szCs w:val="22"/>
                <w:highlight w:val="none"/>
                <w:lang w:val="en-US" w:eastAsia="zh-CN" w:bidi="zh-CN"/>
              </w:rPr>
              <w:t xml:space="preserve"> 三级</w:t>
            </w:r>
            <w:r>
              <w:rPr>
                <w:rFonts w:hint="eastAsia" w:ascii="Times New Roman" w:hAnsi="Times New Roman" w:eastAsia="宋体" w:cs="Times New Roman"/>
                <w:color w:val="auto"/>
                <w:sz w:val="18"/>
                <w:szCs w:val="22"/>
                <w:highlight w:val="none"/>
                <w:lang w:val="zh-CN" w:eastAsia="zh-CN" w:bidi="zh-CN"/>
              </w:rPr>
              <w:t>☑</w:t>
            </w:r>
          </w:p>
        </w:tc>
        <w:tc>
          <w:tcPr>
            <w:tcW w:w="339" w:type="pct"/>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tc>
        <w:tc>
          <w:tcPr>
            <w:tcW w:w="1507" w:type="pct"/>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283" w:type="pct"/>
            <w:gridSpan w:val="2"/>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评价范围</w:t>
            </w:r>
          </w:p>
        </w:tc>
        <w:tc>
          <w:tcPr>
            <w:tcW w:w="1870" w:type="pct"/>
            <w:tcBorders>
              <w:top w:val="single" w:color="000000" w:sz="4" w:space="0"/>
              <w:left w:val="single" w:color="000000" w:sz="4" w:space="0"/>
              <w:bottom w:val="single" w:color="000000" w:sz="4" w:space="0"/>
              <w:right w:val="nil"/>
            </w:tcBorders>
            <w:noWrap w:val="0"/>
            <w:vAlign w:val="top"/>
          </w:tcPr>
          <w:p>
            <w:pPr>
              <w:keepNext w:val="0"/>
              <w:keepLines w:val="0"/>
              <w:pageBreakBefore w:val="0"/>
              <w:widowControl w:val="0"/>
              <w:tabs>
                <w:tab w:val="left" w:pos="1560"/>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陆域面积</w:t>
            </w:r>
            <w:r>
              <w:rPr>
                <w:rFonts w:hint="default" w:ascii="Times New Roman" w:hAnsi="Times New Roman" w:eastAsia="宋体" w:cs="Times New Roman"/>
                <w:color w:val="auto"/>
                <w:spacing w:val="-92"/>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Times New Roman" w:cs="Times New Roman"/>
                <w:color w:val="auto"/>
                <w:spacing w:val="-2"/>
                <w:sz w:val="18"/>
                <w:szCs w:val="22"/>
                <w:highlight w:val="none"/>
                <w:lang w:val="zh-CN" w:eastAsia="zh-CN" w:bidi="zh-CN"/>
              </w:rPr>
              <w:t>k</w:t>
            </w:r>
            <w:r>
              <w:rPr>
                <w:rFonts w:hint="default" w:ascii="Times New Roman" w:hAnsi="Times New Roman" w:eastAsia="Times New Roman" w:cs="Times New Roman"/>
                <w:color w:val="auto"/>
                <w:spacing w:val="-4"/>
                <w:sz w:val="18"/>
                <w:szCs w:val="22"/>
                <w:highlight w:val="none"/>
                <w:lang w:val="zh-CN" w:eastAsia="zh-CN" w:bidi="zh-CN"/>
              </w:rPr>
              <w:t>m</w:t>
            </w:r>
            <w:r>
              <w:rPr>
                <w:rFonts w:hint="default" w:ascii="Times New Roman" w:hAnsi="Times New Roman" w:eastAsia="Times New Roman" w:cs="Times New Roman"/>
                <w:color w:val="auto"/>
                <w:w w:val="97"/>
                <w:sz w:val="18"/>
                <w:szCs w:val="22"/>
                <w:highlight w:val="none"/>
                <w:vertAlign w:val="superscript"/>
                <w:lang w:val="zh-CN" w:eastAsia="zh-CN" w:bidi="zh-CN"/>
              </w:rPr>
              <w:t>2</w:t>
            </w:r>
            <w:r>
              <w:rPr>
                <w:rFonts w:hint="default" w:ascii="Times New Roman" w:hAnsi="Times New Roman" w:eastAsia="宋体" w:cs="Times New Roman"/>
                <w:color w:val="auto"/>
                <w:sz w:val="18"/>
                <w:szCs w:val="22"/>
                <w:highlight w:val="none"/>
                <w:vertAlign w:val="baseline"/>
                <w:lang w:val="zh-CN" w:eastAsia="zh-CN" w:bidi="zh-CN"/>
              </w:rPr>
              <w:t>；水</w:t>
            </w:r>
            <w:r>
              <w:rPr>
                <w:rFonts w:hint="default" w:ascii="Times New Roman" w:hAnsi="Times New Roman" w:eastAsia="宋体" w:cs="Times New Roman"/>
                <w:color w:val="auto"/>
                <w:spacing w:val="2"/>
                <w:sz w:val="18"/>
                <w:szCs w:val="22"/>
                <w:highlight w:val="none"/>
                <w:vertAlign w:val="baseline"/>
                <w:lang w:val="zh-CN" w:eastAsia="zh-CN" w:bidi="zh-CN"/>
              </w:rPr>
              <w:t>域</w:t>
            </w:r>
            <w:r>
              <w:rPr>
                <w:rFonts w:hint="default" w:ascii="Times New Roman" w:hAnsi="Times New Roman" w:eastAsia="宋体" w:cs="Times New Roman"/>
                <w:color w:val="auto"/>
                <w:sz w:val="18"/>
                <w:szCs w:val="22"/>
                <w:highlight w:val="none"/>
                <w:vertAlign w:val="baseline"/>
                <w:lang w:val="zh-CN" w:eastAsia="zh-CN" w:bidi="zh-CN"/>
              </w:rPr>
              <w:t>面积</w:t>
            </w:r>
            <w:r>
              <w:rPr>
                <w:rFonts w:hint="default" w:ascii="Times New Roman" w:hAnsi="Times New Roman" w:eastAsia="宋体" w:cs="Times New Roman"/>
                <w:color w:val="auto"/>
                <w:spacing w:val="-92"/>
                <w:sz w:val="18"/>
                <w:szCs w:val="22"/>
                <w:highlight w:val="none"/>
                <w:vertAlign w:val="baseline"/>
                <w:lang w:val="zh-CN" w:eastAsia="zh-CN" w:bidi="zh-CN"/>
              </w:rPr>
              <w:t>：（</w:t>
            </w:r>
          </w:p>
        </w:tc>
        <w:tc>
          <w:tcPr>
            <w:tcW w:w="339" w:type="pct"/>
            <w:tcBorders>
              <w:top w:val="single" w:color="000000" w:sz="4" w:space="0"/>
              <w:left w:val="nil"/>
              <w:bottom w:val="single" w:color="000000" w:sz="4" w:space="0"/>
              <w:right w:val="nil"/>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Times New Roman"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Times New Roman" w:cs="Times New Roman"/>
                <w:color w:val="auto"/>
                <w:sz w:val="18"/>
                <w:szCs w:val="22"/>
                <w:highlight w:val="none"/>
                <w:lang w:val="zh-CN" w:eastAsia="zh-CN" w:bidi="zh-CN"/>
              </w:rPr>
              <w:t>km</w:t>
            </w:r>
            <w:r>
              <w:rPr>
                <w:rFonts w:hint="default" w:ascii="Times New Roman" w:hAnsi="Times New Roman" w:eastAsia="Times New Roman" w:cs="Times New Roman"/>
                <w:color w:val="auto"/>
                <w:sz w:val="18"/>
                <w:szCs w:val="22"/>
                <w:highlight w:val="none"/>
                <w:vertAlign w:val="superscript"/>
                <w:lang w:val="zh-CN" w:eastAsia="zh-CN" w:bidi="zh-CN"/>
              </w:rPr>
              <w:t>2</w:t>
            </w:r>
          </w:p>
        </w:tc>
        <w:tc>
          <w:tcPr>
            <w:tcW w:w="1507" w:type="pct"/>
            <w:tcBorders>
              <w:top w:val="single" w:color="000000" w:sz="4" w:space="0"/>
              <w:left w:val="nil"/>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0" w:hRule="atLeast"/>
        </w:trPr>
        <w:tc>
          <w:tcPr>
            <w:tcW w:w="529" w:type="pct"/>
            <w:vMerge w:val="restart"/>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21"/>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pacing w:val="-5"/>
                <w:sz w:val="18"/>
                <w:szCs w:val="22"/>
                <w:highlight w:val="none"/>
                <w:lang w:val="zh-CN" w:eastAsia="zh-CN" w:bidi="zh-CN"/>
              </w:rPr>
              <w:t>生态现状</w:t>
            </w:r>
            <w:r>
              <w:rPr>
                <w:rFonts w:hint="default" w:ascii="Times New Roman" w:hAnsi="Times New Roman" w:eastAsia="宋体" w:cs="Times New Roman"/>
                <w:color w:val="auto"/>
                <w:sz w:val="18"/>
                <w:szCs w:val="22"/>
                <w:highlight w:val="none"/>
                <w:lang w:val="zh-CN" w:eastAsia="zh-CN" w:bidi="zh-CN"/>
              </w:rPr>
              <w:t>调查与评价</w:t>
            </w:r>
          </w:p>
        </w:tc>
        <w:tc>
          <w:tcPr>
            <w:tcW w:w="753"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调查方法</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资料收集</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；遥感调查□；调查样方、样线□；调查点位、断面□；专家和公众咨询法□；其他□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8" w:hRule="atLeast"/>
        </w:trPr>
        <w:tc>
          <w:tcPr>
            <w:tcW w:w="529" w:type="pct"/>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753"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调查时间</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春季□；夏季</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；秋季□；冬季□ 丰水期□；枯水期□；平水期□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1" w:hRule="atLeast"/>
        </w:trPr>
        <w:tc>
          <w:tcPr>
            <w:tcW w:w="529" w:type="pct"/>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753"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所在区域的</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生态问题</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水土流失□；沙漠化□；石漠化□；盐渍化□；生物入侵□；污染危害□；其他□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7" w:hRule="atLeast"/>
        </w:trPr>
        <w:tc>
          <w:tcPr>
            <w:tcW w:w="529" w:type="pct"/>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753"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评价内容</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植被</w:t>
            </w:r>
            <w:r>
              <w:rPr>
                <w:rFonts w:hint="default" w:ascii="Times New Roman" w:hAnsi="Times New Roman" w:eastAsia="Times New Roman"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植物群落</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；土地利用</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；生态系统</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；生物多样性</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；重要物种□；生态敏感区□；其他□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529" w:type="pct"/>
            <w:vMerge w:val="restart"/>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pacing w:val="-5"/>
                <w:sz w:val="18"/>
                <w:szCs w:val="22"/>
                <w:highlight w:val="none"/>
                <w:lang w:val="zh-CN" w:eastAsia="zh-CN" w:bidi="zh-CN"/>
              </w:rPr>
              <w:t>生态影响</w:t>
            </w:r>
            <w:r>
              <w:rPr>
                <w:rFonts w:hint="default" w:ascii="Times New Roman" w:hAnsi="Times New Roman" w:eastAsia="宋体" w:cs="Times New Roman"/>
                <w:color w:val="auto"/>
                <w:sz w:val="18"/>
                <w:szCs w:val="22"/>
                <w:highlight w:val="none"/>
                <w:lang w:val="zh-CN" w:eastAsia="zh-CN" w:bidi="zh-CN"/>
              </w:rPr>
              <w:t>预测与评价</w:t>
            </w:r>
          </w:p>
        </w:tc>
        <w:tc>
          <w:tcPr>
            <w:tcW w:w="753"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评价方法</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定性</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；定性和定量□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7" w:hRule="atLeast"/>
        </w:trPr>
        <w:tc>
          <w:tcPr>
            <w:tcW w:w="529" w:type="pct"/>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753"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评价内容</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植被</w:t>
            </w:r>
            <w:r>
              <w:rPr>
                <w:rFonts w:hint="default" w:ascii="Times New Roman" w:hAnsi="Times New Roman" w:eastAsia="Times New Roman"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植物群落</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；土地利用</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；生态系统</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；生物多样性</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；重要物种□；生态敏感区□；生物入侵风险□；其他□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529" w:type="pct"/>
            <w:vMerge w:val="restart"/>
            <w:tcBorders>
              <w:top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7"/>
                <w:szCs w:val="22"/>
                <w:highlight w:val="none"/>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生态保护对策措施</w:t>
            </w:r>
          </w:p>
        </w:tc>
        <w:tc>
          <w:tcPr>
            <w:tcW w:w="753"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对策措施</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避让□；减缓□；生态修复</w:t>
            </w:r>
            <w:r>
              <w:rPr>
                <w:rFonts w:hint="default" w:ascii="Times New Roman" w:hAnsi="Times New Roman" w:eastAsia="宋体" w:cs="Times New Roman"/>
                <w:color w:val="auto"/>
                <w:sz w:val="18"/>
                <w:szCs w:val="22"/>
                <w:highlight w:val="none"/>
                <w:lang w:val="zh-CN" w:eastAsia="zh-CN" w:bidi="zh-CN"/>
              </w:rPr>
              <w:sym w:font="Wingdings 2" w:char="0052"/>
            </w:r>
            <w:r>
              <w:rPr>
                <w:rFonts w:hint="default" w:ascii="Times New Roman" w:hAnsi="Times New Roman" w:eastAsia="宋体" w:cs="Times New Roman"/>
                <w:color w:val="auto"/>
                <w:sz w:val="18"/>
                <w:szCs w:val="22"/>
                <w:highlight w:val="none"/>
                <w:lang w:val="zh-CN" w:eastAsia="zh-CN" w:bidi="zh-CN"/>
              </w:rPr>
              <w:t>；生态补偿</w:t>
            </w:r>
            <w:r>
              <w:rPr>
                <w:rFonts w:hint="default" w:ascii="Times New Roman" w:hAnsi="Times New Roman" w:eastAsia="宋体" w:cs="Times New Roman"/>
                <w:color w:val="auto"/>
                <w:sz w:val="18"/>
                <w:szCs w:val="22"/>
                <w:highlight w:val="none"/>
                <w:lang w:val="zh-CN" w:eastAsia="zh-CN" w:bidi="zh-CN"/>
              </w:rPr>
              <w:sym w:font="Wingdings 2" w:char="0052"/>
            </w:r>
            <w:r>
              <w:rPr>
                <w:rFonts w:hint="default" w:ascii="Times New Roman" w:hAnsi="Times New Roman" w:eastAsia="宋体" w:cs="Times New Roman"/>
                <w:color w:val="auto"/>
                <w:sz w:val="18"/>
                <w:szCs w:val="22"/>
                <w:highlight w:val="none"/>
                <w:lang w:val="zh-CN" w:eastAsia="zh-CN" w:bidi="zh-CN"/>
              </w:rPr>
              <w:t>；科研□；其他□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529" w:type="pct"/>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753"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生态监测计划</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全生命周期</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；长期跟踪□；常规□；无□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529" w:type="pct"/>
            <w:vMerge w:val="continue"/>
            <w:tcBorders>
              <w:top w:val="nil"/>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0" w:firstLineChars="0"/>
              <w:jc w:val="left"/>
              <w:textAlignment w:val="auto"/>
              <w:rPr>
                <w:rFonts w:hint="default" w:ascii="Times New Roman" w:hAnsi="Times New Roman" w:cs="Times New Roman"/>
                <w:color w:val="auto"/>
                <w:sz w:val="2"/>
                <w:szCs w:val="2"/>
                <w:highlight w:val="none"/>
                <w:lang w:val="zh-CN" w:bidi="zh-CN"/>
              </w:rPr>
            </w:pPr>
          </w:p>
        </w:tc>
        <w:tc>
          <w:tcPr>
            <w:tcW w:w="753"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环境管理</w:t>
            </w:r>
          </w:p>
        </w:tc>
        <w:tc>
          <w:tcPr>
            <w:tcW w:w="3716" w:type="pct"/>
            <w:gridSpan w:val="3"/>
            <w:tcBorders>
              <w:top w:val="single" w:color="000000" w:sz="4" w:space="0"/>
              <w:left w:val="single" w:color="000000" w:sz="4" w:space="0"/>
              <w:bottom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环境监理□；环境影响后评价□；其他□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529" w:type="pct"/>
            <w:tcBorders>
              <w:top w:val="single" w:color="000000" w:sz="4" w:space="0"/>
              <w:bottom w:val="single" w:color="000000" w:sz="8"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评价结论</w:t>
            </w:r>
          </w:p>
        </w:tc>
        <w:tc>
          <w:tcPr>
            <w:tcW w:w="753" w:type="pct"/>
            <w:tcBorders>
              <w:top w:val="single" w:color="000000" w:sz="4" w:space="0"/>
              <w:left w:val="single" w:color="000000" w:sz="4" w:space="0"/>
              <w:bottom w:val="single" w:color="000000" w:sz="8" w:space="0"/>
              <w:right w:val="single" w:color="000000" w:sz="4"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center"/>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生态影响</w:t>
            </w:r>
          </w:p>
        </w:tc>
        <w:tc>
          <w:tcPr>
            <w:tcW w:w="3716" w:type="pct"/>
            <w:gridSpan w:val="3"/>
            <w:tcBorders>
              <w:top w:val="single" w:color="000000" w:sz="4" w:space="0"/>
              <w:left w:val="single" w:color="000000" w:sz="4" w:space="0"/>
              <w:bottom w:val="single" w:color="000000" w:sz="8"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可行</w:t>
            </w:r>
            <w:r>
              <w:rPr>
                <w:rFonts w:hint="eastAsia"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；不可行□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5000" w:type="pct"/>
            <w:gridSpan w:val="5"/>
            <w:tcBorders>
              <w:top w:val="single" w:color="000000" w:sz="8" w:space="0"/>
            </w:tcBorders>
            <w:noWrap w:val="0"/>
            <w:vAlign w:val="top"/>
          </w:tcPr>
          <w:p>
            <w:pPr>
              <w:keepNext w:val="0"/>
              <w:keepLines w:val="0"/>
              <w:pageBreakBefore w:val="0"/>
              <w:widowControl w:val="0"/>
              <w:tabs>
                <w:tab w:val="left" w:pos="3259"/>
              </w:tabs>
              <w:kinsoku/>
              <w:wordWrap/>
              <w:overflowPunct/>
              <w:topLinePunct w:val="0"/>
              <w:autoSpaceDE w:val="0"/>
              <w:autoSpaceDN w:val="0"/>
              <w:bidi w:val="0"/>
              <w:adjustRightInd/>
              <w:snapToGrid/>
              <w:spacing w:before="0" w:after="0" w:line="360" w:lineRule="auto"/>
              <w:ind w:left="0" w:right="0" w:firstLine="0"/>
              <w:jc w:val="left"/>
              <w:textAlignment w:val="auto"/>
              <w:rPr>
                <w:rFonts w:hint="default" w:ascii="Times New Roman" w:hAnsi="Times New Roman" w:eastAsia="宋体" w:cs="Times New Roman"/>
                <w:color w:val="auto"/>
                <w:sz w:val="18"/>
                <w:szCs w:val="22"/>
                <w:highlight w:val="none"/>
                <w:lang w:val="zh-CN" w:eastAsia="zh-CN" w:bidi="zh-CN"/>
              </w:rPr>
            </w:pPr>
            <w:r>
              <w:rPr>
                <w:rFonts w:hint="default" w:ascii="Times New Roman" w:hAnsi="Times New Roman" w:eastAsia="宋体" w:cs="Times New Roman"/>
                <w:color w:val="auto"/>
                <w:sz w:val="18"/>
                <w:szCs w:val="22"/>
                <w:highlight w:val="none"/>
                <w:lang w:val="zh-CN" w:eastAsia="zh-CN" w:bidi="zh-CN"/>
              </w:rPr>
              <w:t>注：</w:t>
            </w:r>
            <w:r>
              <w:rPr>
                <w:rFonts w:hint="default" w:ascii="Times New Roman" w:hAnsi="Times New Roman" w:eastAsia="宋体" w:cs="Times New Roman"/>
                <w:color w:val="auto"/>
                <w:spacing w:val="1"/>
                <w:sz w:val="18"/>
                <w:szCs w:val="22"/>
                <w:highlight w:val="none"/>
                <w:lang w:val="zh-CN" w:eastAsia="zh-CN" w:bidi="zh-CN"/>
              </w:rPr>
              <w:t xml:space="preserve"> </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pacing w:val="1"/>
                <w:sz w:val="18"/>
                <w:szCs w:val="22"/>
                <w:highlight w:val="none"/>
                <w:lang w:val="zh-CN" w:eastAsia="zh-CN" w:bidi="zh-CN"/>
              </w:rPr>
              <w:t xml:space="preserve"> </w:t>
            </w:r>
            <w:r>
              <w:rPr>
                <w:rFonts w:hint="default" w:ascii="Times New Roman" w:hAnsi="Times New Roman" w:eastAsia="宋体" w:cs="Times New Roman"/>
                <w:color w:val="auto"/>
                <w:sz w:val="18"/>
                <w:szCs w:val="22"/>
                <w:highlight w:val="none"/>
                <w:lang w:val="zh-CN" w:eastAsia="zh-CN" w:bidi="zh-CN"/>
              </w:rPr>
              <w:t>为勾选项</w:t>
            </w:r>
            <w:r>
              <w:rPr>
                <w:rFonts w:hint="default" w:ascii="Times New Roman" w:hAnsi="Times New Roman" w:eastAsia="宋体" w:cs="Times New Roman"/>
                <w:color w:val="auto"/>
                <w:spacing w:val="1"/>
                <w:sz w:val="18"/>
                <w:szCs w:val="22"/>
                <w:highlight w:val="none"/>
                <w:lang w:val="zh-CN" w:eastAsia="zh-CN" w:bidi="zh-CN"/>
              </w:rPr>
              <w:t xml:space="preserve"> </w:t>
            </w:r>
            <w:r>
              <w:rPr>
                <w:rFonts w:hint="default" w:ascii="Times New Roman" w:hAnsi="Times New Roman" w:eastAsia="宋体" w:cs="Times New Roman"/>
                <w:color w:val="auto"/>
                <w:sz w:val="18"/>
                <w:szCs w:val="22"/>
                <w:highlight w:val="none"/>
                <w:lang w:val="zh-CN" w:eastAsia="zh-CN" w:bidi="zh-CN"/>
              </w:rPr>
              <w:t>，可√</w:t>
            </w:r>
            <w:r>
              <w:rPr>
                <w:rFonts w:hint="default" w:ascii="Times New Roman" w:hAnsi="Times New Roman" w:eastAsia="宋体" w:cs="Times New Roman"/>
                <w:color w:val="auto"/>
                <w:spacing w:val="-1"/>
                <w:sz w:val="18"/>
                <w:szCs w:val="22"/>
                <w:highlight w:val="none"/>
                <w:lang w:val="zh-CN" w:eastAsia="zh-CN" w:bidi="zh-CN"/>
              </w:rPr>
              <w:t xml:space="preserve"> </w:t>
            </w:r>
            <w:r>
              <w:rPr>
                <w:rFonts w:hint="default" w:ascii="Times New Roman" w:hAnsi="Times New Roman" w:eastAsia="宋体" w:cs="Times New Roman"/>
                <w:color w:val="auto"/>
                <w:spacing w:val="-92"/>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ab/>
            </w:r>
            <w:r>
              <w:rPr>
                <w:rFonts w:hint="default" w:ascii="Times New Roman" w:hAnsi="Times New Roman" w:eastAsia="宋体" w:cs="Times New Roman"/>
                <w:color w:val="auto"/>
                <w:spacing w:val="-92"/>
                <w:sz w:val="18"/>
                <w:szCs w:val="22"/>
                <w:highlight w:val="none"/>
                <w:lang w:val="zh-CN" w:eastAsia="zh-CN" w:bidi="zh-CN"/>
              </w:rPr>
              <w:t>）</w:t>
            </w:r>
            <w:r>
              <w:rPr>
                <w:rFonts w:hint="default" w:ascii="Times New Roman" w:hAnsi="Times New Roman" w:eastAsia="宋体" w:cs="Times New Roman"/>
                <w:color w:val="auto"/>
                <w:sz w:val="18"/>
                <w:szCs w:val="22"/>
                <w:highlight w:val="none"/>
                <w:lang w:val="zh-CN" w:eastAsia="zh-CN" w:bidi="zh-CN"/>
              </w:rPr>
              <w:t>”</w:t>
            </w:r>
            <w:r>
              <w:rPr>
                <w:rFonts w:hint="default" w:ascii="Times New Roman" w:hAnsi="Times New Roman" w:eastAsia="宋体" w:cs="Times New Roman"/>
                <w:color w:val="auto"/>
                <w:spacing w:val="1"/>
                <w:sz w:val="18"/>
                <w:szCs w:val="22"/>
                <w:highlight w:val="none"/>
                <w:lang w:val="zh-CN" w:eastAsia="zh-CN" w:bidi="zh-CN"/>
              </w:rPr>
              <w:t xml:space="preserve"> </w:t>
            </w:r>
            <w:r>
              <w:rPr>
                <w:rFonts w:hint="default" w:ascii="Times New Roman" w:hAnsi="Times New Roman" w:eastAsia="宋体" w:cs="Times New Roman"/>
                <w:color w:val="auto"/>
                <w:sz w:val="18"/>
                <w:szCs w:val="22"/>
                <w:highlight w:val="none"/>
                <w:lang w:val="zh-CN" w:eastAsia="zh-CN" w:bidi="zh-CN"/>
              </w:rPr>
              <w:t>为内容填写项。</w:t>
            </w:r>
          </w:p>
        </w:tc>
      </w:tr>
    </w:tbl>
    <w:p>
      <w:pPr>
        <w:rPr>
          <w:rFonts w:hint="default"/>
          <w:color w:val="auto"/>
          <w:highlight w:val="none"/>
          <w:lang w:val="en-US" w:eastAsia="zh-CN"/>
        </w:rPr>
      </w:pPr>
      <w:r>
        <w:rPr>
          <w:rFonts w:hint="default"/>
          <w:color w:val="auto"/>
          <w:highlight w:val="none"/>
          <w:lang w:val="en-US" w:eastAsia="zh-CN"/>
        </w:rPr>
        <w:br w:type="page"/>
      </w:r>
    </w:p>
    <w:p>
      <w:pPr>
        <w:pStyle w:val="2"/>
        <w:ind w:left="0" w:leftChars="0" w:firstLine="0" w:firstLineChars="0"/>
        <w:rPr>
          <w:rFonts w:hint="default"/>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pPr>
        <w:pStyle w:val="3"/>
        <w:ind w:left="0" w:leftChars="0" w:firstLine="0" w:firstLineChars="0"/>
        <w:rPr>
          <w:rFonts w:hint="default"/>
          <w:lang w:val="en-US" w:eastAsia="zh-CN"/>
        </w:rPr>
      </w:pPr>
      <w:r>
        <w:rPr>
          <w:rFonts w:hint="default"/>
          <w:lang w:val="en-US" w:eastAsia="zh-CN"/>
        </w:rPr>
        <w:drawing>
          <wp:inline distT="0" distB="0" distL="114300" distR="114300">
            <wp:extent cx="5220970" cy="8222615"/>
            <wp:effectExtent l="0" t="0" r="6985" b="17780"/>
            <wp:docPr id="57" name="图片 57" descr="72ec415b6baa9b4946bcab284df10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2ec415b6baa9b4946bcab284df109dd"/>
                    <pic:cNvPicPr>
                      <a:picLocks noChangeAspect="1"/>
                    </pic:cNvPicPr>
                  </pic:nvPicPr>
                  <pic:blipFill>
                    <a:blip r:embed="rId40"/>
                    <a:stretch>
                      <a:fillRect/>
                    </a:stretch>
                  </pic:blipFill>
                  <pic:spPr>
                    <a:xfrm rot="5400000">
                      <a:off x="0" y="0"/>
                      <a:ext cx="5220970" cy="8222615"/>
                    </a:xfrm>
                    <a:prstGeom prst="rect">
                      <a:avLst/>
                    </a:prstGeom>
                    <a:noFill/>
                    <a:ln>
                      <a:noFill/>
                    </a:ln>
                  </pic:spPr>
                </pic:pic>
              </a:graphicData>
            </a:graphic>
          </wp:inline>
        </w:drawing>
      </w: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3157"/>
        <w:tab w:val="clear" w:pos="4153"/>
      </w:tabs>
      <w:rPr>
        <w:rFonts w:hint="eastAsia" w:eastAsia="宋体"/>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3157"/>
        <w:tab w:val="clear" w:pos="4153"/>
      </w:tabs>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Fv9XI7AgAAcQQAAA4AAABkcnMvZTJvRG9jLnhtbK1UzY7aMBC+V+o7&#10;WL6XAKtdUU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UW/1cjsCAABxBAAADgAAAAAAAAABACAAAAAfAQAAZHJzL2Uyb0Rv&#10;Yy54bWxQSwUGAAAAAAYABgBZAQAAzAU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r>
      <w:rPr>
        <w:rFonts w:hint="eastAsia"/>
        <w:lang w:eastAsia="zh-CN"/>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9"/>
  <w:displayHorizontalDrawingGridEvery w:val="1"/>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kYTc4N2YwODM0ZTY4MGZhYWIzZDYxMWNjZDliOGYifQ=="/>
  </w:docVars>
  <w:rsids>
    <w:rsidRoot w:val="00000000"/>
    <w:rsid w:val="00022BD1"/>
    <w:rsid w:val="00081654"/>
    <w:rsid w:val="00106992"/>
    <w:rsid w:val="001E2D8E"/>
    <w:rsid w:val="001E2F52"/>
    <w:rsid w:val="003F0B8E"/>
    <w:rsid w:val="004D601E"/>
    <w:rsid w:val="004D68F8"/>
    <w:rsid w:val="004F1417"/>
    <w:rsid w:val="00564513"/>
    <w:rsid w:val="005B020B"/>
    <w:rsid w:val="006927C1"/>
    <w:rsid w:val="00732204"/>
    <w:rsid w:val="008344B6"/>
    <w:rsid w:val="00854A7B"/>
    <w:rsid w:val="009567B7"/>
    <w:rsid w:val="009A6226"/>
    <w:rsid w:val="009E58B3"/>
    <w:rsid w:val="00A8387B"/>
    <w:rsid w:val="00AE5486"/>
    <w:rsid w:val="00B84E29"/>
    <w:rsid w:val="00C3559B"/>
    <w:rsid w:val="00C56800"/>
    <w:rsid w:val="00D65F48"/>
    <w:rsid w:val="00DE5743"/>
    <w:rsid w:val="00E12589"/>
    <w:rsid w:val="01001B66"/>
    <w:rsid w:val="010132B9"/>
    <w:rsid w:val="010451AB"/>
    <w:rsid w:val="0111602F"/>
    <w:rsid w:val="012B7068"/>
    <w:rsid w:val="012F6DCB"/>
    <w:rsid w:val="013558BC"/>
    <w:rsid w:val="01463C70"/>
    <w:rsid w:val="01524B48"/>
    <w:rsid w:val="01665F71"/>
    <w:rsid w:val="017240DE"/>
    <w:rsid w:val="017C69EA"/>
    <w:rsid w:val="01811338"/>
    <w:rsid w:val="018C531F"/>
    <w:rsid w:val="01916216"/>
    <w:rsid w:val="019B2921"/>
    <w:rsid w:val="01A81D9E"/>
    <w:rsid w:val="01AC0464"/>
    <w:rsid w:val="01AE030F"/>
    <w:rsid w:val="01B023F4"/>
    <w:rsid w:val="01C601C2"/>
    <w:rsid w:val="01DA4FEC"/>
    <w:rsid w:val="01E04044"/>
    <w:rsid w:val="01EF64B6"/>
    <w:rsid w:val="0204742C"/>
    <w:rsid w:val="021753E7"/>
    <w:rsid w:val="022B52F2"/>
    <w:rsid w:val="022E44A8"/>
    <w:rsid w:val="027065D6"/>
    <w:rsid w:val="029D4529"/>
    <w:rsid w:val="02AE478C"/>
    <w:rsid w:val="02E70AC0"/>
    <w:rsid w:val="02F73FEC"/>
    <w:rsid w:val="02FC620F"/>
    <w:rsid w:val="03001DF9"/>
    <w:rsid w:val="03165668"/>
    <w:rsid w:val="031D766C"/>
    <w:rsid w:val="032A692E"/>
    <w:rsid w:val="032B2CED"/>
    <w:rsid w:val="032D31BF"/>
    <w:rsid w:val="033A2A0D"/>
    <w:rsid w:val="035C5045"/>
    <w:rsid w:val="036D26EF"/>
    <w:rsid w:val="03816C7A"/>
    <w:rsid w:val="03A85BF6"/>
    <w:rsid w:val="03B13985"/>
    <w:rsid w:val="03B60854"/>
    <w:rsid w:val="03BB7608"/>
    <w:rsid w:val="03BD390D"/>
    <w:rsid w:val="03CC5D27"/>
    <w:rsid w:val="03E939D9"/>
    <w:rsid w:val="03F51722"/>
    <w:rsid w:val="04011D9C"/>
    <w:rsid w:val="04123410"/>
    <w:rsid w:val="041D4259"/>
    <w:rsid w:val="04205325"/>
    <w:rsid w:val="04275653"/>
    <w:rsid w:val="04294F58"/>
    <w:rsid w:val="04310E7B"/>
    <w:rsid w:val="04417799"/>
    <w:rsid w:val="04544994"/>
    <w:rsid w:val="0472519F"/>
    <w:rsid w:val="047E3830"/>
    <w:rsid w:val="04810D58"/>
    <w:rsid w:val="04842AA6"/>
    <w:rsid w:val="049251C3"/>
    <w:rsid w:val="04952722"/>
    <w:rsid w:val="049D6C81"/>
    <w:rsid w:val="04B17EA3"/>
    <w:rsid w:val="04C020AE"/>
    <w:rsid w:val="04D07E2C"/>
    <w:rsid w:val="04D4275F"/>
    <w:rsid w:val="04E62E18"/>
    <w:rsid w:val="04EF3956"/>
    <w:rsid w:val="04F73278"/>
    <w:rsid w:val="04FD71D7"/>
    <w:rsid w:val="051C0A8D"/>
    <w:rsid w:val="05647814"/>
    <w:rsid w:val="05791F80"/>
    <w:rsid w:val="0582484A"/>
    <w:rsid w:val="05884BA2"/>
    <w:rsid w:val="05905187"/>
    <w:rsid w:val="05AA0535"/>
    <w:rsid w:val="05B21C23"/>
    <w:rsid w:val="05C04137"/>
    <w:rsid w:val="05C21607"/>
    <w:rsid w:val="05DE136C"/>
    <w:rsid w:val="05FC5579"/>
    <w:rsid w:val="05FE23E4"/>
    <w:rsid w:val="06167E79"/>
    <w:rsid w:val="06233BF8"/>
    <w:rsid w:val="06292F10"/>
    <w:rsid w:val="062E4A77"/>
    <w:rsid w:val="06450D30"/>
    <w:rsid w:val="06657159"/>
    <w:rsid w:val="06775342"/>
    <w:rsid w:val="0697028A"/>
    <w:rsid w:val="06AA1511"/>
    <w:rsid w:val="06C57899"/>
    <w:rsid w:val="06E127BE"/>
    <w:rsid w:val="06E76764"/>
    <w:rsid w:val="0704265D"/>
    <w:rsid w:val="070D0B30"/>
    <w:rsid w:val="07103A46"/>
    <w:rsid w:val="07183C75"/>
    <w:rsid w:val="071D4B2A"/>
    <w:rsid w:val="072365A6"/>
    <w:rsid w:val="072919FB"/>
    <w:rsid w:val="07351DE9"/>
    <w:rsid w:val="0751601C"/>
    <w:rsid w:val="075F150C"/>
    <w:rsid w:val="075F5E39"/>
    <w:rsid w:val="07644509"/>
    <w:rsid w:val="07654CCA"/>
    <w:rsid w:val="07666FDA"/>
    <w:rsid w:val="07674EB1"/>
    <w:rsid w:val="07AB012E"/>
    <w:rsid w:val="07BA67B1"/>
    <w:rsid w:val="07D5339B"/>
    <w:rsid w:val="07DB5B40"/>
    <w:rsid w:val="07E520B5"/>
    <w:rsid w:val="0801687C"/>
    <w:rsid w:val="080A1514"/>
    <w:rsid w:val="081A339A"/>
    <w:rsid w:val="08242A95"/>
    <w:rsid w:val="082E197B"/>
    <w:rsid w:val="083422A4"/>
    <w:rsid w:val="084939BD"/>
    <w:rsid w:val="084E3F07"/>
    <w:rsid w:val="084F09BE"/>
    <w:rsid w:val="085E2A09"/>
    <w:rsid w:val="085E6EED"/>
    <w:rsid w:val="086B7EE6"/>
    <w:rsid w:val="087D580D"/>
    <w:rsid w:val="087D5A11"/>
    <w:rsid w:val="087E0041"/>
    <w:rsid w:val="088553AB"/>
    <w:rsid w:val="08905BA0"/>
    <w:rsid w:val="08A91FE3"/>
    <w:rsid w:val="08AD7C99"/>
    <w:rsid w:val="08B31224"/>
    <w:rsid w:val="08D21B08"/>
    <w:rsid w:val="08DC2356"/>
    <w:rsid w:val="08E259ED"/>
    <w:rsid w:val="08E41D65"/>
    <w:rsid w:val="08EF118D"/>
    <w:rsid w:val="08F22466"/>
    <w:rsid w:val="09091E10"/>
    <w:rsid w:val="09181829"/>
    <w:rsid w:val="09434992"/>
    <w:rsid w:val="095B59D1"/>
    <w:rsid w:val="095E6556"/>
    <w:rsid w:val="095F1802"/>
    <w:rsid w:val="09717ADB"/>
    <w:rsid w:val="09732581"/>
    <w:rsid w:val="097523A0"/>
    <w:rsid w:val="09796057"/>
    <w:rsid w:val="09BC63DC"/>
    <w:rsid w:val="09DB4F16"/>
    <w:rsid w:val="0A331955"/>
    <w:rsid w:val="0A340AE9"/>
    <w:rsid w:val="0A553E45"/>
    <w:rsid w:val="0A5570C3"/>
    <w:rsid w:val="0A5A56A6"/>
    <w:rsid w:val="0A693B63"/>
    <w:rsid w:val="0A740CC1"/>
    <w:rsid w:val="0A7D1BC1"/>
    <w:rsid w:val="0A7D6919"/>
    <w:rsid w:val="0A7E5203"/>
    <w:rsid w:val="0A803E88"/>
    <w:rsid w:val="0A867F26"/>
    <w:rsid w:val="0AAF1847"/>
    <w:rsid w:val="0ABB2680"/>
    <w:rsid w:val="0ABE3350"/>
    <w:rsid w:val="0AC669F9"/>
    <w:rsid w:val="0ADA6E4C"/>
    <w:rsid w:val="0AE054AB"/>
    <w:rsid w:val="0AE54DF4"/>
    <w:rsid w:val="0AEF6651"/>
    <w:rsid w:val="0AF938F6"/>
    <w:rsid w:val="0AFC0872"/>
    <w:rsid w:val="0B132B1C"/>
    <w:rsid w:val="0B1B369C"/>
    <w:rsid w:val="0B2367D5"/>
    <w:rsid w:val="0B26315C"/>
    <w:rsid w:val="0B3A2FF8"/>
    <w:rsid w:val="0B5D0627"/>
    <w:rsid w:val="0B5E31FB"/>
    <w:rsid w:val="0B6F0958"/>
    <w:rsid w:val="0B8503B4"/>
    <w:rsid w:val="0B8F617F"/>
    <w:rsid w:val="0BA2713F"/>
    <w:rsid w:val="0BA852CC"/>
    <w:rsid w:val="0BB4713C"/>
    <w:rsid w:val="0BC5416A"/>
    <w:rsid w:val="0BC97CD3"/>
    <w:rsid w:val="0BD0108C"/>
    <w:rsid w:val="0BD22464"/>
    <w:rsid w:val="0BE9107E"/>
    <w:rsid w:val="0BF17834"/>
    <w:rsid w:val="0C0337A4"/>
    <w:rsid w:val="0C0E0F76"/>
    <w:rsid w:val="0C213BB5"/>
    <w:rsid w:val="0C3C4634"/>
    <w:rsid w:val="0C4A6FC7"/>
    <w:rsid w:val="0C522BF5"/>
    <w:rsid w:val="0C5821E5"/>
    <w:rsid w:val="0C6455F9"/>
    <w:rsid w:val="0C744C0B"/>
    <w:rsid w:val="0C927091"/>
    <w:rsid w:val="0C943AA2"/>
    <w:rsid w:val="0C9B0117"/>
    <w:rsid w:val="0C9F0ADE"/>
    <w:rsid w:val="0CB13A3E"/>
    <w:rsid w:val="0CC50E80"/>
    <w:rsid w:val="0CCD6674"/>
    <w:rsid w:val="0CD077E1"/>
    <w:rsid w:val="0CD362C5"/>
    <w:rsid w:val="0CDD09AE"/>
    <w:rsid w:val="0D045E82"/>
    <w:rsid w:val="0D0F4ED6"/>
    <w:rsid w:val="0D15095B"/>
    <w:rsid w:val="0D226C3D"/>
    <w:rsid w:val="0D4A7718"/>
    <w:rsid w:val="0D7A0D99"/>
    <w:rsid w:val="0D814D2E"/>
    <w:rsid w:val="0D917E5B"/>
    <w:rsid w:val="0D9A44EF"/>
    <w:rsid w:val="0D9D5CCB"/>
    <w:rsid w:val="0DB37EE2"/>
    <w:rsid w:val="0DC0318D"/>
    <w:rsid w:val="0DC60CF4"/>
    <w:rsid w:val="0DC97C18"/>
    <w:rsid w:val="0DCA2A4D"/>
    <w:rsid w:val="0DCE291C"/>
    <w:rsid w:val="0DE025A6"/>
    <w:rsid w:val="0DE95727"/>
    <w:rsid w:val="0DE95856"/>
    <w:rsid w:val="0DF06BAE"/>
    <w:rsid w:val="0E0E6AF5"/>
    <w:rsid w:val="0E122ED0"/>
    <w:rsid w:val="0E230C39"/>
    <w:rsid w:val="0E232E17"/>
    <w:rsid w:val="0E2846A5"/>
    <w:rsid w:val="0E3117A1"/>
    <w:rsid w:val="0E380553"/>
    <w:rsid w:val="0E5863D0"/>
    <w:rsid w:val="0E5B1964"/>
    <w:rsid w:val="0E8828C9"/>
    <w:rsid w:val="0E943B55"/>
    <w:rsid w:val="0EA751EE"/>
    <w:rsid w:val="0EBE6916"/>
    <w:rsid w:val="0EC63E70"/>
    <w:rsid w:val="0EDC3A56"/>
    <w:rsid w:val="0EE501B8"/>
    <w:rsid w:val="0EEE140B"/>
    <w:rsid w:val="0EF84603"/>
    <w:rsid w:val="0EFB20DA"/>
    <w:rsid w:val="0F220EF1"/>
    <w:rsid w:val="0F225395"/>
    <w:rsid w:val="0F24110D"/>
    <w:rsid w:val="0F273ECF"/>
    <w:rsid w:val="0F5E5AE8"/>
    <w:rsid w:val="0F65224A"/>
    <w:rsid w:val="0F6A303E"/>
    <w:rsid w:val="0F7B2C92"/>
    <w:rsid w:val="0F916077"/>
    <w:rsid w:val="0F956BB6"/>
    <w:rsid w:val="0FA52239"/>
    <w:rsid w:val="0FAC6704"/>
    <w:rsid w:val="0FB250A1"/>
    <w:rsid w:val="0FBF234C"/>
    <w:rsid w:val="0FC85B1E"/>
    <w:rsid w:val="0FCB3FB4"/>
    <w:rsid w:val="0FCC498E"/>
    <w:rsid w:val="0FF048E1"/>
    <w:rsid w:val="10174160"/>
    <w:rsid w:val="105B74F3"/>
    <w:rsid w:val="1062740E"/>
    <w:rsid w:val="107E7938"/>
    <w:rsid w:val="10806817"/>
    <w:rsid w:val="1086720B"/>
    <w:rsid w:val="108B1A67"/>
    <w:rsid w:val="109828BB"/>
    <w:rsid w:val="10A20FB0"/>
    <w:rsid w:val="10AC5B2F"/>
    <w:rsid w:val="10B3587A"/>
    <w:rsid w:val="10B97124"/>
    <w:rsid w:val="10C33301"/>
    <w:rsid w:val="10C61728"/>
    <w:rsid w:val="10D70872"/>
    <w:rsid w:val="10D97499"/>
    <w:rsid w:val="10E82B08"/>
    <w:rsid w:val="10F12ACC"/>
    <w:rsid w:val="11095671"/>
    <w:rsid w:val="111A581C"/>
    <w:rsid w:val="111E456B"/>
    <w:rsid w:val="112124C1"/>
    <w:rsid w:val="11272C1A"/>
    <w:rsid w:val="112B018C"/>
    <w:rsid w:val="112B0DC3"/>
    <w:rsid w:val="112D2477"/>
    <w:rsid w:val="11302D5C"/>
    <w:rsid w:val="11307256"/>
    <w:rsid w:val="114C4CE5"/>
    <w:rsid w:val="116A3E8A"/>
    <w:rsid w:val="11741DA7"/>
    <w:rsid w:val="11752C0E"/>
    <w:rsid w:val="11867E5D"/>
    <w:rsid w:val="11997A82"/>
    <w:rsid w:val="11C12EBF"/>
    <w:rsid w:val="11C37E2D"/>
    <w:rsid w:val="11DD217B"/>
    <w:rsid w:val="11E254E5"/>
    <w:rsid w:val="11E73996"/>
    <w:rsid w:val="12050F42"/>
    <w:rsid w:val="120F6395"/>
    <w:rsid w:val="12174F59"/>
    <w:rsid w:val="122924D4"/>
    <w:rsid w:val="12315A3D"/>
    <w:rsid w:val="123E55CD"/>
    <w:rsid w:val="123F67F5"/>
    <w:rsid w:val="124067B2"/>
    <w:rsid w:val="12466341"/>
    <w:rsid w:val="12486EC1"/>
    <w:rsid w:val="12587168"/>
    <w:rsid w:val="126A1B5C"/>
    <w:rsid w:val="126B2884"/>
    <w:rsid w:val="127A3E77"/>
    <w:rsid w:val="127D01B8"/>
    <w:rsid w:val="12826F99"/>
    <w:rsid w:val="129D4534"/>
    <w:rsid w:val="12A21BF2"/>
    <w:rsid w:val="12B014B1"/>
    <w:rsid w:val="12B52357"/>
    <w:rsid w:val="12B6683A"/>
    <w:rsid w:val="12B86353"/>
    <w:rsid w:val="12B96010"/>
    <w:rsid w:val="12BD7CFE"/>
    <w:rsid w:val="12C276B1"/>
    <w:rsid w:val="12D31205"/>
    <w:rsid w:val="12DE6CAE"/>
    <w:rsid w:val="12EF3A0C"/>
    <w:rsid w:val="12FF06F4"/>
    <w:rsid w:val="13196663"/>
    <w:rsid w:val="13281F8E"/>
    <w:rsid w:val="133149E8"/>
    <w:rsid w:val="133628A7"/>
    <w:rsid w:val="134B2CFC"/>
    <w:rsid w:val="134B32D5"/>
    <w:rsid w:val="134B71F7"/>
    <w:rsid w:val="135A0648"/>
    <w:rsid w:val="138242EC"/>
    <w:rsid w:val="139A1ED3"/>
    <w:rsid w:val="139A2609"/>
    <w:rsid w:val="139D62CF"/>
    <w:rsid w:val="13A078F1"/>
    <w:rsid w:val="13A504BC"/>
    <w:rsid w:val="13AD0903"/>
    <w:rsid w:val="13B642FE"/>
    <w:rsid w:val="13EB54F9"/>
    <w:rsid w:val="13F65598"/>
    <w:rsid w:val="1410325B"/>
    <w:rsid w:val="141164F6"/>
    <w:rsid w:val="14657626"/>
    <w:rsid w:val="14683AEE"/>
    <w:rsid w:val="148408C1"/>
    <w:rsid w:val="148926AC"/>
    <w:rsid w:val="148B3890"/>
    <w:rsid w:val="14950E6A"/>
    <w:rsid w:val="14AF514A"/>
    <w:rsid w:val="14D141CB"/>
    <w:rsid w:val="14DA49C1"/>
    <w:rsid w:val="14DC2CD6"/>
    <w:rsid w:val="14E272A0"/>
    <w:rsid w:val="14E44445"/>
    <w:rsid w:val="14E56EB1"/>
    <w:rsid w:val="14EC0437"/>
    <w:rsid w:val="151353C3"/>
    <w:rsid w:val="15197EAA"/>
    <w:rsid w:val="154C425F"/>
    <w:rsid w:val="154D25EA"/>
    <w:rsid w:val="15575333"/>
    <w:rsid w:val="15645A04"/>
    <w:rsid w:val="156814F3"/>
    <w:rsid w:val="158365BF"/>
    <w:rsid w:val="15976724"/>
    <w:rsid w:val="15993D7F"/>
    <w:rsid w:val="15A06322"/>
    <w:rsid w:val="15A87E7A"/>
    <w:rsid w:val="15B97F07"/>
    <w:rsid w:val="15D078F9"/>
    <w:rsid w:val="15D54F0F"/>
    <w:rsid w:val="15D80814"/>
    <w:rsid w:val="15EE4557"/>
    <w:rsid w:val="15F01DDF"/>
    <w:rsid w:val="15FB55F2"/>
    <w:rsid w:val="16164C75"/>
    <w:rsid w:val="16243222"/>
    <w:rsid w:val="16302179"/>
    <w:rsid w:val="163E5980"/>
    <w:rsid w:val="16476F85"/>
    <w:rsid w:val="165F2B47"/>
    <w:rsid w:val="16673084"/>
    <w:rsid w:val="167A3D60"/>
    <w:rsid w:val="169B0F30"/>
    <w:rsid w:val="16A56F42"/>
    <w:rsid w:val="16AE5B13"/>
    <w:rsid w:val="16B03B35"/>
    <w:rsid w:val="16C240F4"/>
    <w:rsid w:val="16CE50F1"/>
    <w:rsid w:val="16EC3373"/>
    <w:rsid w:val="16ED6288"/>
    <w:rsid w:val="170148F1"/>
    <w:rsid w:val="17022B61"/>
    <w:rsid w:val="170B54AD"/>
    <w:rsid w:val="17100A02"/>
    <w:rsid w:val="17271215"/>
    <w:rsid w:val="173D6915"/>
    <w:rsid w:val="174175CE"/>
    <w:rsid w:val="17486F9B"/>
    <w:rsid w:val="174A7F44"/>
    <w:rsid w:val="174D7DA7"/>
    <w:rsid w:val="175E69A5"/>
    <w:rsid w:val="1762650E"/>
    <w:rsid w:val="17783960"/>
    <w:rsid w:val="177A3AB7"/>
    <w:rsid w:val="178869F9"/>
    <w:rsid w:val="17886AF5"/>
    <w:rsid w:val="178A2347"/>
    <w:rsid w:val="178C784F"/>
    <w:rsid w:val="17B943BD"/>
    <w:rsid w:val="17C16766"/>
    <w:rsid w:val="17C31746"/>
    <w:rsid w:val="17CF6476"/>
    <w:rsid w:val="17CF6DA0"/>
    <w:rsid w:val="17DA34BD"/>
    <w:rsid w:val="17F12CF3"/>
    <w:rsid w:val="18016734"/>
    <w:rsid w:val="180B5A71"/>
    <w:rsid w:val="18184885"/>
    <w:rsid w:val="181A0A1C"/>
    <w:rsid w:val="18380573"/>
    <w:rsid w:val="183C6AF8"/>
    <w:rsid w:val="18574147"/>
    <w:rsid w:val="185D03D3"/>
    <w:rsid w:val="186C142F"/>
    <w:rsid w:val="1876405C"/>
    <w:rsid w:val="188D00C2"/>
    <w:rsid w:val="18B42547"/>
    <w:rsid w:val="18E41886"/>
    <w:rsid w:val="18E80CA3"/>
    <w:rsid w:val="18EF49EF"/>
    <w:rsid w:val="18FC0F9D"/>
    <w:rsid w:val="191111FC"/>
    <w:rsid w:val="1921265B"/>
    <w:rsid w:val="1922362F"/>
    <w:rsid w:val="19260253"/>
    <w:rsid w:val="192D1C36"/>
    <w:rsid w:val="19410B0E"/>
    <w:rsid w:val="195051E7"/>
    <w:rsid w:val="195728BE"/>
    <w:rsid w:val="195C5DF6"/>
    <w:rsid w:val="196640D0"/>
    <w:rsid w:val="19687860"/>
    <w:rsid w:val="197F1306"/>
    <w:rsid w:val="19816293"/>
    <w:rsid w:val="198F1879"/>
    <w:rsid w:val="19925EF3"/>
    <w:rsid w:val="19B117EF"/>
    <w:rsid w:val="19B62313"/>
    <w:rsid w:val="19C1115F"/>
    <w:rsid w:val="19DA0390"/>
    <w:rsid w:val="19E80F89"/>
    <w:rsid w:val="19E868F3"/>
    <w:rsid w:val="19EC71FD"/>
    <w:rsid w:val="19ED43C7"/>
    <w:rsid w:val="19F5712E"/>
    <w:rsid w:val="1A04207E"/>
    <w:rsid w:val="1A2D60DA"/>
    <w:rsid w:val="1A2F0966"/>
    <w:rsid w:val="1A3E6F6D"/>
    <w:rsid w:val="1A626AD9"/>
    <w:rsid w:val="1A644AB4"/>
    <w:rsid w:val="1A6920F4"/>
    <w:rsid w:val="1A826A90"/>
    <w:rsid w:val="1A8B7891"/>
    <w:rsid w:val="1AB32536"/>
    <w:rsid w:val="1AC03F0D"/>
    <w:rsid w:val="1AD335A1"/>
    <w:rsid w:val="1AD66850"/>
    <w:rsid w:val="1AD932F6"/>
    <w:rsid w:val="1ADB0B77"/>
    <w:rsid w:val="1AE654C9"/>
    <w:rsid w:val="1AEE2B6C"/>
    <w:rsid w:val="1AF277CF"/>
    <w:rsid w:val="1B120CB0"/>
    <w:rsid w:val="1B203464"/>
    <w:rsid w:val="1B230C79"/>
    <w:rsid w:val="1B2628EB"/>
    <w:rsid w:val="1B401424"/>
    <w:rsid w:val="1B445D5D"/>
    <w:rsid w:val="1B494D39"/>
    <w:rsid w:val="1B577A36"/>
    <w:rsid w:val="1B666345"/>
    <w:rsid w:val="1B771EA7"/>
    <w:rsid w:val="1B7F050B"/>
    <w:rsid w:val="1B870B75"/>
    <w:rsid w:val="1B887C14"/>
    <w:rsid w:val="1B9B090D"/>
    <w:rsid w:val="1BA76EBE"/>
    <w:rsid w:val="1BBC2EB5"/>
    <w:rsid w:val="1BDE58DF"/>
    <w:rsid w:val="1BDE669C"/>
    <w:rsid w:val="1BE428CB"/>
    <w:rsid w:val="1BF32B7B"/>
    <w:rsid w:val="1BF46D94"/>
    <w:rsid w:val="1C061141"/>
    <w:rsid w:val="1C065F0E"/>
    <w:rsid w:val="1C0D4CD7"/>
    <w:rsid w:val="1C2D7604"/>
    <w:rsid w:val="1C306FEC"/>
    <w:rsid w:val="1C35495A"/>
    <w:rsid w:val="1C3D1800"/>
    <w:rsid w:val="1C492974"/>
    <w:rsid w:val="1C4C35D7"/>
    <w:rsid w:val="1C597F1C"/>
    <w:rsid w:val="1C5F19D6"/>
    <w:rsid w:val="1C66296E"/>
    <w:rsid w:val="1C6B61C2"/>
    <w:rsid w:val="1C8D6788"/>
    <w:rsid w:val="1C8F6A79"/>
    <w:rsid w:val="1C9640F3"/>
    <w:rsid w:val="1C990E53"/>
    <w:rsid w:val="1C9970FA"/>
    <w:rsid w:val="1C9D42AD"/>
    <w:rsid w:val="1CA24DC3"/>
    <w:rsid w:val="1CA424D5"/>
    <w:rsid w:val="1CA94820"/>
    <w:rsid w:val="1CAA0881"/>
    <w:rsid w:val="1CB40EDB"/>
    <w:rsid w:val="1CD11C05"/>
    <w:rsid w:val="1CE56C4B"/>
    <w:rsid w:val="1D10469E"/>
    <w:rsid w:val="1D1111BB"/>
    <w:rsid w:val="1D1C6539"/>
    <w:rsid w:val="1D297145"/>
    <w:rsid w:val="1D362FC9"/>
    <w:rsid w:val="1D374356"/>
    <w:rsid w:val="1D3A7CD0"/>
    <w:rsid w:val="1D430F6E"/>
    <w:rsid w:val="1D5367D1"/>
    <w:rsid w:val="1D614705"/>
    <w:rsid w:val="1D615C7E"/>
    <w:rsid w:val="1D617DEC"/>
    <w:rsid w:val="1D656883"/>
    <w:rsid w:val="1D79498D"/>
    <w:rsid w:val="1D913BB8"/>
    <w:rsid w:val="1D9456B0"/>
    <w:rsid w:val="1D9546FF"/>
    <w:rsid w:val="1DA67191"/>
    <w:rsid w:val="1DCC0038"/>
    <w:rsid w:val="1DCC309C"/>
    <w:rsid w:val="1DE63A32"/>
    <w:rsid w:val="1DFB50CA"/>
    <w:rsid w:val="1E1050C0"/>
    <w:rsid w:val="1E105C3C"/>
    <w:rsid w:val="1E1862E1"/>
    <w:rsid w:val="1E1C3BAB"/>
    <w:rsid w:val="1E283589"/>
    <w:rsid w:val="1E2A5821"/>
    <w:rsid w:val="1E375254"/>
    <w:rsid w:val="1E3D19DA"/>
    <w:rsid w:val="1E491587"/>
    <w:rsid w:val="1E4A5D97"/>
    <w:rsid w:val="1E63121F"/>
    <w:rsid w:val="1E6B73A1"/>
    <w:rsid w:val="1E7456E8"/>
    <w:rsid w:val="1E7D1AC6"/>
    <w:rsid w:val="1E832B63"/>
    <w:rsid w:val="1E851BB1"/>
    <w:rsid w:val="1E971CD0"/>
    <w:rsid w:val="1EAB2010"/>
    <w:rsid w:val="1EAE00DE"/>
    <w:rsid w:val="1EB12D29"/>
    <w:rsid w:val="1EB34921"/>
    <w:rsid w:val="1EC04C47"/>
    <w:rsid w:val="1ED85471"/>
    <w:rsid w:val="1ED938D2"/>
    <w:rsid w:val="1EE317E5"/>
    <w:rsid w:val="1F091D9A"/>
    <w:rsid w:val="1F1D146F"/>
    <w:rsid w:val="1F3D32C2"/>
    <w:rsid w:val="1F4E5D32"/>
    <w:rsid w:val="1F626B9C"/>
    <w:rsid w:val="1F871C17"/>
    <w:rsid w:val="1F880941"/>
    <w:rsid w:val="1F906BCA"/>
    <w:rsid w:val="1F923E71"/>
    <w:rsid w:val="1FA070B6"/>
    <w:rsid w:val="1FAE2E58"/>
    <w:rsid w:val="1FB2746D"/>
    <w:rsid w:val="1FB9730F"/>
    <w:rsid w:val="1FC10A48"/>
    <w:rsid w:val="1FE93925"/>
    <w:rsid w:val="1FF72FD2"/>
    <w:rsid w:val="1FF77FCD"/>
    <w:rsid w:val="2001683B"/>
    <w:rsid w:val="200563F1"/>
    <w:rsid w:val="200978C3"/>
    <w:rsid w:val="200E0056"/>
    <w:rsid w:val="20124FB2"/>
    <w:rsid w:val="202048C4"/>
    <w:rsid w:val="203B74FB"/>
    <w:rsid w:val="203C6565"/>
    <w:rsid w:val="2065170F"/>
    <w:rsid w:val="20781906"/>
    <w:rsid w:val="207E61A3"/>
    <w:rsid w:val="20866ED0"/>
    <w:rsid w:val="20887022"/>
    <w:rsid w:val="20934552"/>
    <w:rsid w:val="20992297"/>
    <w:rsid w:val="20A07AEE"/>
    <w:rsid w:val="20A07B20"/>
    <w:rsid w:val="20A30A9B"/>
    <w:rsid w:val="20B7775D"/>
    <w:rsid w:val="20BC2DC4"/>
    <w:rsid w:val="20BC3EDA"/>
    <w:rsid w:val="20C10471"/>
    <w:rsid w:val="20E348F3"/>
    <w:rsid w:val="21294AB3"/>
    <w:rsid w:val="21326193"/>
    <w:rsid w:val="21384685"/>
    <w:rsid w:val="21424E4B"/>
    <w:rsid w:val="21442F49"/>
    <w:rsid w:val="214D6B5B"/>
    <w:rsid w:val="215C7B8A"/>
    <w:rsid w:val="21646B78"/>
    <w:rsid w:val="21667BC7"/>
    <w:rsid w:val="217575A6"/>
    <w:rsid w:val="21903749"/>
    <w:rsid w:val="21A757BF"/>
    <w:rsid w:val="21AE1594"/>
    <w:rsid w:val="21BC1A8B"/>
    <w:rsid w:val="21C53DCE"/>
    <w:rsid w:val="21DF2155"/>
    <w:rsid w:val="21E022E1"/>
    <w:rsid w:val="21ED3D22"/>
    <w:rsid w:val="21F368A9"/>
    <w:rsid w:val="221327CF"/>
    <w:rsid w:val="22194A4C"/>
    <w:rsid w:val="221A55CD"/>
    <w:rsid w:val="221D1B3A"/>
    <w:rsid w:val="22211C5A"/>
    <w:rsid w:val="2221328A"/>
    <w:rsid w:val="22315A2A"/>
    <w:rsid w:val="22335D6C"/>
    <w:rsid w:val="22400062"/>
    <w:rsid w:val="224551CB"/>
    <w:rsid w:val="224717BC"/>
    <w:rsid w:val="22667CBE"/>
    <w:rsid w:val="227B6E3E"/>
    <w:rsid w:val="227D5FFA"/>
    <w:rsid w:val="22CF2BFE"/>
    <w:rsid w:val="22D23BD0"/>
    <w:rsid w:val="22EF3388"/>
    <w:rsid w:val="22F504E6"/>
    <w:rsid w:val="230B683A"/>
    <w:rsid w:val="23275398"/>
    <w:rsid w:val="2329664D"/>
    <w:rsid w:val="232D474B"/>
    <w:rsid w:val="2341526C"/>
    <w:rsid w:val="23495C23"/>
    <w:rsid w:val="235225D2"/>
    <w:rsid w:val="235333F9"/>
    <w:rsid w:val="2361461D"/>
    <w:rsid w:val="23664F04"/>
    <w:rsid w:val="236877EC"/>
    <w:rsid w:val="237139BE"/>
    <w:rsid w:val="23747613"/>
    <w:rsid w:val="23775858"/>
    <w:rsid w:val="238D217D"/>
    <w:rsid w:val="23912BA6"/>
    <w:rsid w:val="23940028"/>
    <w:rsid w:val="23956F10"/>
    <w:rsid w:val="239A54B3"/>
    <w:rsid w:val="239C7197"/>
    <w:rsid w:val="23A139DA"/>
    <w:rsid w:val="23C60192"/>
    <w:rsid w:val="23C6233B"/>
    <w:rsid w:val="23CC4733"/>
    <w:rsid w:val="23D176D2"/>
    <w:rsid w:val="23D2200C"/>
    <w:rsid w:val="23D26F32"/>
    <w:rsid w:val="23DC7842"/>
    <w:rsid w:val="23F61D9E"/>
    <w:rsid w:val="240A30BF"/>
    <w:rsid w:val="24103F52"/>
    <w:rsid w:val="24215F33"/>
    <w:rsid w:val="242231EE"/>
    <w:rsid w:val="24226165"/>
    <w:rsid w:val="242343C7"/>
    <w:rsid w:val="24361E02"/>
    <w:rsid w:val="243C2254"/>
    <w:rsid w:val="243F4B11"/>
    <w:rsid w:val="2442432B"/>
    <w:rsid w:val="244A1156"/>
    <w:rsid w:val="245411E8"/>
    <w:rsid w:val="24630A91"/>
    <w:rsid w:val="247C6E9E"/>
    <w:rsid w:val="248979E0"/>
    <w:rsid w:val="249441E7"/>
    <w:rsid w:val="24A43919"/>
    <w:rsid w:val="24A93B72"/>
    <w:rsid w:val="24B35650"/>
    <w:rsid w:val="24B65F3B"/>
    <w:rsid w:val="24D258A5"/>
    <w:rsid w:val="24D740D4"/>
    <w:rsid w:val="24DD5B8E"/>
    <w:rsid w:val="24E448BB"/>
    <w:rsid w:val="24EA0CBC"/>
    <w:rsid w:val="24F34606"/>
    <w:rsid w:val="24FE77F3"/>
    <w:rsid w:val="2500362B"/>
    <w:rsid w:val="2503745F"/>
    <w:rsid w:val="25051822"/>
    <w:rsid w:val="2518398C"/>
    <w:rsid w:val="252C41B1"/>
    <w:rsid w:val="252F03A3"/>
    <w:rsid w:val="25310FEB"/>
    <w:rsid w:val="25390C6D"/>
    <w:rsid w:val="253D1785"/>
    <w:rsid w:val="253F72D0"/>
    <w:rsid w:val="25501E1D"/>
    <w:rsid w:val="25550627"/>
    <w:rsid w:val="25566D9C"/>
    <w:rsid w:val="256516E0"/>
    <w:rsid w:val="2565400E"/>
    <w:rsid w:val="256A67A4"/>
    <w:rsid w:val="25703B0A"/>
    <w:rsid w:val="258C0623"/>
    <w:rsid w:val="258D6706"/>
    <w:rsid w:val="25956469"/>
    <w:rsid w:val="259A75DB"/>
    <w:rsid w:val="25AB5994"/>
    <w:rsid w:val="25B216C4"/>
    <w:rsid w:val="25BD1FE8"/>
    <w:rsid w:val="25C96113"/>
    <w:rsid w:val="25CE035B"/>
    <w:rsid w:val="25DB6D23"/>
    <w:rsid w:val="25E360F8"/>
    <w:rsid w:val="25E92A4B"/>
    <w:rsid w:val="26000619"/>
    <w:rsid w:val="2609642C"/>
    <w:rsid w:val="261235E6"/>
    <w:rsid w:val="2628108B"/>
    <w:rsid w:val="2646191E"/>
    <w:rsid w:val="264E77B2"/>
    <w:rsid w:val="2650632F"/>
    <w:rsid w:val="26551754"/>
    <w:rsid w:val="265E3F5B"/>
    <w:rsid w:val="26605650"/>
    <w:rsid w:val="26683A34"/>
    <w:rsid w:val="26735D21"/>
    <w:rsid w:val="267E58D9"/>
    <w:rsid w:val="2685337C"/>
    <w:rsid w:val="2698203F"/>
    <w:rsid w:val="26AF313E"/>
    <w:rsid w:val="26D63859"/>
    <w:rsid w:val="26E41E5C"/>
    <w:rsid w:val="26FE003E"/>
    <w:rsid w:val="27054872"/>
    <w:rsid w:val="27117C19"/>
    <w:rsid w:val="271213BB"/>
    <w:rsid w:val="271A002E"/>
    <w:rsid w:val="272373C0"/>
    <w:rsid w:val="272C056F"/>
    <w:rsid w:val="27363AB4"/>
    <w:rsid w:val="27402404"/>
    <w:rsid w:val="274A3D27"/>
    <w:rsid w:val="275239BD"/>
    <w:rsid w:val="275636A4"/>
    <w:rsid w:val="275A646F"/>
    <w:rsid w:val="275C6AAB"/>
    <w:rsid w:val="276709BA"/>
    <w:rsid w:val="27684CB5"/>
    <w:rsid w:val="27706BF2"/>
    <w:rsid w:val="277125BE"/>
    <w:rsid w:val="27887C1D"/>
    <w:rsid w:val="279951C5"/>
    <w:rsid w:val="279978A1"/>
    <w:rsid w:val="27A34FD2"/>
    <w:rsid w:val="27AC6CA1"/>
    <w:rsid w:val="27B17D40"/>
    <w:rsid w:val="27B242E7"/>
    <w:rsid w:val="27B33019"/>
    <w:rsid w:val="27BC04C8"/>
    <w:rsid w:val="27DF39CB"/>
    <w:rsid w:val="27FA4F46"/>
    <w:rsid w:val="280B37BA"/>
    <w:rsid w:val="280D5B8F"/>
    <w:rsid w:val="28135739"/>
    <w:rsid w:val="281A7247"/>
    <w:rsid w:val="281E28E3"/>
    <w:rsid w:val="28276C37"/>
    <w:rsid w:val="28447CD2"/>
    <w:rsid w:val="284952E9"/>
    <w:rsid w:val="284B72B3"/>
    <w:rsid w:val="284B72D1"/>
    <w:rsid w:val="28503F73"/>
    <w:rsid w:val="285945DE"/>
    <w:rsid w:val="285F7233"/>
    <w:rsid w:val="28702113"/>
    <w:rsid w:val="2874680A"/>
    <w:rsid w:val="28831186"/>
    <w:rsid w:val="288F0E6A"/>
    <w:rsid w:val="289335D2"/>
    <w:rsid w:val="28943FB7"/>
    <w:rsid w:val="28975084"/>
    <w:rsid w:val="28A03B72"/>
    <w:rsid w:val="28BD625D"/>
    <w:rsid w:val="28BE407E"/>
    <w:rsid w:val="28D077EB"/>
    <w:rsid w:val="28D40E54"/>
    <w:rsid w:val="28D570AE"/>
    <w:rsid w:val="28D82F98"/>
    <w:rsid w:val="29072B7B"/>
    <w:rsid w:val="290745CC"/>
    <w:rsid w:val="29153B76"/>
    <w:rsid w:val="291F4DC4"/>
    <w:rsid w:val="29241954"/>
    <w:rsid w:val="29332D86"/>
    <w:rsid w:val="29432D11"/>
    <w:rsid w:val="29514DA8"/>
    <w:rsid w:val="295E440C"/>
    <w:rsid w:val="295F5274"/>
    <w:rsid w:val="29627627"/>
    <w:rsid w:val="29657F00"/>
    <w:rsid w:val="29676621"/>
    <w:rsid w:val="298B0594"/>
    <w:rsid w:val="298D4CC0"/>
    <w:rsid w:val="29B5431E"/>
    <w:rsid w:val="29C47565"/>
    <w:rsid w:val="29C560F4"/>
    <w:rsid w:val="29C81478"/>
    <w:rsid w:val="29C87F1D"/>
    <w:rsid w:val="29D47A98"/>
    <w:rsid w:val="29D74F98"/>
    <w:rsid w:val="29DF352C"/>
    <w:rsid w:val="29E67F0F"/>
    <w:rsid w:val="29F8480D"/>
    <w:rsid w:val="29F97C59"/>
    <w:rsid w:val="2A182F66"/>
    <w:rsid w:val="2A1F7E34"/>
    <w:rsid w:val="2A2869B0"/>
    <w:rsid w:val="2A302299"/>
    <w:rsid w:val="2A3A505E"/>
    <w:rsid w:val="2A4D62B4"/>
    <w:rsid w:val="2A4E01C2"/>
    <w:rsid w:val="2A577BC2"/>
    <w:rsid w:val="2A842639"/>
    <w:rsid w:val="2A9860B3"/>
    <w:rsid w:val="2A9D2A82"/>
    <w:rsid w:val="2AAE58D7"/>
    <w:rsid w:val="2ACA0963"/>
    <w:rsid w:val="2AD26D74"/>
    <w:rsid w:val="2AD61967"/>
    <w:rsid w:val="2AF05C05"/>
    <w:rsid w:val="2AF83194"/>
    <w:rsid w:val="2B061E32"/>
    <w:rsid w:val="2B061E72"/>
    <w:rsid w:val="2B0B7174"/>
    <w:rsid w:val="2B22031C"/>
    <w:rsid w:val="2B312367"/>
    <w:rsid w:val="2B3C6B3E"/>
    <w:rsid w:val="2B5C7135"/>
    <w:rsid w:val="2B5E540C"/>
    <w:rsid w:val="2B757007"/>
    <w:rsid w:val="2B7677FC"/>
    <w:rsid w:val="2B7E06E4"/>
    <w:rsid w:val="2BA979B1"/>
    <w:rsid w:val="2BB41676"/>
    <w:rsid w:val="2BCA6741"/>
    <w:rsid w:val="2BD05397"/>
    <w:rsid w:val="2BD12855"/>
    <w:rsid w:val="2BDA4B92"/>
    <w:rsid w:val="2BDE3F9A"/>
    <w:rsid w:val="2BE27F2E"/>
    <w:rsid w:val="2BEF6108"/>
    <w:rsid w:val="2C0521ED"/>
    <w:rsid w:val="2C2A1339"/>
    <w:rsid w:val="2C2B4BF7"/>
    <w:rsid w:val="2C2C177A"/>
    <w:rsid w:val="2C5A3F68"/>
    <w:rsid w:val="2C6320C0"/>
    <w:rsid w:val="2C7B7B25"/>
    <w:rsid w:val="2C874F6F"/>
    <w:rsid w:val="2C8F66B8"/>
    <w:rsid w:val="2CA40D8B"/>
    <w:rsid w:val="2CA91E8E"/>
    <w:rsid w:val="2CAD1E3D"/>
    <w:rsid w:val="2CB56D90"/>
    <w:rsid w:val="2CB74433"/>
    <w:rsid w:val="2CD757E2"/>
    <w:rsid w:val="2CEF5816"/>
    <w:rsid w:val="2D0A7E84"/>
    <w:rsid w:val="2D0B7C88"/>
    <w:rsid w:val="2D0C3CE8"/>
    <w:rsid w:val="2D0F11D9"/>
    <w:rsid w:val="2D1D6564"/>
    <w:rsid w:val="2D48680A"/>
    <w:rsid w:val="2D4C797B"/>
    <w:rsid w:val="2D597CE1"/>
    <w:rsid w:val="2D5E5392"/>
    <w:rsid w:val="2D5F445B"/>
    <w:rsid w:val="2D632E5C"/>
    <w:rsid w:val="2D67693D"/>
    <w:rsid w:val="2D7745C4"/>
    <w:rsid w:val="2D8A3547"/>
    <w:rsid w:val="2D923A18"/>
    <w:rsid w:val="2DA42C0C"/>
    <w:rsid w:val="2DB04579"/>
    <w:rsid w:val="2DB462FC"/>
    <w:rsid w:val="2DB476A8"/>
    <w:rsid w:val="2DBB3B6E"/>
    <w:rsid w:val="2DD14613"/>
    <w:rsid w:val="2DE62E71"/>
    <w:rsid w:val="2DE914DA"/>
    <w:rsid w:val="2DF2667B"/>
    <w:rsid w:val="2E057444"/>
    <w:rsid w:val="2E07419A"/>
    <w:rsid w:val="2E1221D5"/>
    <w:rsid w:val="2E1A0D63"/>
    <w:rsid w:val="2E343DB9"/>
    <w:rsid w:val="2E3C1F5A"/>
    <w:rsid w:val="2E425CD9"/>
    <w:rsid w:val="2E435915"/>
    <w:rsid w:val="2E493CAB"/>
    <w:rsid w:val="2E544B59"/>
    <w:rsid w:val="2E655ADE"/>
    <w:rsid w:val="2E68697C"/>
    <w:rsid w:val="2E8157DC"/>
    <w:rsid w:val="2E8A3DE3"/>
    <w:rsid w:val="2E8E4CE9"/>
    <w:rsid w:val="2E91731A"/>
    <w:rsid w:val="2ECC47F0"/>
    <w:rsid w:val="2ECF4A9C"/>
    <w:rsid w:val="2EE60E9E"/>
    <w:rsid w:val="2EE66344"/>
    <w:rsid w:val="2EEA5313"/>
    <w:rsid w:val="2EF312C6"/>
    <w:rsid w:val="2EF33663"/>
    <w:rsid w:val="2EF47248"/>
    <w:rsid w:val="2EFB430D"/>
    <w:rsid w:val="2EFF4953"/>
    <w:rsid w:val="2F025547"/>
    <w:rsid w:val="2F136972"/>
    <w:rsid w:val="2F1539D7"/>
    <w:rsid w:val="2F160EEA"/>
    <w:rsid w:val="2F3A1EE0"/>
    <w:rsid w:val="2F430CE4"/>
    <w:rsid w:val="2F486A3A"/>
    <w:rsid w:val="2F487DBF"/>
    <w:rsid w:val="2F494525"/>
    <w:rsid w:val="2F57598F"/>
    <w:rsid w:val="2F602451"/>
    <w:rsid w:val="2F6B1FE9"/>
    <w:rsid w:val="2F723377"/>
    <w:rsid w:val="2F8222CE"/>
    <w:rsid w:val="2F947594"/>
    <w:rsid w:val="2F9C6C2E"/>
    <w:rsid w:val="2FA3253D"/>
    <w:rsid w:val="2FC43030"/>
    <w:rsid w:val="2FCE2CA3"/>
    <w:rsid w:val="2FCE7BC2"/>
    <w:rsid w:val="2FDB4900"/>
    <w:rsid w:val="300C37CC"/>
    <w:rsid w:val="30180837"/>
    <w:rsid w:val="301B768C"/>
    <w:rsid w:val="30212840"/>
    <w:rsid w:val="302C1778"/>
    <w:rsid w:val="30487D22"/>
    <w:rsid w:val="30533F4A"/>
    <w:rsid w:val="3057062A"/>
    <w:rsid w:val="30580DF6"/>
    <w:rsid w:val="305A0290"/>
    <w:rsid w:val="305A7E44"/>
    <w:rsid w:val="305C6585"/>
    <w:rsid w:val="30730E37"/>
    <w:rsid w:val="307E11F2"/>
    <w:rsid w:val="308D3A8B"/>
    <w:rsid w:val="30912F30"/>
    <w:rsid w:val="30A06B24"/>
    <w:rsid w:val="30B17ECF"/>
    <w:rsid w:val="30BC1800"/>
    <w:rsid w:val="30C0199D"/>
    <w:rsid w:val="30C710C0"/>
    <w:rsid w:val="30CC0187"/>
    <w:rsid w:val="30E71077"/>
    <w:rsid w:val="30EC63CF"/>
    <w:rsid w:val="30ED2EDF"/>
    <w:rsid w:val="30FF2EAD"/>
    <w:rsid w:val="31243DB1"/>
    <w:rsid w:val="31282FB6"/>
    <w:rsid w:val="312C3C9C"/>
    <w:rsid w:val="31364987"/>
    <w:rsid w:val="3143321D"/>
    <w:rsid w:val="314A4554"/>
    <w:rsid w:val="3159763D"/>
    <w:rsid w:val="31674509"/>
    <w:rsid w:val="316B51DF"/>
    <w:rsid w:val="317433D6"/>
    <w:rsid w:val="3176461F"/>
    <w:rsid w:val="317B787B"/>
    <w:rsid w:val="318D4E05"/>
    <w:rsid w:val="31934188"/>
    <w:rsid w:val="319F44BB"/>
    <w:rsid w:val="31A4364D"/>
    <w:rsid w:val="31A70C60"/>
    <w:rsid w:val="31B25F26"/>
    <w:rsid w:val="31B30944"/>
    <w:rsid w:val="31C8561D"/>
    <w:rsid w:val="31DD21A9"/>
    <w:rsid w:val="31EF02E2"/>
    <w:rsid w:val="31F67EDC"/>
    <w:rsid w:val="31FF6ED3"/>
    <w:rsid w:val="32097519"/>
    <w:rsid w:val="320B28C2"/>
    <w:rsid w:val="32100EC2"/>
    <w:rsid w:val="32250B75"/>
    <w:rsid w:val="32254C77"/>
    <w:rsid w:val="322555EA"/>
    <w:rsid w:val="32353B90"/>
    <w:rsid w:val="323E45BD"/>
    <w:rsid w:val="324218CF"/>
    <w:rsid w:val="32521FA8"/>
    <w:rsid w:val="32544FB6"/>
    <w:rsid w:val="325D6B12"/>
    <w:rsid w:val="32634685"/>
    <w:rsid w:val="326A5BCD"/>
    <w:rsid w:val="32747CCE"/>
    <w:rsid w:val="327A771B"/>
    <w:rsid w:val="3284187F"/>
    <w:rsid w:val="32984A3C"/>
    <w:rsid w:val="329B369F"/>
    <w:rsid w:val="32A14FD9"/>
    <w:rsid w:val="32A77E08"/>
    <w:rsid w:val="32C40510"/>
    <w:rsid w:val="32CD6F61"/>
    <w:rsid w:val="32CF3C2F"/>
    <w:rsid w:val="32D27F4B"/>
    <w:rsid w:val="32DC17A7"/>
    <w:rsid w:val="32DD31FD"/>
    <w:rsid w:val="32EB3559"/>
    <w:rsid w:val="3304258B"/>
    <w:rsid w:val="33057AA5"/>
    <w:rsid w:val="33190CEE"/>
    <w:rsid w:val="331C24AB"/>
    <w:rsid w:val="331D27D5"/>
    <w:rsid w:val="33355846"/>
    <w:rsid w:val="334F51CD"/>
    <w:rsid w:val="3355633D"/>
    <w:rsid w:val="33635700"/>
    <w:rsid w:val="33647AF5"/>
    <w:rsid w:val="33686F6B"/>
    <w:rsid w:val="33962290"/>
    <w:rsid w:val="33AF5350"/>
    <w:rsid w:val="33BD268F"/>
    <w:rsid w:val="33CD151A"/>
    <w:rsid w:val="33CF0E73"/>
    <w:rsid w:val="33DC625B"/>
    <w:rsid w:val="33E23337"/>
    <w:rsid w:val="33E411CC"/>
    <w:rsid w:val="33E47C04"/>
    <w:rsid w:val="33F0543E"/>
    <w:rsid w:val="33FD604E"/>
    <w:rsid w:val="33FF3C40"/>
    <w:rsid w:val="340F28FE"/>
    <w:rsid w:val="34110C26"/>
    <w:rsid w:val="341669C7"/>
    <w:rsid w:val="341C3E29"/>
    <w:rsid w:val="34205944"/>
    <w:rsid w:val="342C4F9D"/>
    <w:rsid w:val="34551496"/>
    <w:rsid w:val="3458015E"/>
    <w:rsid w:val="34612A9B"/>
    <w:rsid w:val="346C7CD4"/>
    <w:rsid w:val="347328D8"/>
    <w:rsid w:val="348240B1"/>
    <w:rsid w:val="348F1BDE"/>
    <w:rsid w:val="3491636D"/>
    <w:rsid w:val="34B12734"/>
    <w:rsid w:val="34C74D5B"/>
    <w:rsid w:val="34CE54F3"/>
    <w:rsid w:val="34D436AF"/>
    <w:rsid w:val="34D507EF"/>
    <w:rsid w:val="34DB19BE"/>
    <w:rsid w:val="34DC02E5"/>
    <w:rsid w:val="34EB1C02"/>
    <w:rsid w:val="34EB788B"/>
    <w:rsid w:val="34F463B5"/>
    <w:rsid w:val="35044A71"/>
    <w:rsid w:val="350C2E6E"/>
    <w:rsid w:val="351C6E87"/>
    <w:rsid w:val="351E132B"/>
    <w:rsid w:val="35515D6F"/>
    <w:rsid w:val="35596C7B"/>
    <w:rsid w:val="35625CB1"/>
    <w:rsid w:val="35780FBB"/>
    <w:rsid w:val="357E524C"/>
    <w:rsid w:val="357F3F0D"/>
    <w:rsid w:val="358838F4"/>
    <w:rsid w:val="358C417C"/>
    <w:rsid w:val="35A156BB"/>
    <w:rsid w:val="35BF6C87"/>
    <w:rsid w:val="35C45D5A"/>
    <w:rsid w:val="35C96809"/>
    <w:rsid w:val="35D5640E"/>
    <w:rsid w:val="35D83DD9"/>
    <w:rsid w:val="35E96975"/>
    <w:rsid w:val="35EE67A8"/>
    <w:rsid w:val="35EF56A7"/>
    <w:rsid w:val="35FD01EF"/>
    <w:rsid w:val="36032041"/>
    <w:rsid w:val="36175D84"/>
    <w:rsid w:val="361A43FC"/>
    <w:rsid w:val="36321A91"/>
    <w:rsid w:val="36347C65"/>
    <w:rsid w:val="36385A86"/>
    <w:rsid w:val="36413487"/>
    <w:rsid w:val="36520082"/>
    <w:rsid w:val="367409DC"/>
    <w:rsid w:val="367D7A8E"/>
    <w:rsid w:val="36806F5E"/>
    <w:rsid w:val="368D09BB"/>
    <w:rsid w:val="36973959"/>
    <w:rsid w:val="36997C54"/>
    <w:rsid w:val="369E4A52"/>
    <w:rsid w:val="36A26B39"/>
    <w:rsid w:val="36A4650C"/>
    <w:rsid w:val="36A75FFC"/>
    <w:rsid w:val="36AA7C9A"/>
    <w:rsid w:val="36C841D0"/>
    <w:rsid w:val="36CE35E4"/>
    <w:rsid w:val="36DB0B66"/>
    <w:rsid w:val="36EC1BAF"/>
    <w:rsid w:val="36F823B4"/>
    <w:rsid w:val="36F9731B"/>
    <w:rsid w:val="3705164D"/>
    <w:rsid w:val="371814DD"/>
    <w:rsid w:val="3747215A"/>
    <w:rsid w:val="376A0B9F"/>
    <w:rsid w:val="37724681"/>
    <w:rsid w:val="377C7721"/>
    <w:rsid w:val="37876305"/>
    <w:rsid w:val="37946837"/>
    <w:rsid w:val="37A14BDC"/>
    <w:rsid w:val="37A33083"/>
    <w:rsid w:val="37A54A03"/>
    <w:rsid w:val="37AF33BA"/>
    <w:rsid w:val="37BA68D2"/>
    <w:rsid w:val="37BD09EA"/>
    <w:rsid w:val="37E34BD0"/>
    <w:rsid w:val="37EE2D9F"/>
    <w:rsid w:val="37F4701F"/>
    <w:rsid w:val="381724E2"/>
    <w:rsid w:val="381B5805"/>
    <w:rsid w:val="381F2DB3"/>
    <w:rsid w:val="38402264"/>
    <w:rsid w:val="384026DF"/>
    <w:rsid w:val="38585341"/>
    <w:rsid w:val="386F0A61"/>
    <w:rsid w:val="388447EB"/>
    <w:rsid w:val="38871C41"/>
    <w:rsid w:val="388A1009"/>
    <w:rsid w:val="3895301B"/>
    <w:rsid w:val="389B30A7"/>
    <w:rsid w:val="389B73A2"/>
    <w:rsid w:val="38A12B6E"/>
    <w:rsid w:val="38B01D9A"/>
    <w:rsid w:val="38BF1E2B"/>
    <w:rsid w:val="38F5580F"/>
    <w:rsid w:val="38F829E3"/>
    <w:rsid w:val="39222A02"/>
    <w:rsid w:val="393D6CAC"/>
    <w:rsid w:val="3948655B"/>
    <w:rsid w:val="394C46CD"/>
    <w:rsid w:val="3965549C"/>
    <w:rsid w:val="39685B45"/>
    <w:rsid w:val="398228E9"/>
    <w:rsid w:val="398269A0"/>
    <w:rsid w:val="398E0DAD"/>
    <w:rsid w:val="39A03105"/>
    <w:rsid w:val="39B11FAC"/>
    <w:rsid w:val="39BA0A66"/>
    <w:rsid w:val="39C0617C"/>
    <w:rsid w:val="39D074D6"/>
    <w:rsid w:val="39D76B40"/>
    <w:rsid w:val="39E12B6A"/>
    <w:rsid w:val="3A070207"/>
    <w:rsid w:val="3A07111A"/>
    <w:rsid w:val="3A0952C1"/>
    <w:rsid w:val="3A2C2CB0"/>
    <w:rsid w:val="3A3301DF"/>
    <w:rsid w:val="3A4B7556"/>
    <w:rsid w:val="3A630E60"/>
    <w:rsid w:val="3A682C56"/>
    <w:rsid w:val="3A6854CC"/>
    <w:rsid w:val="3A6947C3"/>
    <w:rsid w:val="3A786573"/>
    <w:rsid w:val="3A7E7337"/>
    <w:rsid w:val="3A8A3559"/>
    <w:rsid w:val="3A9935D0"/>
    <w:rsid w:val="3A9E4E7D"/>
    <w:rsid w:val="3AA34CF9"/>
    <w:rsid w:val="3AA56888"/>
    <w:rsid w:val="3AAA1C17"/>
    <w:rsid w:val="3AD57AD7"/>
    <w:rsid w:val="3AD830A3"/>
    <w:rsid w:val="3ADE3A4D"/>
    <w:rsid w:val="3B44358E"/>
    <w:rsid w:val="3B521418"/>
    <w:rsid w:val="3B62551E"/>
    <w:rsid w:val="3B8102A9"/>
    <w:rsid w:val="3BA46A22"/>
    <w:rsid w:val="3BB80C52"/>
    <w:rsid w:val="3BC60459"/>
    <w:rsid w:val="3BDD426E"/>
    <w:rsid w:val="3BE3722B"/>
    <w:rsid w:val="3BF27E3F"/>
    <w:rsid w:val="3BF640E7"/>
    <w:rsid w:val="3BFC2147"/>
    <w:rsid w:val="3C073006"/>
    <w:rsid w:val="3C0E4427"/>
    <w:rsid w:val="3C1E3282"/>
    <w:rsid w:val="3C1E41B5"/>
    <w:rsid w:val="3C373913"/>
    <w:rsid w:val="3C3D5B90"/>
    <w:rsid w:val="3C3F2833"/>
    <w:rsid w:val="3C465AB3"/>
    <w:rsid w:val="3C645466"/>
    <w:rsid w:val="3C94056A"/>
    <w:rsid w:val="3C9A5CBB"/>
    <w:rsid w:val="3CA5728D"/>
    <w:rsid w:val="3CA677AE"/>
    <w:rsid w:val="3CA848B7"/>
    <w:rsid w:val="3CA90103"/>
    <w:rsid w:val="3CBA0168"/>
    <w:rsid w:val="3CBD5CF5"/>
    <w:rsid w:val="3CD36CF2"/>
    <w:rsid w:val="3CDE3DFA"/>
    <w:rsid w:val="3CE27DA1"/>
    <w:rsid w:val="3CE91AC5"/>
    <w:rsid w:val="3CE93947"/>
    <w:rsid w:val="3CF3407A"/>
    <w:rsid w:val="3CFE65DA"/>
    <w:rsid w:val="3CFF7179"/>
    <w:rsid w:val="3D0D191F"/>
    <w:rsid w:val="3D163594"/>
    <w:rsid w:val="3D167058"/>
    <w:rsid w:val="3D1A7C4A"/>
    <w:rsid w:val="3D3E1D0B"/>
    <w:rsid w:val="3D4202FA"/>
    <w:rsid w:val="3D472DE0"/>
    <w:rsid w:val="3D7B429B"/>
    <w:rsid w:val="3D8E430B"/>
    <w:rsid w:val="3D992977"/>
    <w:rsid w:val="3DAF5796"/>
    <w:rsid w:val="3DB57385"/>
    <w:rsid w:val="3DC56568"/>
    <w:rsid w:val="3DE11DF4"/>
    <w:rsid w:val="3DE55091"/>
    <w:rsid w:val="3DEC68DB"/>
    <w:rsid w:val="3DFE3CE3"/>
    <w:rsid w:val="3E241DF6"/>
    <w:rsid w:val="3E244B6A"/>
    <w:rsid w:val="3E3A1D62"/>
    <w:rsid w:val="3E3E6E8E"/>
    <w:rsid w:val="3E5E1696"/>
    <w:rsid w:val="3E6059FC"/>
    <w:rsid w:val="3E64108F"/>
    <w:rsid w:val="3E7A2BF0"/>
    <w:rsid w:val="3E8D2680"/>
    <w:rsid w:val="3E931162"/>
    <w:rsid w:val="3E975490"/>
    <w:rsid w:val="3EA85C6E"/>
    <w:rsid w:val="3EA87EB5"/>
    <w:rsid w:val="3EAD43CC"/>
    <w:rsid w:val="3EB10A5C"/>
    <w:rsid w:val="3EB21725"/>
    <w:rsid w:val="3EB72B54"/>
    <w:rsid w:val="3EC13C43"/>
    <w:rsid w:val="3EC531FD"/>
    <w:rsid w:val="3EF36B45"/>
    <w:rsid w:val="3F026D24"/>
    <w:rsid w:val="3F04266D"/>
    <w:rsid w:val="3F2B6D4C"/>
    <w:rsid w:val="3F5636BD"/>
    <w:rsid w:val="3F5F3261"/>
    <w:rsid w:val="3F6F6722"/>
    <w:rsid w:val="3F830C89"/>
    <w:rsid w:val="3F84237D"/>
    <w:rsid w:val="3F97369E"/>
    <w:rsid w:val="3FB026D5"/>
    <w:rsid w:val="3FB41253"/>
    <w:rsid w:val="3FB654A1"/>
    <w:rsid w:val="3FB738B9"/>
    <w:rsid w:val="3FBD23EC"/>
    <w:rsid w:val="3FD1499F"/>
    <w:rsid w:val="3FD91C0D"/>
    <w:rsid w:val="3FF550FA"/>
    <w:rsid w:val="3FF948DF"/>
    <w:rsid w:val="3FFB252B"/>
    <w:rsid w:val="3FFD4840"/>
    <w:rsid w:val="4000052B"/>
    <w:rsid w:val="40175C27"/>
    <w:rsid w:val="402020DA"/>
    <w:rsid w:val="402442C4"/>
    <w:rsid w:val="40250D1A"/>
    <w:rsid w:val="402B4A0B"/>
    <w:rsid w:val="40335CE5"/>
    <w:rsid w:val="40354679"/>
    <w:rsid w:val="40380F6A"/>
    <w:rsid w:val="404E1296"/>
    <w:rsid w:val="406A32E5"/>
    <w:rsid w:val="40782BA9"/>
    <w:rsid w:val="407A1658"/>
    <w:rsid w:val="407C2246"/>
    <w:rsid w:val="408C6948"/>
    <w:rsid w:val="408F77C2"/>
    <w:rsid w:val="40A82311"/>
    <w:rsid w:val="40C6737B"/>
    <w:rsid w:val="40D43722"/>
    <w:rsid w:val="40D71BDC"/>
    <w:rsid w:val="40DA5E0B"/>
    <w:rsid w:val="40DD79B5"/>
    <w:rsid w:val="40F37EE8"/>
    <w:rsid w:val="40F80D7A"/>
    <w:rsid w:val="410272C1"/>
    <w:rsid w:val="41100147"/>
    <w:rsid w:val="411D149A"/>
    <w:rsid w:val="41255DE0"/>
    <w:rsid w:val="41462BC1"/>
    <w:rsid w:val="41756B51"/>
    <w:rsid w:val="417A1EC7"/>
    <w:rsid w:val="41886A2A"/>
    <w:rsid w:val="41894625"/>
    <w:rsid w:val="41A158A7"/>
    <w:rsid w:val="41AE06E8"/>
    <w:rsid w:val="41B03F71"/>
    <w:rsid w:val="41D162A9"/>
    <w:rsid w:val="41D77E86"/>
    <w:rsid w:val="41DA0842"/>
    <w:rsid w:val="41EF6F62"/>
    <w:rsid w:val="41F835B5"/>
    <w:rsid w:val="41F904B0"/>
    <w:rsid w:val="41F92E32"/>
    <w:rsid w:val="420844F7"/>
    <w:rsid w:val="4224225E"/>
    <w:rsid w:val="42254882"/>
    <w:rsid w:val="422C3859"/>
    <w:rsid w:val="42362148"/>
    <w:rsid w:val="424A2D04"/>
    <w:rsid w:val="426D5C02"/>
    <w:rsid w:val="42A47A6F"/>
    <w:rsid w:val="42AF358B"/>
    <w:rsid w:val="42BB425D"/>
    <w:rsid w:val="42D4644E"/>
    <w:rsid w:val="42D765A4"/>
    <w:rsid w:val="42D80F3A"/>
    <w:rsid w:val="42DC6E91"/>
    <w:rsid w:val="42DF7E5E"/>
    <w:rsid w:val="42E8477A"/>
    <w:rsid w:val="42FE546C"/>
    <w:rsid w:val="43267BED"/>
    <w:rsid w:val="433A5441"/>
    <w:rsid w:val="433B1113"/>
    <w:rsid w:val="43413334"/>
    <w:rsid w:val="43497EE7"/>
    <w:rsid w:val="43562F18"/>
    <w:rsid w:val="4357078B"/>
    <w:rsid w:val="435A58CA"/>
    <w:rsid w:val="435C1F1C"/>
    <w:rsid w:val="435C3FFD"/>
    <w:rsid w:val="43614A62"/>
    <w:rsid w:val="437572AF"/>
    <w:rsid w:val="43762FDE"/>
    <w:rsid w:val="439755FA"/>
    <w:rsid w:val="43BF1E3F"/>
    <w:rsid w:val="43C83EB2"/>
    <w:rsid w:val="43D52775"/>
    <w:rsid w:val="43E2678B"/>
    <w:rsid w:val="43EC32A0"/>
    <w:rsid w:val="43EC7740"/>
    <w:rsid w:val="43F02873"/>
    <w:rsid w:val="43FB1735"/>
    <w:rsid w:val="44005472"/>
    <w:rsid w:val="440661BD"/>
    <w:rsid w:val="44202E45"/>
    <w:rsid w:val="44291920"/>
    <w:rsid w:val="444E0EB1"/>
    <w:rsid w:val="445142B9"/>
    <w:rsid w:val="44627A06"/>
    <w:rsid w:val="44632615"/>
    <w:rsid w:val="4476700E"/>
    <w:rsid w:val="447C77DD"/>
    <w:rsid w:val="4486216C"/>
    <w:rsid w:val="44873E03"/>
    <w:rsid w:val="448B61DD"/>
    <w:rsid w:val="44917F7C"/>
    <w:rsid w:val="44943C38"/>
    <w:rsid w:val="44967308"/>
    <w:rsid w:val="4499005A"/>
    <w:rsid w:val="449F36A9"/>
    <w:rsid w:val="44A96EE1"/>
    <w:rsid w:val="44B30294"/>
    <w:rsid w:val="44C032EB"/>
    <w:rsid w:val="44C71029"/>
    <w:rsid w:val="44CA41F5"/>
    <w:rsid w:val="44D371D1"/>
    <w:rsid w:val="44D75CFE"/>
    <w:rsid w:val="44DD2266"/>
    <w:rsid w:val="44ED3932"/>
    <w:rsid w:val="44EE4AEF"/>
    <w:rsid w:val="44EE4CC2"/>
    <w:rsid w:val="44FE0825"/>
    <w:rsid w:val="450A03D3"/>
    <w:rsid w:val="45124F88"/>
    <w:rsid w:val="452227F6"/>
    <w:rsid w:val="45252F0E"/>
    <w:rsid w:val="452939E9"/>
    <w:rsid w:val="454006F1"/>
    <w:rsid w:val="45426570"/>
    <w:rsid w:val="45455AF3"/>
    <w:rsid w:val="45487968"/>
    <w:rsid w:val="455B34D2"/>
    <w:rsid w:val="45614FDD"/>
    <w:rsid w:val="457D02D8"/>
    <w:rsid w:val="45854E0B"/>
    <w:rsid w:val="458614D2"/>
    <w:rsid w:val="45926845"/>
    <w:rsid w:val="459B4C1B"/>
    <w:rsid w:val="45A100BA"/>
    <w:rsid w:val="45AB5D47"/>
    <w:rsid w:val="45C137FC"/>
    <w:rsid w:val="45D3254D"/>
    <w:rsid w:val="45D41170"/>
    <w:rsid w:val="45E42C1A"/>
    <w:rsid w:val="45EC0586"/>
    <w:rsid w:val="45ED49EB"/>
    <w:rsid w:val="45F37C8F"/>
    <w:rsid w:val="45F46220"/>
    <w:rsid w:val="45F554FF"/>
    <w:rsid w:val="45F572A7"/>
    <w:rsid w:val="45FE11EA"/>
    <w:rsid w:val="462A5DCB"/>
    <w:rsid w:val="46323D4A"/>
    <w:rsid w:val="463539B1"/>
    <w:rsid w:val="463B7C5D"/>
    <w:rsid w:val="463D6819"/>
    <w:rsid w:val="464738A3"/>
    <w:rsid w:val="4656442B"/>
    <w:rsid w:val="465D38A0"/>
    <w:rsid w:val="46606277"/>
    <w:rsid w:val="466250CC"/>
    <w:rsid w:val="46853C85"/>
    <w:rsid w:val="4694681D"/>
    <w:rsid w:val="46BD0F24"/>
    <w:rsid w:val="46C476F4"/>
    <w:rsid w:val="46C47716"/>
    <w:rsid w:val="46CE379B"/>
    <w:rsid w:val="46E14BDC"/>
    <w:rsid w:val="46E25468"/>
    <w:rsid w:val="46EA14CF"/>
    <w:rsid w:val="46FC329B"/>
    <w:rsid w:val="471244AD"/>
    <w:rsid w:val="47183F33"/>
    <w:rsid w:val="472434E1"/>
    <w:rsid w:val="473057A0"/>
    <w:rsid w:val="47486A40"/>
    <w:rsid w:val="475B25E9"/>
    <w:rsid w:val="47A20796"/>
    <w:rsid w:val="47AB52F6"/>
    <w:rsid w:val="47AE6909"/>
    <w:rsid w:val="47B36F9E"/>
    <w:rsid w:val="47B37D01"/>
    <w:rsid w:val="47C5182C"/>
    <w:rsid w:val="47DB7AD9"/>
    <w:rsid w:val="47E520CB"/>
    <w:rsid w:val="47EB4EF0"/>
    <w:rsid w:val="47EC4D32"/>
    <w:rsid w:val="481029EC"/>
    <w:rsid w:val="48131721"/>
    <w:rsid w:val="481812DE"/>
    <w:rsid w:val="482D3655"/>
    <w:rsid w:val="483E1E2C"/>
    <w:rsid w:val="48436C01"/>
    <w:rsid w:val="48471916"/>
    <w:rsid w:val="48516B82"/>
    <w:rsid w:val="485458B8"/>
    <w:rsid w:val="487C235B"/>
    <w:rsid w:val="48816A33"/>
    <w:rsid w:val="488745F7"/>
    <w:rsid w:val="488B752C"/>
    <w:rsid w:val="48912261"/>
    <w:rsid w:val="489E35F8"/>
    <w:rsid w:val="48A64365"/>
    <w:rsid w:val="48A6681B"/>
    <w:rsid w:val="48A95C04"/>
    <w:rsid w:val="48B33A52"/>
    <w:rsid w:val="48B84099"/>
    <w:rsid w:val="48C066A1"/>
    <w:rsid w:val="48C66C32"/>
    <w:rsid w:val="48E20A96"/>
    <w:rsid w:val="48E65CC2"/>
    <w:rsid w:val="48EC6F0F"/>
    <w:rsid w:val="48FE651D"/>
    <w:rsid w:val="49064DCF"/>
    <w:rsid w:val="4909729F"/>
    <w:rsid w:val="490E3ACF"/>
    <w:rsid w:val="491E6FD6"/>
    <w:rsid w:val="494474AF"/>
    <w:rsid w:val="494B7B17"/>
    <w:rsid w:val="49524C63"/>
    <w:rsid w:val="495A4553"/>
    <w:rsid w:val="495C7C35"/>
    <w:rsid w:val="4966321C"/>
    <w:rsid w:val="49683C27"/>
    <w:rsid w:val="496B283C"/>
    <w:rsid w:val="497B3675"/>
    <w:rsid w:val="49825388"/>
    <w:rsid w:val="49853326"/>
    <w:rsid w:val="4996233E"/>
    <w:rsid w:val="49A57D3D"/>
    <w:rsid w:val="49A62AA1"/>
    <w:rsid w:val="49AD1724"/>
    <w:rsid w:val="49B07884"/>
    <w:rsid w:val="49C202E7"/>
    <w:rsid w:val="49C53AE5"/>
    <w:rsid w:val="49CA74E0"/>
    <w:rsid w:val="49E14F29"/>
    <w:rsid w:val="49ED4347"/>
    <w:rsid w:val="49F51F11"/>
    <w:rsid w:val="49F9425C"/>
    <w:rsid w:val="49FF4F5E"/>
    <w:rsid w:val="4A074005"/>
    <w:rsid w:val="4A0939E9"/>
    <w:rsid w:val="4A0E2C84"/>
    <w:rsid w:val="4A247862"/>
    <w:rsid w:val="4A3D12CF"/>
    <w:rsid w:val="4A3F0BF8"/>
    <w:rsid w:val="4A566A89"/>
    <w:rsid w:val="4A5E4A17"/>
    <w:rsid w:val="4A6A2EBD"/>
    <w:rsid w:val="4A7E7B74"/>
    <w:rsid w:val="4A881C1B"/>
    <w:rsid w:val="4A8866B7"/>
    <w:rsid w:val="4A8A7D2D"/>
    <w:rsid w:val="4A910A87"/>
    <w:rsid w:val="4A9A5C89"/>
    <w:rsid w:val="4AAA0E0E"/>
    <w:rsid w:val="4AAE722F"/>
    <w:rsid w:val="4AB93457"/>
    <w:rsid w:val="4AC74505"/>
    <w:rsid w:val="4AC76136"/>
    <w:rsid w:val="4AC91857"/>
    <w:rsid w:val="4AD454BC"/>
    <w:rsid w:val="4AD95927"/>
    <w:rsid w:val="4AF018C8"/>
    <w:rsid w:val="4B0E7738"/>
    <w:rsid w:val="4B1D26C7"/>
    <w:rsid w:val="4B3640BE"/>
    <w:rsid w:val="4B447355"/>
    <w:rsid w:val="4B4820C4"/>
    <w:rsid w:val="4B48362D"/>
    <w:rsid w:val="4B4B0AD1"/>
    <w:rsid w:val="4B5D2CD5"/>
    <w:rsid w:val="4B626FF1"/>
    <w:rsid w:val="4B647BC0"/>
    <w:rsid w:val="4B6B7151"/>
    <w:rsid w:val="4B933353"/>
    <w:rsid w:val="4BA46857"/>
    <w:rsid w:val="4BCA175B"/>
    <w:rsid w:val="4BD73639"/>
    <w:rsid w:val="4BEA1840"/>
    <w:rsid w:val="4BEC7B31"/>
    <w:rsid w:val="4BF8047C"/>
    <w:rsid w:val="4BFC6DF6"/>
    <w:rsid w:val="4C001FDF"/>
    <w:rsid w:val="4C481290"/>
    <w:rsid w:val="4C4A1EDE"/>
    <w:rsid w:val="4C50123D"/>
    <w:rsid w:val="4C5256D4"/>
    <w:rsid w:val="4C572767"/>
    <w:rsid w:val="4C7F11B0"/>
    <w:rsid w:val="4C855949"/>
    <w:rsid w:val="4C9627F1"/>
    <w:rsid w:val="4CA86CE8"/>
    <w:rsid w:val="4CB30DFF"/>
    <w:rsid w:val="4CB93F3C"/>
    <w:rsid w:val="4CC254E6"/>
    <w:rsid w:val="4CCC72AE"/>
    <w:rsid w:val="4CD4551D"/>
    <w:rsid w:val="4CDE0B68"/>
    <w:rsid w:val="4CDF4C3F"/>
    <w:rsid w:val="4CE20BCB"/>
    <w:rsid w:val="4CED164A"/>
    <w:rsid w:val="4D05490F"/>
    <w:rsid w:val="4D445EFB"/>
    <w:rsid w:val="4D4A3E41"/>
    <w:rsid w:val="4D4A679B"/>
    <w:rsid w:val="4D50241D"/>
    <w:rsid w:val="4D522188"/>
    <w:rsid w:val="4D5D6FBD"/>
    <w:rsid w:val="4D6550F2"/>
    <w:rsid w:val="4D9228C7"/>
    <w:rsid w:val="4DA223BC"/>
    <w:rsid w:val="4DAF2251"/>
    <w:rsid w:val="4DB1767E"/>
    <w:rsid w:val="4DBD0F93"/>
    <w:rsid w:val="4DC614FB"/>
    <w:rsid w:val="4DC85818"/>
    <w:rsid w:val="4DCB4CA4"/>
    <w:rsid w:val="4DDA6A40"/>
    <w:rsid w:val="4DED41FF"/>
    <w:rsid w:val="4DF83532"/>
    <w:rsid w:val="4E047D31"/>
    <w:rsid w:val="4E197069"/>
    <w:rsid w:val="4E1B3614"/>
    <w:rsid w:val="4E2236B2"/>
    <w:rsid w:val="4E231FB4"/>
    <w:rsid w:val="4E340D9C"/>
    <w:rsid w:val="4E406CC8"/>
    <w:rsid w:val="4E41132F"/>
    <w:rsid w:val="4E422279"/>
    <w:rsid w:val="4E4D16BF"/>
    <w:rsid w:val="4E4D7C9E"/>
    <w:rsid w:val="4E5B60AE"/>
    <w:rsid w:val="4E604C84"/>
    <w:rsid w:val="4E6332C9"/>
    <w:rsid w:val="4E852118"/>
    <w:rsid w:val="4EA46D29"/>
    <w:rsid w:val="4EA50069"/>
    <w:rsid w:val="4EAB2237"/>
    <w:rsid w:val="4EBA1E1E"/>
    <w:rsid w:val="4EC4672D"/>
    <w:rsid w:val="4ED412CB"/>
    <w:rsid w:val="4EF93048"/>
    <w:rsid w:val="4EFF7383"/>
    <w:rsid w:val="4F0A0A7E"/>
    <w:rsid w:val="4F0C5136"/>
    <w:rsid w:val="4F151116"/>
    <w:rsid w:val="4F187FCC"/>
    <w:rsid w:val="4F376605"/>
    <w:rsid w:val="4F3A5411"/>
    <w:rsid w:val="4F3C085A"/>
    <w:rsid w:val="4F4F1873"/>
    <w:rsid w:val="4F5A0B6E"/>
    <w:rsid w:val="4F5A2306"/>
    <w:rsid w:val="4F6B59C1"/>
    <w:rsid w:val="4F6D730F"/>
    <w:rsid w:val="4F714FF8"/>
    <w:rsid w:val="4F7C258C"/>
    <w:rsid w:val="4F85611F"/>
    <w:rsid w:val="4F8B3605"/>
    <w:rsid w:val="4F9D768D"/>
    <w:rsid w:val="4FA5502F"/>
    <w:rsid w:val="4FAF7CA2"/>
    <w:rsid w:val="4FB211E8"/>
    <w:rsid w:val="4FB42A77"/>
    <w:rsid w:val="4FC8656E"/>
    <w:rsid w:val="4FCC6425"/>
    <w:rsid w:val="4FD436C3"/>
    <w:rsid w:val="4FDD7B24"/>
    <w:rsid w:val="4FE91E98"/>
    <w:rsid w:val="4FEB149C"/>
    <w:rsid w:val="500A7164"/>
    <w:rsid w:val="5014262C"/>
    <w:rsid w:val="501C0230"/>
    <w:rsid w:val="501F44E6"/>
    <w:rsid w:val="50225F88"/>
    <w:rsid w:val="50411444"/>
    <w:rsid w:val="50424937"/>
    <w:rsid w:val="50435829"/>
    <w:rsid w:val="50447FC0"/>
    <w:rsid w:val="505D37E4"/>
    <w:rsid w:val="50702199"/>
    <w:rsid w:val="5080549C"/>
    <w:rsid w:val="50BD6410"/>
    <w:rsid w:val="50C35389"/>
    <w:rsid w:val="50EA5985"/>
    <w:rsid w:val="50EB6FB1"/>
    <w:rsid w:val="51037E7B"/>
    <w:rsid w:val="510F33AC"/>
    <w:rsid w:val="511278FC"/>
    <w:rsid w:val="511D55F2"/>
    <w:rsid w:val="51237AAF"/>
    <w:rsid w:val="51270E42"/>
    <w:rsid w:val="51314CFE"/>
    <w:rsid w:val="51790BFB"/>
    <w:rsid w:val="517D4E0E"/>
    <w:rsid w:val="517E430A"/>
    <w:rsid w:val="518A5306"/>
    <w:rsid w:val="519D6281"/>
    <w:rsid w:val="51A16D01"/>
    <w:rsid w:val="51A258E6"/>
    <w:rsid w:val="51A5393F"/>
    <w:rsid w:val="51A60E9F"/>
    <w:rsid w:val="51B541DD"/>
    <w:rsid w:val="51B6571C"/>
    <w:rsid w:val="51B85B00"/>
    <w:rsid w:val="51E732F9"/>
    <w:rsid w:val="51F83758"/>
    <w:rsid w:val="52012BF6"/>
    <w:rsid w:val="52055818"/>
    <w:rsid w:val="520A0128"/>
    <w:rsid w:val="520E35D6"/>
    <w:rsid w:val="52110A6A"/>
    <w:rsid w:val="52143C31"/>
    <w:rsid w:val="52180C03"/>
    <w:rsid w:val="522E5EFF"/>
    <w:rsid w:val="523029CB"/>
    <w:rsid w:val="52392176"/>
    <w:rsid w:val="52392202"/>
    <w:rsid w:val="524644C3"/>
    <w:rsid w:val="5254693E"/>
    <w:rsid w:val="52552958"/>
    <w:rsid w:val="525766D1"/>
    <w:rsid w:val="52586E1C"/>
    <w:rsid w:val="525E37F9"/>
    <w:rsid w:val="526A6404"/>
    <w:rsid w:val="52705CA9"/>
    <w:rsid w:val="52815D19"/>
    <w:rsid w:val="52902DFA"/>
    <w:rsid w:val="52903990"/>
    <w:rsid w:val="52927395"/>
    <w:rsid w:val="529F2249"/>
    <w:rsid w:val="52A95A18"/>
    <w:rsid w:val="52B35FD7"/>
    <w:rsid w:val="52C30019"/>
    <w:rsid w:val="52C75E9B"/>
    <w:rsid w:val="52E923EA"/>
    <w:rsid w:val="52EA0AD2"/>
    <w:rsid w:val="52F800AB"/>
    <w:rsid w:val="53073C53"/>
    <w:rsid w:val="53122198"/>
    <w:rsid w:val="531D0A0F"/>
    <w:rsid w:val="53200BED"/>
    <w:rsid w:val="5325232B"/>
    <w:rsid w:val="533273FB"/>
    <w:rsid w:val="5341350A"/>
    <w:rsid w:val="534D72F9"/>
    <w:rsid w:val="536A3872"/>
    <w:rsid w:val="53712431"/>
    <w:rsid w:val="5385179E"/>
    <w:rsid w:val="53A00F43"/>
    <w:rsid w:val="53A35EBC"/>
    <w:rsid w:val="53A47F95"/>
    <w:rsid w:val="53AA59EF"/>
    <w:rsid w:val="53E50E28"/>
    <w:rsid w:val="53E67D34"/>
    <w:rsid w:val="53FA1BF4"/>
    <w:rsid w:val="53FB6E47"/>
    <w:rsid w:val="540019EE"/>
    <w:rsid w:val="540B3D5F"/>
    <w:rsid w:val="54155082"/>
    <w:rsid w:val="54183230"/>
    <w:rsid w:val="541A1764"/>
    <w:rsid w:val="544561BC"/>
    <w:rsid w:val="544E1B5A"/>
    <w:rsid w:val="545C0092"/>
    <w:rsid w:val="54660563"/>
    <w:rsid w:val="54666214"/>
    <w:rsid w:val="547371D4"/>
    <w:rsid w:val="547D49D8"/>
    <w:rsid w:val="54A6041E"/>
    <w:rsid w:val="54B94928"/>
    <w:rsid w:val="54C86328"/>
    <w:rsid w:val="54D20290"/>
    <w:rsid w:val="54D87E8C"/>
    <w:rsid w:val="54E658DC"/>
    <w:rsid w:val="54EB309E"/>
    <w:rsid w:val="54FF2A3F"/>
    <w:rsid w:val="55004DFD"/>
    <w:rsid w:val="55093A00"/>
    <w:rsid w:val="550E303B"/>
    <w:rsid w:val="55266AFD"/>
    <w:rsid w:val="552F515E"/>
    <w:rsid w:val="55314CAC"/>
    <w:rsid w:val="55356D0B"/>
    <w:rsid w:val="553B5AFC"/>
    <w:rsid w:val="553E7504"/>
    <w:rsid w:val="554D519D"/>
    <w:rsid w:val="555F71DF"/>
    <w:rsid w:val="55683E45"/>
    <w:rsid w:val="556D5750"/>
    <w:rsid w:val="55780E38"/>
    <w:rsid w:val="5587381A"/>
    <w:rsid w:val="558875E3"/>
    <w:rsid w:val="55895AFA"/>
    <w:rsid w:val="558C043F"/>
    <w:rsid w:val="55997EDC"/>
    <w:rsid w:val="559A4994"/>
    <w:rsid w:val="55A169B1"/>
    <w:rsid w:val="55A21B1F"/>
    <w:rsid w:val="55A2552E"/>
    <w:rsid w:val="55B67488"/>
    <w:rsid w:val="55EF2BCC"/>
    <w:rsid w:val="55F6423F"/>
    <w:rsid w:val="55FE21FF"/>
    <w:rsid w:val="560409B6"/>
    <w:rsid w:val="561A0AEC"/>
    <w:rsid w:val="562050C0"/>
    <w:rsid w:val="56243BF4"/>
    <w:rsid w:val="56286BBA"/>
    <w:rsid w:val="562904F4"/>
    <w:rsid w:val="562B331C"/>
    <w:rsid w:val="563441A1"/>
    <w:rsid w:val="5634689E"/>
    <w:rsid w:val="56431446"/>
    <w:rsid w:val="56491729"/>
    <w:rsid w:val="568D6BBC"/>
    <w:rsid w:val="56903F5F"/>
    <w:rsid w:val="56A95CF6"/>
    <w:rsid w:val="56B0716F"/>
    <w:rsid w:val="56BD287A"/>
    <w:rsid w:val="56E06530"/>
    <w:rsid w:val="56E854B0"/>
    <w:rsid w:val="56FB2217"/>
    <w:rsid w:val="571D6954"/>
    <w:rsid w:val="57302597"/>
    <w:rsid w:val="573E4B9B"/>
    <w:rsid w:val="5763799B"/>
    <w:rsid w:val="57686183"/>
    <w:rsid w:val="57694F0E"/>
    <w:rsid w:val="57783371"/>
    <w:rsid w:val="577F6068"/>
    <w:rsid w:val="5795338B"/>
    <w:rsid w:val="579935B4"/>
    <w:rsid w:val="57D442B7"/>
    <w:rsid w:val="57DB68E8"/>
    <w:rsid w:val="57E13CBE"/>
    <w:rsid w:val="57E66F93"/>
    <w:rsid w:val="57F319FD"/>
    <w:rsid w:val="57F360FF"/>
    <w:rsid w:val="58056FFF"/>
    <w:rsid w:val="581A12F1"/>
    <w:rsid w:val="58214C09"/>
    <w:rsid w:val="582B7D26"/>
    <w:rsid w:val="583B1553"/>
    <w:rsid w:val="58680CEE"/>
    <w:rsid w:val="58697817"/>
    <w:rsid w:val="58785947"/>
    <w:rsid w:val="587A6C75"/>
    <w:rsid w:val="58832326"/>
    <w:rsid w:val="589C5549"/>
    <w:rsid w:val="589C6BEB"/>
    <w:rsid w:val="58A9086B"/>
    <w:rsid w:val="58A92235"/>
    <w:rsid w:val="58B56844"/>
    <w:rsid w:val="58CD6A5F"/>
    <w:rsid w:val="58F7315C"/>
    <w:rsid w:val="58FF1BE9"/>
    <w:rsid w:val="590E72FC"/>
    <w:rsid w:val="59123710"/>
    <w:rsid w:val="5919648E"/>
    <w:rsid w:val="59336957"/>
    <w:rsid w:val="59383C44"/>
    <w:rsid w:val="593A76E0"/>
    <w:rsid w:val="5941474A"/>
    <w:rsid w:val="59440021"/>
    <w:rsid w:val="596266FC"/>
    <w:rsid w:val="5964760B"/>
    <w:rsid w:val="597530B8"/>
    <w:rsid w:val="599C5257"/>
    <w:rsid w:val="59A21C2A"/>
    <w:rsid w:val="59A64D08"/>
    <w:rsid w:val="59A65AA5"/>
    <w:rsid w:val="59B524D1"/>
    <w:rsid w:val="59B71030"/>
    <w:rsid w:val="59C1655E"/>
    <w:rsid w:val="59C77FBD"/>
    <w:rsid w:val="59CD4F4C"/>
    <w:rsid w:val="59D40441"/>
    <w:rsid w:val="59E54303"/>
    <w:rsid w:val="59EE2FE3"/>
    <w:rsid w:val="5A0354BA"/>
    <w:rsid w:val="5A03647E"/>
    <w:rsid w:val="5A0D7AA4"/>
    <w:rsid w:val="5A113973"/>
    <w:rsid w:val="5A3A33DD"/>
    <w:rsid w:val="5A5028F2"/>
    <w:rsid w:val="5A673229"/>
    <w:rsid w:val="5A876F57"/>
    <w:rsid w:val="5A9113BA"/>
    <w:rsid w:val="5AA969A1"/>
    <w:rsid w:val="5AAE6DC3"/>
    <w:rsid w:val="5AC959C2"/>
    <w:rsid w:val="5AD01F15"/>
    <w:rsid w:val="5AD40A89"/>
    <w:rsid w:val="5ADB7D78"/>
    <w:rsid w:val="5ADC7773"/>
    <w:rsid w:val="5B13515F"/>
    <w:rsid w:val="5B254369"/>
    <w:rsid w:val="5B2914F9"/>
    <w:rsid w:val="5B307343"/>
    <w:rsid w:val="5B415A2D"/>
    <w:rsid w:val="5B491F2D"/>
    <w:rsid w:val="5B6C3FA6"/>
    <w:rsid w:val="5B794741"/>
    <w:rsid w:val="5B7A5270"/>
    <w:rsid w:val="5B8A3673"/>
    <w:rsid w:val="5B9E7D89"/>
    <w:rsid w:val="5BA75F0B"/>
    <w:rsid w:val="5BAD110F"/>
    <w:rsid w:val="5BAD5ED8"/>
    <w:rsid w:val="5BBC390F"/>
    <w:rsid w:val="5BC3368C"/>
    <w:rsid w:val="5BCF7320"/>
    <w:rsid w:val="5BCF7B1E"/>
    <w:rsid w:val="5BD114F8"/>
    <w:rsid w:val="5BDD7C46"/>
    <w:rsid w:val="5BDF2798"/>
    <w:rsid w:val="5BE15A6C"/>
    <w:rsid w:val="5C0E2225"/>
    <w:rsid w:val="5C0E2FD3"/>
    <w:rsid w:val="5C135D2C"/>
    <w:rsid w:val="5C1B663E"/>
    <w:rsid w:val="5C245113"/>
    <w:rsid w:val="5C2869E8"/>
    <w:rsid w:val="5C3244FA"/>
    <w:rsid w:val="5C494351"/>
    <w:rsid w:val="5C507FA3"/>
    <w:rsid w:val="5C573280"/>
    <w:rsid w:val="5C731040"/>
    <w:rsid w:val="5C744E01"/>
    <w:rsid w:val="5C85148E"/>
    <w:rsid w:val="5C854A35"/>
    <w:rsid w:val="5C8D61FF"/>
    <w:rsid w:val="5CA737EA"/>
    <w:rsid w:val="5CAC6EDF"/>
    <w:rsid w:val="5CAE6877"/>
    <w:rsid w:val="5CB25FAA"/>
    <w:rsid w:val="5CBC2EE2"/>
    <w:rsid w:val="5CC4535D"/>
    <w:rsid w:val="5CD31699"/>
    <w:rsid w:val="5CD56312"/>
    <w:rsid w:val="5CE76F8F"/>
    <w:rsid w:val="5CF05758"/>
    <w:rsid w:val="5D07686F"/>
    <w:rsid w:val="5D125B47"/>
    <w:rsid w:val="5D1E7677"/>
    <w:rsid w:val="5D1F5277"/>
    <w:rsid w:val="5D2418A5"/>
    <w:rsid w:val="5D24413E"/>
    <w:rsid w:val="5D3176C6"/>
    <w:rsid w:val="5D3E2967"/>
    <w:rsid w:val="5D5B5434"/>
    <w:rsid w:val="5D5C1BD6"/>
    <w:rsid w:val="5D8506A1"/>
    <w:rsid w:val="5D95186C"/>
    <w:rsid w:val="5DAC2975"/>
    <w:rsid w:val="5DD2339B"/>
    <w:rsid w:val="5DD74453"/>
    <w:rsid w:val="5DD938F3"/>
    <w:rsid w:val="5DDD6AE5"/>
    <w:rsid w:val="5DDF60EC"/>
    <w:rsid w:val="5DE6548E"/>
    <w:rsid w:val="5DF02FBE"/>
    <w:rsid w:val="5DFC2AD9"/>
    <w:rsid w:val="5DFF4054"/>
    <w:rsid w:val="5E1831B8"/>
    <w:rsid w:val="5E2C0F7D"/>
    <w:rsid w:val="5E3213B5"/>
    <w:rsid w:val="5E355124"/>
    <w:rsid w:val="5E3A1D34"/>
    <w:rsid w:val="5E4A41D6"/>
    <w:rsid w:val="5E4A4910"/>
    <w:rsid w:val="5E644A03"/>
    <w:rsid w:val="5E6A778C"/>
    <w:rsid w:val="5E702CD8"/>
    <w:rsid w:val="5E793DD0"/>
    <w:rsid w:val="5E86549B"/>
    <w:rsid w:val="5E8B797A"/>
    <w:rsid w:val="5E8D2343"/>
    <w:rsid w:val="5E975F32"/>
    <w:rsid w:val="5E9F6D33"/>
    <w:rsid w:val="5EA27673"/>
    <w:rsid w:val="5EAC5CC5"/>
    <w:rsid w:val="5EAF3F7F"/>
    <w:rsid w:val="5EB731DD"/>
    <w:rsid w:val="5EBC0B38"/>
    <w:rsid w:val="5EBD6E4B"/>
    <w:rsid w:val="5EC2182D"/>
    <w:rsid w:val="5EDD7278"/>
    <w:rsid w:val="5EF13A09"/>
    <w:rsid w:val="5F0C558A"/>
    <w:rsid w:val="5F107065"/>
    <w:rsid w:val="5F304531"/>
    <w:rsid w:val="5F586584"/>
    <w:rsid w:val="5F7E1979"/>
    <w:rsid w:val="5F910F44"/>
    <w:rsid w:val="5FA016B7"/>
    <w:rsid w:val="5FAE5456"/>
    <w:rsid w:val="5FAE6AC1"/>
    <w:rsid w:val="5FBA7BDF"/>
    <w:rsid w:val="5FE433E1"/>
    <w:rsid w:val="5FEC2A61"/>
    <w:rsid w:val="60370431"/>
    <w:rsid w:val="603756E2"/>
    <w:rsid w:val="603A3D28"/>
    <w:rsid w:val="603C3A3D"/>
    <w:rsid w:val="604B43EE"/>
    <w:rsid w:val="606062EF"/>
    <w:rsid w:val="6064539D"/>
    <w:rsid w:val="606F2E37"/>
    <w:rsid w:val="608B7265"/>
    <w:rsid w:val="60A41D02"/>
    <w:rsid w:val="60AC5E39"/>
    <w:rsid w:val="60CC5629"/>
    <w:rsid w:val="60E15BEB"/>
    <w:rsid w:val="60E17732"/>
    <w:rsid w:val="60E50CEA"/>
    <w:rsid w:val="60EB01EC"/>
    <w:rsid w:val="610D3E95"/>
    <w:rsid w:val="61106BF3"/>
    <w:rsid w:val="611B2D9F"/>
    <w:rsid w:val="611D2DF6"/>
    <w:rsid w:val="615747AE"/>
    <w:rsid w:val="61691579"/>
    <w:rsid w:val="61727AE9"/>
    <w:rsid w:val="617A57D7"/>
    <w:rsid w:val="617E7959"/>
    <w:rsid w:val="61824E34"/>
    <w:rsid w:val="61906FF1"/>
    <w:rsid w:val="6195143D"/>
    <w:rsid w:val="619D10D3"/>
    <w:rsid w:val="61AF035B"/>
    <w:rsid w:val="61B20A29"/>
    <w:rsid w:val="61B25108"/>
    <w:rsid w:val="61BE18D7"/>
    <w:rsid w:val="61BE3BD3"/>
    <w:rsid w:val="61C53466"/>
    <w:rsid w:val="61E60E56"/>
    <w:rsid w:val="61E97897"/>
    <w:rsid w:val="61F51F86"/>
    <w:rsid w:val="6200629B"/>
    <w:rsid w:val="62127610"/>
    <w:rsid w:val="621316B2"/>
    <w:rsid w:val="62267D49"/>
    <w:rsid w:val="6237364E"/>
    <w:rsid w:val="62481C53"/>
    <w:rsid w:val="62590DD8"/>
    <w:rsid w:val="625D412A"/>
    <w:rsid w:val="6274570D"/>
    <w:rsid w:val="629A2B7E"/>
    <w:rsid w:val="62AA6C13"/>
    <w:rsid w:val="62B27782"/>
    <w:rsid w:val="62C642C8"/>
    <w:rsid w:val="62C93A8C"/>
    <w:rsid w:val="62E95123"/>
    <w:rsid w:val="62FE30AF"/>
    <w:rsid w:val="630A21A8"/>
    <w:rsid w:val="630D054C"/>
    <w:rsid w:val="63247AA4"/>
    <w:rsid w:val="632A7F37"/>
    <w:rsid w:val="6344556A"/>
    <w:rsid w:val="6347009B"/>
    <w:rsid w:val="63470C62"/>
    <w:rsid w:val="63471E49"/>
    <w:rsid w:val="634E6F01"/>
    <w:rsid w:val="63611A91"/>
    <w:rsid w:val="637452DD"/>
    <w:rsid w:val="6381271D"/>
    <w:rsid w:val="638B5099"/>
    <w:rsid w:val="639771AD"/>
    <w:rsid w:val="639D006E"/>
    <w:rsid w:val="63AA37AD"/>
    <w:rsid w:val="63BF428A"/>
    <w:rsid w:val="63C0151E"/>
    <w:rsid w:val="63D532B0"/>
    <w:rsid w:val="63E57127"/>
    <w:rsid w:val="63EB4ECB"/>
    <w:rsid w:val="63EF3BAA"/>
    <w:rsid w:val="63F672D6"/>
    <w:rsid w:val="63F8233D"/>
    <w:rsid w:val="63F91B97"/>
    <w:rsid w:val="63FD206E"/>
    <w:rsid w:val="640F2FF4"/>
    <w:rsid w:val="64194AC4"/>
    <w:rsid w:val="64287ECD"/>
    <w:rsid w:val="642E17D7"/>
    <w:rsid w:val="643C5726"/>
    <w:rsid w:val="64485BB7"/>
    <w:rsid w:val="644B3221"/>
    <w:rsid w:val="644F55EB"/>
    <w:rsid w:val="645448DB"/>
    <w:rsid w:val="64567A00"/>
    <w:rsid w:val="645D6C69"/>
    <w:rsid w:val="646233E5"/>
    <w:rsid w:val="646D34E5"/>
    <w:rsid w:val="64711D88"/>
    <w:rsid w:val="64787BDF"/>
    <w:rsid w:val="647F1A67"/>
    <w:rsid w:val="648539A0"/>
    <w:rsid w:val="649955B7"/>
    <w:rsid w:val="64A75ABD"/>
    <w:rsid w:val="64AC05E2"/>
    <w:rsid w:val="64AF64BE"/>
    <w:rsid w:val="64B7175A"/>
    <w:rsid w:val="64BA3A56"/>
    <w:rsid w:val="64C21182"/>
    <w:rsid w:val="64C95A44"/>
    <w:rsid w:val="64CE09BD"/>
    <w:rsid w:val="64CF4718"/>
    <w:rsid w:val="64DE3124"/>
    <w:rsid w:val="64E209F5"/>
    <w:rsid w:val="64F2474D"/>
    <w:rsid w:val="650B7121"/>
    <w:rsid w:val="651F0284"/>
    <w:rsid w:val="65280AD1"/>
    <w:rsid w:val="65487297"/>
    <w:rsid w:val="6551516E"/>
    <w:rsid w:val="65623D40"/>
    <w:rsid w:val="656D2F25"/>
    <w:rsid w:val="657632A2"/>
    <w:rsid w:val="657874A5"/>
    <w:rsid w:val="65905294"/>
    <w:rsid w:val="65A92F30"/>
    <w:rsid w:val="65B45814"/>
    <w:rsid w:val="65BC08CD"/>
    <w:rsid w:val="65CB657B"/>
    <w:rsid w:val="65D463E1"/>
    <w:rsid w:val="65DF45BB"/>
    <w:rsid w:val="65ED3AA5"/>
    <w:rsid w:val="65F838FB"/>
    <w:rsid w:val="65FB52A1"/>
    <w:rsid w:val="660E74B9"/>
    <w:rsid w:val="660F28AF"/>
    <w:rsid w:val="66134F5C"/>
    <w:rsid w:val="662550EA"/>
    <w:rsid w:val="66451242"/>
    <w:rsid w:val="6646419A"/>
    <w:rsid w:val="664769BF"/>
    <w:rsid w:val="664D2F80"/>
    <w:rsid w:val="66656C08"/>
    <w:rsid w:val="66676F39"/>
    <w:rsid w:val="666A657B"/>
    <w:rsid w:val="666F3B91"/>
    <w:rsid w:val="66817666"/>
    <w:rsid w:val="66947B1D"/>
    <w:rsid w:val="66C36C3B"/>
    <w:rsid w:val="66CE59D1"/>
    <w:rsid w:val="66DB1B7A"/>
    <w:rsid w:val="66DB3CD8"/>
    <w:rsid w:val="66DE6A20"/>
    <w:rsid w:val="66EF162D"/>
    <w:rsid w:val="66F21AA4"/>
    <w:rsid w:val="66FF7C4F"/>
    <w:rsid w:val="67006095"/>
    <w:rsid w:val="67077359"/>
    <w:rsid w:val="670B7925"/>
    <w:rsid w:val="670E5BF9"/>
    <w:rsid w:val="670F685E"/>
    <w:rsid w:val="67127AC7"/>
    <w:rsid w:val="672302DF"/>
    <w:rsid w:val="67237B54"/>
    <w:rsid w:val="673F62CC"/>
    <w:rsid w:val="674B1DDA"/>
    <w:rsid w:val="674F7710"/>
    <w:rsid w:val="676A25AA"/>
    <w:rsid w:val="67807BD5"/>
    <w:rsid w:val="678371C8"/>
    <w:rsid w:val="67851192"/>
    <w:rsid w:val="6787237B"/>
    <w:rsid w:val="67873875"/>
    <w:rsid w:val="678B225F"/>
    <w:rsid w:val="6795499F"/>
    <w:rsid w:val="67961E21"/>
    <w:rsid w:val="67A96D2B"/>
    <w:rsid w:val="67C7008A"/>
    <w:rsid w:val="67ED581E"/>
    <w:rsid w:val="680D757B"/>
    <w:rsid w:val="681A2119"/>
    <w:rsid w:val="6847741F"/>
    <w:rsid w:val="685400D7"/>
    <w:rsid w:val="685B3054"/>
    <w:rsid w:val="686E02E9"/>
    <w:rsid w:val="688A67BA"/>
    <w:rsid w:val="68B919F9"/>
    <w:rsid w:val="68BC17B6"/>
    <w:rsid w:val="68C624E6"/>
    <w:rsid w:val="68C86EC4"/>
    <w:rsid w:val="68D423D1"/>
    <w:rsid w:val="68D73C6F"/>
    <w:rsid w:val="68E414FB"/>
    <w:rsid w:val="68E819D9"/>
    <w:rsid w:val="68ED694C"/>
    <w:rsid w:val="68F079E0"/>
    <w:rsid w:val="68F37058"/>
    <w:rsid w:val="690600B1"/>
    <w:rsid w:val="690D5578"/>
    <w:rsid w:val="69171A09"/>
    <w:rsid w:val="69291A61"/>
    <w:rsid w:val="693D6478"/>
    <w:rsid w:val="69405D20"/>
    <w:rsid w:val="694F2C68"/>
    <w:rsid w:val="6959388A"/>
    <w:rsid w:val="695F4012"/>
    <w:rsid w:val="69825989"/>
    <w:rsid w:val="698B6C53"/>
    <w:rsid w:val="698D7E01"/>
    <w:rsid w:val="69926A05"/>
    <w:rsid w:val="699A12A0"/>
    <w:rsid w:val="69A26D0E"/>
    <w:rsid w:val="69AE4111"/>
    <w:rsid w:val="69B33D95"/>
    <w:rsid w:val="69F12B0F"/>
    <w:rsid w:val="69F55AF1"/>
    <w:rsid w:val="69FA19C4"/>
    <w:rsid w:val="6A004944"/>
    <w:rsid w:val="6A0D0CF9"/>
    <w:rsid w:val="6A130CD7"/>
    <w:rsid w:val="6A134634"/>
    <w:rsid w:val="6A144187"/>
    <w:rsid w:val="6A1D74AF"/>
    <w:rsid w:val="6A21549A"/>
    <w:rsid w:val="6A271752"/>
    <w:rsid w:val="6A3F0348"/>
    <w:rsid w:val="6A527A52"/>
    <w:rsid w:val="6A5E57EF"/>
    <w:rsid w:val="6A756EF0"/>
    <w:rsid w:val="6A84432D"/>
    <w:rsid w:val="6A875310"/>
    <w:rsid w:val="6AA154A4"/>
    <w:rsid w:val="6AB62A0E"/>
    <w:rsid w:val="6AC34955"/>
    <w:rsid w:val="6AD04A15"/>
    <w:rsid w:val="6AD166CF"/>
    <w:rsid w:val="6AE0227F"/>
    <w:rsid w:val="6B005972"/>
    <w:rsid w:val="6B0702CB"/>
    <w:rsid w:val="6B1B42E7"/>
    <w:rsid w:val="6B1E7934"/>
    <w:rsid w:val="6B276BCB"/>
    <w:rsid w:val="6B3970AA"/>
    <w:rsid w:val="6B4C036F"/>
    <w:rsid w:val="6B520800"/>
    <w:rsid w:val="6B657311"/>
    <w:rsid w:val="6B815736"/>
    <w:rsid w:val="6B9305A5"/>
    <w:rsid w:val="6B9961D1"/>
    <w:rsid w:val="6B9F6960"/>
    <w:rsid w:val="6BAD5364"/>
    <w:rsid w:val="6BC66B16"/>
    <w:rsid w:val="6BCD3559"/>
    <w:rsid w:val="6BDA2573"/>
    <w:rsid w:val="6BE4292B"/>
    <w:rsid w:val="6BE7541E"/>
    <w:rsid w:val="6BEB4CC6"/>
    <w:rsid w:val="6BEE02A6"/>
    <w:rsid w:val="6BFE3795"/>
    <w:rsid w:val="6C171754"/>
    <w:rsid w:val="6C2434C8"/>
    <w:rsid w:val="6C2500A5"/>
    <w:rsid w:val="6C260E55"/>
    <w:rsid w:val="6C2F6AFC"/>
    <w:rsid w:val="6C315378"/>
    <w:rsid w:val="6C356D13"/>
    <w:rsid w:val="6C363445"/>
    <w:rsid w:val="6C4F61D2"/>
    <w:rsid w:val="6C5B6D25"/>
    <w:rsid w:val="6C6711E2"/>
    <w:rsid w:val="6C6B741A"/>
    <w:rsid w:val="6C733B29"/>
    <w:rsid w:val="6C7A6EA4"/>
    <w:rsid w:val="6C7F5E95"/>
    <w:rsid w:val="6C856852"/>
    <w:rsid w:val="6C8A3532"/>
    <w:rsid w:val="6C8E018F"/>
    <w:rsid w:val="6CA36342"/>
    <w:rsid w:val="6CD80AC7"/>
    <w:rsid w:val="6CE1418C"/>
    <w:rsid w:val="6CF061F2"/>
    <w:rsid w:val="6CF07C20"/>
    <w:rsid w:val="6CF144B9"/>
    <w:rsid w:val="6CF51963"/>
    <w:rsid w:val="6CFA15F8"/>
    <w:rsid w:val="6D011267"/>
    <w:rsid w:val="6D090170"/>
    <w:rsid w:val="6D2453CF"/>
    <w:rsid w:val="6D2A3FA6"/>
    <w:rsid w:val="6D454590"/>
    <w:rsid w:val="6D464CDD"/>
    <w:rsid w:val="6D4D3E01"/>
    <w:rsid w:val="6D527259"/>
    <w:rsid w:val="6D5364AC"/>
    <w:rsid w:val="6D570292"/>
    <w:rsid w:val="6D6F091A"/>
    <w:rsid w:val="6D7607E4"/>
    <w:rsid w:val="6D9E65C6"/>
    <w:rsid w:val="6DA01767"/>
    <w:rsid w:val="6DB41985"/>
    <w:rsid w:val="6DB43526"/>
    <w:rsid w:val="6DC908F7"/>
    <w:rsid w:val="6DCC5913"/>
    <w:rsid w:val="6DD44651"/>
    <w:rsid w:val="6DDB620D"/>
    <w:rsid w:val="6DE363ED"/>
    <w:rsid w:val="6DEB6993"/>
    <w:rsid w:val="6DF2033E"/>
    <w:rsid w:val="6E000616"/>
    <w:rsid w:val="6E070BA8"/>
    <w:rsid w:val="6E0C5AD4"/>
    <w:rsid w:val="6E1636BE"/>
    <w:rsid w:val="6E177947"/>
    <w:rsid w:val="6E1F62E7"/>
    <w:rsid w:val="6E2C1870"/>
    <w:rsid w:val="6E396EB4"/>
    <w:rsid w:val="6E3B4684"/>
    <w:rsid w:val="6E3E5E60"/>
    <w:rsid w:val="6E464793"/>
    <w:rsid w:val="6E5A6DD8"/>
    <w:rsid w:val="6E5E44B4"/>
    <w:rsid w:val="6E672517"/>
    <w:rsid w:val="6E7B1DCF"/>
    <w:rsid w:val="6E846FB1"/>
    <w:rsid w:val="6EB00C19"/>
    <w:rsid w:val="6EB94A37"/>
    <w:rsid w:val="6EBA36ED"/>
    <w:rsid w:val="6ED25EC0"/>
    <w:rsid w:val="6ED529FF"/>
    <w:rsid w:val="6EE108C5"/>
    <w:rsid w:val="6EE47C27"/>
    <w:rsid w:val="6EF91340"/>
    <w:rsid w:val="6F094735"/>
    <w:rsid w:val="6F1B698E"/>
    <w:rsid w:val="6F33219C"/>
    <w:rsid w:val="6F3F1180"/>
    <w:rsid w:val="6F5B2505"/>
    <w:rsid w:val="6F5F69C4"/>
    <w:rsid w:val="6F6128C1"/>
    <w:rsid w:val="6F675DD1"/>
    <w:rsid w:val="6F6F162C"/>
    <w:rsid w:val="6F8F2BAE"/>
    <w:rsid w:val="6F9E340C"/>
    <w:rsid w:val="6FA80CCC"/>
    <w:rsid w:val="6FBA2154"/>
    <w:rsid w:val="6FCD2D4F"/>
    <w:rsid w:val="6FCE5EC7"/>
    <w:rsid w:val="6FD33957"/>
    <w:rsid w:val="6FE663C9"/>
    <w:rsid w:val="6FE9742F"/>
    <w:rsid w:val="6FEC3924"/>
    <w:rsid w:val="6FF1617F"/>
    <w:rsid w:val="6FF90841"/>
    <w:rsid w:val="6FF944CB"/>
    <w:rsid w:val="6FFE1AE2"/>
    <w:rsid w:val="70204FBE"/>
    <w:rsid w:val="702E686B"/>
    <w:rsid w:val="70383513"/>
    <w:rsid w:val="70462105"/>
    <w:rsid w:val="70582F59"/>
    <w:rsid w:val="70594973"/>
    <w:rsid w:val="7060454A"/>
    <w:rsid w:val="70610E01"/>
    <w:rsid w:val="706B41B2"/>
    <w:rsid w:val="70720A94"/>
    <w:rsid w:val="708435F4"/>
    <w:rsid w:val="70C006F4"/>
    <w:rsid w:val="70CF04CA"/>
    <w:rsid w:val="70D64C91"/>
    <w:rsid w:val="70EE1B56"/>
    <w:rsid w:val="71081111"/>
    <w:rsid w:val="710A408D"/>
    <w:rsid w:val="71213793"/>
    <w:rsid w:val="71291E2C"/>
    <w:rsid w:val="71306613"/>
    <w:rsid w:val="71352C64"/>
    <w:rsid w:val="71474487"/>
    <w:rsid w:val="715A3F81"/>
    <w:rsid w:val="7166670A"/>
    <w:rsid w:val="716B4A4F"/>
    <w:rsid w:val="716E4A51"/>
    <w:rsid w:val="71791100"/>
    <w:rsid w:val="71883D59"/>
    <w:rsid w:val="71911E5A"/>
    <w:rsid w:val="719E4662"/>
    <w:rsid w:val="71A67AD6"/>
    <w:rsid w:val="71AA64EF"/>
    <w:rsid w:val="71B44331"/>
    <w:rsid w:val="71CA4EB4"/>
    <w:rsid w:val="71CF4C28"/>
    <w:rsid w:val="72052541"/>
    <w:rsid w:val="721B033F"/>
    <w:rsid w:val="7221076E"/>
    <w:rsid w:val="72476BDC"/>
    <w:rsid w:val="724878C8"/>
    <w:rsid w:val="724D167F"/>
    <w:rsid w:val="727B233D"/>
    <w:rsid w:val="7285473C"/>
    <w:rsid w:val="72881CA5"/>
    <w:rsid w:val="72912A35"/>
    <w:rsid w:val="72972638"/>
    <w:rsid w:val="729D41F8"/>
    <w:rsid w:val="72AE69DA"/>
    <w:rsid w:val="72BC26CD"/>
    <w:rsid w:val="72C07BE0"/>
    <w:rsid w:val="72DF5BFA"/>
    <w:rsid w:val="72EC0317"/>
    <w:rsid w:val="72F5541E"/>
    <w:rsid w:val="72FB4336"/>
    <w:rsid w:val="73043513"/>
    <w:rsid w:val="73057E05"/>
    <w:rsid w:val="73163E8B"/>
    <w:rsid w:val="733E6464"/>
    <w:rsid w:val="73411B0D"/>
    <w:rsid w:val="73416385"/>
    <w:rsid w:val="73597B32"/>
    <w:rsid w:val="735C5087"/>
    <w:rsid w:val="735E2B2F"/>
    <w:rsid w:val="737C78ED"/>
    <w:rsid w:val="73805B02"/>
    <w:rsid w:val="73837CC0"/>
    <w:rsid w:val="738A56E5"/>
    <w:rsid w:val="73A74179"/>
    <w:rsid w:val="73A803F0"/>
    <w:rsid w:val="73E54E99"/>
    <w:rsid w:val="73F1776E"/>
    <w:rsid w:val="74070402"/>
    <w:rsid w:val="7423015F"/>
    <w:rsid w:val="74296F20"/>
    <w:rsid w:val="74325396"/>
    <w:rsid w:val="74397281"/>
    <w:rsid w:val="7444675C"/>
    <w:rsid w:val="745E7C34"/>
    <w:rsid w:val="74730A5B"/>
    <w:rsid w:val="7481790F"/>
    <w:rsid w:val="7486204D"/>
    <w:rsid w:val="7497281D"/>
    <w:rsid w:val="74987BA2"/>
    <w:rsid w:val="749D7B29"/>
    <w:rsid w:val="74AD5AAB"/>
    <w:rsid w:val="74AF70D9"/>
    <w:rsid w:val="74C62D67"/>
    <w:rsid w:val="74CE1C79"/>
    <w:rsid w:val="74D15A17"/>
    <w:rsid w:val="74DF6386"/>
    <w:rsid w:val="750E760C"/>
    <w:rsid w:val="750F4E40"/>
    <w:rsid w:val="751537E1"/>
    <w:rsid w:val="751B76AB"/>
    <w:rsid w:val="75381CFD"/>
    <w:rsid w:val="753E2B52"/>
    <w:rsid w:val="754A2D0A"/>
    <w:rsid w:val="754B00E5"/>
    <w:rsid w:val="75861CFD"/>
    <w:rsid w:val="758C0EC1"/>
    <w:rsid w:val="75933226"/>
    <w:rsid w:val="75AA5D19"/>
    <w:rsid w:val="75AC2C6C"/>
    <w:rsid w:val="75B30843"/>
    <w:rsid w:val="75BD407D"/>
    <w:rsid w:val="75BE2C13"/>
    <w:rsid w:val="75C70E58"/>
    <w:rsid w:val="75DB07A4"/>
    <w:rsid w:val="76171CE3"/>
    <w:rsid w:val="76176640"/>
    <w:rsid w:val="761F1A3A"/>
    <w:rsid w:val="76351DA6"/>
    <w:rsid w:val="76433C09"/>
    <w:rsid w:val="76530DD9"/>
    <w:rsid w:val="765362CF"/>
    <w:rsid w:val="765D0AC2"/>
    <w:rsid w:val="766528BB"/>
    <w:rsid w:val="76784489"/>
    <w:rsid w:val="767D5E56"/>
    <w:rsid w:val="768B7D92"/>
    <w:rsid w:val="769136B0"/>
    <w:rsid w:val="76916C8F"/>
    <w:rsid w:val="76A67647"/>
    <w:rsid w:val="76A82607"/>
    <w:rsid w:val="76BB186E"/>
    <w:rsid w:val="76C1645A"/>
    <w:rsid w:val="76CF2455"/>
    <w:rsid w:val="76DC6F10"/>
    <w:rsid w:val="771530DF"/>
    <w:rsid w:val="772C4679"/>
    <w:rsid w:val="773427EF"/>
    <w:rsid w:val="77441A7A"/>
    <w:rsid w:val="774A751F"/>
    <w:rsid w:val="7768203E"/>
    <w:rsid w:val="776963DA"/>
    <w:rsid w:val="776F7B60"/>
    <w:rsid w:val="7778788A"/>
    <w:rsid w:val="77804C61"/>
    <w:rsid w:val="77821AE1"/>
    <w:rsid w:val="77903967"/>
    <w:rsid w:val="779B3236"/>
    <w:rsid w:val="77A90002"/>
    <w:rsid w:val="77AD62C7"/>
    <w:rsid w:val="77BC38A7"/>
    <w:rsid w:val="77C905CF"/>
    <w:rsid w:val="77D2720E"/>
    <w:rsid w:val="77DC58DA"/>
    <w:rsid w:val="77E32D64"/>
    <w:rsid w:val="77E551F3"/>
    <w:rsid w:val="77EB1A9D"/>
    <w:rsid w:val="77F205C7"/>
    <w:rsid w:val="77F24622"/>
    <w:rsid w:val="780A36F2"/>
    <w:rsid w:val="78115770"/>
    <w:rsid w:val="781C57AE"/>
    <w:rsid w:val="782B0C9C"/>
    <w:rsid w:val="78335B66"/>
    <w:rsid w:val="783362E4"/>
    <w:rsid w:val="783364A5"/>
    <w:rsid w:val="783523AF"/>
    <w:rsid w:val="783A788F"/>
    <w:rsid w:val="78401548"/>
    <w:rsid w:val="78424A0E"/>
    <w:rsid w:val="784564B9"/>
    <w:rsid w:val="78484242"/>
    <w:rsid w:val="78591A10"/>
    <w:rsid w:val="785F26D6"/>
    <w:rsid w:val="786E1D9F"/>
    <w:rsid w:val="7874674C"/>
    <w:rsid w:val="78A02A5A"/>
    <w:rsid w:val="78B705EE"/>
    <w:rsid w:val="78C65643"/>
    <w:rsid w:val="78CF2423"/>
    <w:rsid w:val="78D241A1"/>
    <w:rsid w:val="78D50209"/>
    <w:rsid w:val="78E026CC"/>
    <w:rsid w:val="78E95682"/>
    <w:rsid w:val="78EB68CB"/>
    <w:rsid w:val="78EE48AF"/>
    <w:rsid w:val="78FB3062"/>
    <w:rsid w:val="79053EE1"/>
    <w:rsid w:val="790E7239"/>
    <w:rsid w:val="791418AF"/>
    <w:rsid w:val="792924D9"/>
    <w:rsid w:val="79304726"/>
    <w:rsid w:val="794C2B20"/>
    <w:rsid w:val="794D778D"/>
    <w:rsid w:val="7962698E"/>
    <w:rsid w:val="796F2815"/>
    <w:rsid w:val="79825F6B"/>
    <w:rsid w:val="79833015"/>
    <w:rsid w:val="79916C6B"/>
    <w:rsid w:val="799A796C"/>
    <w:rsid w:val="79A225BE"/>
    <w:rsid w:val="79A60DF2"/>
    <w:rsid w:val="79AA58DE"/>
    <w:rsid w:val="79B33ECD"/>
    <w:rsid w:val="79B83B37"/>
    <w:rsid w:val="79D20E2A"/>
    <w:rsid w:val="79D83DD5"/>
    <w:rsid w:val="79EF0BCC"/>
    <w:rsid w:val="7A000594"/>
    <w:rsid w:val="7A2E36C7"/>
    <w:rsid w:val="7A3E1297"/>
    <w:rsid w:val="7A3E58FC"/>
    <w:rsid w:val="7A4141BE"/>
    <w:rsid w:val="7A441E15"/>
    <w:rsid w:val="7A567350"/>
    <w:rsid w:val="7A6920CF"/>
    <w:rsid w:val="7A6D415E"/>
    <w:rsid w:val="7A726F30"/>
    <w:rsid w:val="7A820405"/>
    <w:rsid w:val="7A914AA6"/>
    <w:rsid w:val="7A9D63EE"/>
    <w:rsid w:val="7AB43E11"/>
    <w:rsid w:val="7ABF063F"/>
    <w:rsid w:val="7ABF4807"/>
    <w:rsid w:val="7ADF6716"/>
    <w:rsid w:val="7B2D7C6F"/>
    <w:rsid w:val="7B2E771F"/>
    <w:rsid w:val="7B3153E1"/>
    <w:rsid w:val="7B5A635E"/>
    <w:rsid w:val="7B954283"/>
    <w:rsid w:val="7B95521D"/>
    <w:rsid w:val="7B9654E8"/>
    <w:rsid w:val="7BA304F0"/>
    <w:rsid w:val="7BAB4C32"/>
    <w:rsid w:val="7BCE7A18"/>
    <w:rsid w:val="7BD74E83"/>
    <w:rsid w:val="7BDF5F4A"/>
    <w:rsid w:val="7BE543CE"/>
    <w:rsid w:val="7BE62BD6"/>
    <w:rsid w:val="7BF32F72"/>
    <w:rsid w:val="7C003181"/>
    <w:rsid w:val="7C181F3F"/>
    <w:rsid w:val="7C246211"/>
    <w:rsid w:val="7C3451FB"/>
    <w:rsid w:val="7C402806"/>
    <w:rsid w:val="7C661A55"/>
    <w:rsid w:val="7C7D2A53"/>
    <w:rsid w:val="7C801E73"/>
    <w:rsid w:val="7C804D6F"/>
    <w:rsid w:val="7C820546"/>
    <w:rsid w:val="7C887617"/>
    <w:rsid w:val="7C9211E8"/>
    <w:rsid w:val="7C98246B"/>
    <w:rsid w:val="7C996C8D"/>
    <w:rsid w:val="7C9A51ED"/>
    <w:rsid w:val="7C9C65D2"/>
    <w:rsid w:val="7CA11580"/>
    <w:rsid w:val="7CA17B83"/>
    <w:rsid w:val="7CA552F2"/>
    <w:rsid w:val="7CAF41D8"/>
    <w:rsid w:val="7CB5571E"/>
    <w:rsid w:val="7CB92797"/>
    <w:rsid w:val="7CBD2EE3"/>
    <w:rsid w:val="7CCE34A1"/>
    <w:rsid w:val="7CD71AFC"/>
    <w:rsid w:val="7CE65DD7"/>
    <w:rsid w:val="7CF44BE9"/>
    <w:rsid w:val="7CF464BB"/>
    <w:rsid w:val="7D0A0BA4"/>
    <w:rsid w:val="7D146DE8"/>
    <w:rsid w:val="7D1D3FB1"/>
    <w:rsid w:val="7D1E79B1"/>
    <w:rsid w:val="7D366D5F"/>
    <w:rsid w:val="7D430FED"/>
    <w:rsid w:val="7D450D50"/>
    <w:rsid w:val="7D4937F0"/>
    <w:rsid w:val="7D8515D1"/>
    <w:rsid w:val="7D8F2623"/>
    <w:rsid w:val="7D9341A0"/>
    <w:rsid w:val="7D937D0D"/>
    <w:rsid w:val="7DA3543E"/>
    <w:rsid w:val="7DA65CC0"/>
    <w:rsid w:val="7DA834E4"/>
    <w:rsid w:val="7DBA1D35"/>
    <w:rsid w:val="7DD22D5B"/>
    <w:rsid w:val="7DE15CAB"/>
    <w:rsid w:val="7E07040C"/>
    <w:rsid w:val="7E1B5B20"/>
    <w:rsid w:val="7E2512B6"/>
    <w:rsid w:val="7E2A79FD"/>
    <w:rsid w:val="7E334686"/>
    <w:rsid w:val="7E41481C"/>
    <w:rsid w:val="7E452DF3"/>
    <w:rsid w:val="7E47550A"/>
    <w:rsid w:val="7E491FC4"/>
    <w:rsid w:val="7E524D23"/>
    <w:rsid w:val="7E5D76A5"/>
    <w:rsid w:val="7E7140DC"/>
    <w:rsid w:val="7E7E0A36"/>
    <w:rsid w:val="7E845165"/>
    <w:rsid w:val="7EBF526A"/>
    <w:rsid w:val="7EC363A2"/>
    <w:rsid w:val="7EDA196C"/>
    <w:rsid w:val="7EDE76AE"/>
    <w:rsid w:val="7EF706D4"/>
    <w:rsid w:val="7F173030"/>
    <w:rsid w:val="7F1A0FA4"/>
    <w:rsid w:val="7F1C477C"/>
    <w:rsid w:val="7F21484B"/>
    <w:rsid w:val="7F2A5EB7"/>
    <w:rsid w:val="7F2C0419"/>
    <w:rsid w:val="7F301C41"/>
    <w:rsid w:val="7F322E1C"/>
    <w:rsid w:val="7F3B6135"/>
    <w:rsid w:val="7F451FDD"/>
    <w:rsid w:val="7F6B4C36"/>
    <w:rsid w:val="7F6E05C4"/>
    <w:rsid w:val="7F7037A1"/>
    <w:rsid w:val="7F754BC9"/>
    <w:rsid w:val="7F7A1B9D"/>
    <w:rsid w:val="7F855D7C"/>
    <w:rsid w:val="7F8D4B94"/>
    <w:rsid w:val="7F9E023F"/>
    <w:rsid w:val="7FA16F1B"/>
    <w:rsid w:val="7FA820A8"/>
    <w:rsid w:val="7FA96376"/>
    <w:rsid w:val="7FAD6DF7"/>
    <w:rsid w:val="7FB97E42"/>
    <w:rsid w:val="7FBA6FEC"/>
    <w:rsid w:val="7FC164F8"/>
    <w:rsid w:val="7FC75EC9"/>
    <w:rsid w:val="7FDB3A0B"/>
    <w:rsid w:val="7FE40CF4"/>
    <w:rsid w:val="7FF04026"/>
    <w:rsid w:val="7FFC0501"/>
    <w:rsid w:val="7FFD4541"/>
    <w:rsid w:val="7FFD54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7">
    <w:name w:val="heading 3"/>
    <w:basedOn w:val="1"/>
    <w:next w:val="1"/>
    <w:qFormat/>
    <w:uiPriority w:val="0"/>
    <w:pPr>
      <w:adjustRightInd w:val="0"/>
      <w:snapToGrid w:val="0"/>
      <w:spacing w:before="10" w:beforeLines="10" w:after="10" w:afterLines="10" w:line="480" w:lineRule="exact"/>
      <w:ind w:firstLine="0" w:firstLineChars="0"/>
      <w:jc w:val="left"/>
      <w:outlineLvl w:val="2"/>
    </w:pPr>
    <w:rPr>
      <w:b/>
      <w:bCs/>
    </w:rPr>
  </w:style>
  <w:style w:type="paragraph" w:styleId="8">
    <w:name w:val="heading 4"/>
    <w:basedOn w:val="1"/>
    <w:next w:val="1"/>
    <w:qFormat/>
    <w:uiPriority w:val="0"/>
    <w:pPr>
      <w:keepNext/>
      <w:keepLines/>
      <w:tabs>
        <w:tab w:val="left" w:pos="720"/>
      </w:tabs>
      <w:adjustRightInd w:val="0"/>
      <w:spacing w:before="280" w:beforeLines="0" w:after="290" w:afterLines="0" w:line="376" w:lineRule="atLeast"/>
      <w:textAlignment w:val="baseline"/>
      <w:outlineLvl w:val="3"/>
    </w:pPr>
    <w:rPr>
      <w:rFonts w:ascii="Arial" w:hAnsi="Arial" w:eastAsia="黑体"/>
      <w:b/>
      <w:kern w:val="0"/>
      <w:sz w:val="28"/>
      <w:szCs w:val="20"/>
    </w:rPr>
  </w:style>
  <w:style w:type="character" w:default="1" w:styleId="21">
    <w:name w:val="Default Paragraph Font"/>
    <w:semiHidden/>
    <w:qFormat/>
    <w:uiPriority w:val="0"/>
  </w:style>
  <w:style w:type="table" w:default="1" w:styleId="19">
    <w:name w:val="Normal Table"/>
    <w:semiHidden/>
    <w:qFormat/>
    <w:uiPriority w:val="0"/>
    <w:tblPr>
      <w:tblStyle w:val="19"/>
      <w:tblCellMar>
        <w:top w:w="0" w:type="dxa"/>
        <w:left w:w="108" w:type="dxa"/>
        <w:bottom w:w="0" w:type="dxa"/>
        <w:right w:w="108" w:type="dxa"/>
      </w:tblCellMar>
    </w:tblPr>
  </w:style>
  <w:style w:type="paragraph" w:styleId="2">
    <w:name w:val="Body Text First Indent"/>
    <w:basedOn w:val="1"/>
    <w:next w:val="3"/>
    <w:qFormat/>
    <w:uiPriority w:val="0"/>
    <w:pPr>
      <w:ind w:firstLine="498" w:firstLineChars="200"/>
    </w:pPr>
    <w:rPr>
      <w:sz w:val="24"/>
      <w:szCs w:val="20"/>
    </w:rPr>
  </w:style>
  <w:style w:type="paragraph" w:customStyle="1" w:styleId="3">
    <w:name w:val="样式 正文首行缩进 + 首行缩进:  2 字符1"/>
    <w:basedOn w:val="1"/>
    <w:next w:val="4"/>
    <w:qFormat/>
    <w:uiPriority w:val="0"/>
    <w:pPr>
      <w:spacing w:line="360" w:lineRule="auto"/>
      <w:ind w:firstLine="480" w:firstLineChars="200"/>
    </w:pPr>
    <w:rPr>
      <w:sz w:val="24"/>
    </w:rPr>
  </w:style>
  <w:style w:type="paragraph" w:styleId="4">
    <w:name w:val="toc 1"/>
    <w:basedOn w:val="1"/>
    <w:next w:val="1"/>
    <w:qFormat/>
    <w:uiPriority w:val="0"/>
    <w:pPr>
      <w:spacing w:line="600" w:lineRule="exact"/>
      <w:jc w:val="center"/>
    </w:pPr>
    <w:rPr>
      <w:rFonts w:ascii="宋体" w:hAnsi="宋体" w:eastAsia="黑体"/>
      <w:kern w:val="0"/>
      <w:sz w:val="30"/>
      <w:szCs w:val="20"/>
    </w:rPr>
  </w:style>
  <w:style w:type="paragraph" w:styleId="9">
    <w:name w:val="annotation text"/>
    <w:basedOn w:val="1"/>
    <w:qFormat/>
    <w:uiPriority w:val="0"/>
    <w:pPr>
      <w:jc w:val="left"/>
    </w:pPr>
  </w:style>
  <w:style w:type="paragraph" w:styleId="10">
    <w:name w:val="Body Text 3"/>
    <w:basedOn w:val="1"/>
    <w:qFormat/>
    <w:uiPriority w:val="99"/>
    <w:pPr>
      <w:widowControl/>
      <w:jc w:val="center"/>
    </w:pPr>
    <w:rPr>
      <w:rFonts w:ascii="宋体" w:hAnsi="宋体"/>
      <w:color w:val="000000"/>
      <w:kern w:val="0"/>
      <w:sz w:val="15"/>
      <w:szCs w:val="15"/>
    </w:rPr>
  </w:style>
  <w:style w:type="paragraph" w:styleId="11">
    <w:name w:val="Body Text"/>
    <w:basedOn w:val="1"/>
    <w:next w:val="1"/>
    <w:unhideWhenUsed/>
    <w:qFormat/>
    <w:uiPriority w:val="99"/>
    <w:pPr>
      <w:spacing w:after="120"/>
    </w:pPr>
    <w:rPr>
      <w:sz w:val="24"/>
    </w:rPr>
  </w:style>
  <w:style w:type="paragraph" w:styleId="12">
    <w:name w:val="toc 3"/>
    <w:basedOn w:val="1"/>
    <w:next w:val="1"/>
    <w:qFormat/>
    <w:uiPriority w:val="0"/>
    <w:pPr>
      <w:ind w:left="840" w:leftChars="400"/>
    </w:pPr>
  </w:style>
  <w:style w:type="paragraph" w:styleId="13">
    <w:name w:val="Date"/>
    <w:basedOn w:val="1"/>
    <w:next w:val="1"/>
    <w:qFormat/>
    <w:uiPriority w:val="0"/>
    <w:pPr>
      <w:ind w:left="100" w:leftChars="2500"/>
    </w:pPr>
    <w:rPr>
      <w:kern w:val="0"/>
      <w:sz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able of figures"/>
    <w:basedOn w:val="1"/>
    <w:next w:val="1"/>
    <w:qFormat/>
    <w:uiPriority w:val="0"/>
    <w:pPr>
      <w:spacing w:line="500" w:lineRule="atLeast"/>
      <w:jc w:val="center"/>
    </w:pPr>
    <w:rPr>
      <w:rFonts w:hint="eastAsia" w:ascii="仿宋_GB2312" w:hAnsi="Times New Roman" w:eastAsia="仿宋_GB2312" w:cs="Times New Roman"/>
      <w:kern w:val="2"/>
      <w:sz w:val="28"/>
      <w:szCs w:val="24"/>
    </w:rPr>
  </w:style>
  <w:style w:type="paragraph" w:styleId="17">
    <w:name w:val="toc 2"/>
    <w:basedOn w:val="1"/>
    <w:next w:val="1"/>
    <w:qFormat/>
    <w:uiPriority w:val="39"/>
    <w:pPr>
      <w:ind w:left="240"/>
      <w:jc w:val="left"/>
    </w:pPr>
    <w:rPr>
      <w:rFonts w:ascii="等线" w:eastAsia="等线"/>
      <w:smallCaps/>
      <w:sz w:val="20"/>
      <w:szCs w:val="20"/>
    </w:rPr>
  </w:style>
  <w:style w:type="paragraph" w:styleId="1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Style w:val="1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Default"/>
    <w:basedOn w:val="23"/>
    <w:next w:val="1"/>
    <w:qFormat/>
    <w:uiPriority w:val="0"/>
    <w:pPr>
      <w:widowControl w:val="0"/>
      <w:autoSpaceDE w:val="0"/>
      <w:autoSpaceDN w:val="0"/>
      <w:adjustRightInd w:val="0"/>
    </w:pPr>
    <w:rPr>
      <w:rFonts w:ascii="宋体" w:eastAsia="宋体" w:cs="宋体"/>
      <w:color w:val="000000"/>
      <w:spacing w:val="0"/>
      <w:kern w:val="0"/>
      <w:sz w:val="24"/>
      <w:szCs w:val="24"/>
    </w:rPr>
  </w:style>
  <w:style w:type="paragraph" w:customStyle="1" w:styleId="23">
    <w:name w:val="表头"/>
    <w:basedOn w:val="17"/>
    <w:next w:val="1"/>
    <w:qFormat/>
    <w:uiPriority w:val="0"/>
    <w:pPr>
      <w:spacing w:before="120" w:afterLines="20" w:line="400" w:lineRule="exact"/>
      <w:ind w:firstLine="493"/>
      <w:jc w:val="left"/>
    </w:pPr>
    <w:rPr>
      <w:rFonts w:ascii="黑体" w:eastAsia="黑体"/>
      <w:spacing w:val="8"/>
      <w:kern w:val="21"/>
      <w:sz w:val="21"/>
    </w:rPr>
  </w:style>
  <w:style w:type="paragraph" w:customStyle="1" w:styleId="24">
    <w:name w:val="表名1"/>
    <w:basedOn w:val="25"/>
    <w:qFormat/>
    <w:uiPriority w:val="0"/>
    <w:pPr>
      <w:spacing w:beforeLines="50" w:afterLines="20" w:line="240" w:lineRule="auto"/>
      <w:ind w:firstLine="0" w:firstLineChars="0"/>
      <w:jc w:val="center"/>
    </w:pPr>
    <w:rPr>
      <w:rFonts w:ascii="仿宋" w:hAnsi="仿宋" w:eastAsia="仿宋"/>
      <w:b/>
      <w:kern w:val="2"/>
      <w:sz w:val="20"/>
      <w:szCs w:val="20"/>
    </w:rPr>
  </w:style>
  <w:style w:type="paragraph" w:customStyle="1" w:styleId="25">
    <w:name w:val="报告"/>
    <w:basedOn w:val="1"/>
    <w:qFormat/>
    <w:uiPriority w:val="99"/>
    <w:pPr>
      <w:widowControl w:val="0"/>
      <w:autoSpaceDE w:val="0"/>
      <w:autoSpaceDN w:val="0"/>
      <w:adjustRightInd w:val="0"/>
      <w:spacing w:line="360" w:lineRule="auto"/>
      <w:ind w:firstLine="505"/>
      <w:textAlignment w:val="baseline"/>
    </w:pPr>
    <w:rPr>
      <w:rFonts w:ascii="Times New Roman" w:hAnsi="Times New Roman" w:cs="Times New Roman"/>
      <w:szCs w:val="20"/>
    </w:rPr>
  </w:style>
  <w:style w:type="paragraph" w:customStyle="1" w:styleId="26">
    <w:name w:val="11111"/>
    <w:basedOn w:val="1"/>
    <w:next w:val="1"/>
    <w:qFormat/>
    <w:uiPriority w:val="0"/>
    <w:pPr>
      <w:spacing w:line="360" w:lineRule="auto"/>
      <w:ind w:firstLine="200" w:firstLineChars="200"/>
    </w:pPr>
    <w:rPr>
      <w:rFonts w:ascii="宋体" w:hAnsi="宋体" w:cs="宋体"/>
      <w:sz w:val="24"/>
    </w:rPr>
  </w:style>
  <w:style w:type="paragraph" w:customStyle="1" w:styleId="27">
    <w:name w:val="Normal (Web)1"/>
    <w:basedOn w:val="1"/>
    <w:next w:val="28"/>
    <w:qFormat/>
    <w:uiPriority w:val="0"/>
    <w:pPr>
      <w:widowControl/>
      <w:jc w:val="left"/>
    </w:pPr>
    <w:rPr>
      <w:rFonts w:ascii="宋体" w:cs="Times New Roman"/>
      <w:kern w:val="0"/>
      <w:sz w:val="24"/>
      <w:szCs w:val="21"/>
    </w:rPr>
  </w:style>
  <w:style w:type="paragraph" w:customStyle="1" w:styleId="28">
    <w:name w:val="Date1"/>
    <w:basedOn w:val="1"/>
    <w:next w:val="1"/>
    <w:qFormat/>
    <w:uiPriority w:val="0"/>
    <w:pPr>
      <w:ind w:left="2500" w:leftChars="2500"/>
    </w:pPr>
  </w:style>
  <w:style w:type="paragraph" w:customStyle="1" w:styleId="29">
    <w:name w:val="S表格"/>
    <w:basedOn w:val="30"/>
    <w:qFormat/>
    <w:uiPriority w:val="0"/>
    <w:pPr>
      <w:spacing w:line="240" w:lineRule="auto"/>
      <w:ind w:firstLine="0" w:firstLineChars="0"/>
    </w:pPr>
    <w:rPr>
      <w:sz w:val="21"/>
    </w:rPr>
  </w:style>
  <w:style w:type="paragraph" w:customStyle="1" w:styleId="30">
    <w:name w:val="标准"/>
    <w:basedOn w:val="31"/>
    <w:qFormat/>
    <w:uiPriority w:val="0"/>
    <w:pPr>
      <w:adjustRightInd w:val="0"/>
      <w:spacing w:line="520" w:lineRule="atLeast"/>
      <w:jc w:val="center"/>
      <w:textAlignment w:val="baseline"/>
    </w:pPr>
    <w:rPr>
      <w:kern w:val="0"/>
      <w:szCs w:val="21"/>
    </w:rPr>
  </w:style>
  <w:style w:type="paragraph" w:customStyle="1" w:styleId="31">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2">
    <w:name w:val="font31"/>
    <w:basedOn w:val="21"/>
    <w:qFormat/>
    <w:uiPriority w:val="0"/>
    <w:rPr>
      <w:rFonts w:hint="eastAsia" w:ascii="宋体" w:hAnsi="宋体" w:eastAsia="宋体" w:cs="宋体"/>
      <w:color w:val="000000"/>
      <w:sz w:val="21"/>
      <w:szCs w:val="21"/>
      <w:u w:val="none"/>
    </w:rPr>
  </w:style>
  <w:style w:type="character" w:customStyle="1" w:styleId="33">
    <w:name w:val="font21"/>
    <w:basedOn w:val="21"/>
    <w:qFormat/>
    <w:uiPriority w:val="0"/>
    <w:rPr>
      <w:rFonts w:hint="eastAsia" w:ascii="宋体" w:hAnsi="宋体" w:eastAsia="宋体" w:cs="宋体"/>
      <w:color w:val="000000"/>
      <w:sz w:val="21"/>
      <w:szCs w:val="21"/>
      <w:u w:val="none"/>
    </w:rPr>
  </w:style>
  <w:style w:type="paragraph" w:customStyle="1" w:styleId="34">
    <w:name w:val="S表格标题"/>
    <w:basedOn w:val="1"/>
    <w:next w:val="1"/>
    <w:qFormat/>
    <w:uiPriority w:val="0"/>
    <w:pPr>
      <w:adjustRightInd w:val="0"/>
      <w:snapToGrid w:val="0"/>
      <w:spacing w:line="240" w:lineRule="auto"/>
      <w:ind w:firstLine="0" w:firstLineChars="0"/>
      <w:jc w:val="center"/>
    </w:pPr>
    <w:rPr>
      <w:b/>
      <w:snapToGrid w:val="0"/>
      <w:sz w:val="22"/>
      <w:szCs w:val="24"/>
    </w:rPr>
  </w:style>
  <w:style w:type="paragraph" w:customStyle="1" w:styleId="35">
    <w:name w:val="Table Paragraph"/>
    <w:basedOn w:val="1"/>
    <w:qFormat/>
    <w:uiPriority w:val="1"/>
    <w:pPr>
      <w:jc w:val="left"/>
    </w:pPr>
    <w:rPr>
      <w:rFonts w:ascii="Calibri" w:hAnsi="Calibri"/>
      <w:kern w:val="0"/>
      <w:sz w:val="22"/>
      <w:szCs w:val="22"/>
      <w:lang w:eastAsia="en-US"/>
    </w:rPr>
  </w:style>
  <w:style w:type="paragraph" w:customStyle="1" w:styleId="36">
    <w:name w:val="正文（首行缩进两字）"/>
    <w:basedOn w:val="1"/>
    <w:qFormat/>
    <w:uiPriority w:val="0"/>
    <w:pPr>
      <w:adjustRightInd w:val="0"/>
      <w:snapToGrid w:val="0"/>
      <w:spacing w:line="480" w:lineRule="atLeast"/>
      <w:ind w:firstLine="420"/>
    </w:pPr>
    <w:rPr>
      <w:sz w:val="28"/>
      <w:szCs w:val="20"/>
    </w:rPr>
  </w:style>
  <w:style w:type="paragraph" w:customStyle="1" w:styleId="37">
    <w:name w:val="正文文本 21"/>
    <w:basedOn w:val="1"/>
    <w:qFormat/>
    <w:uiPriority w:val="0"/>
    <w:pPr>
      <w:adjustRightInd w:val="0"/>
      <w:spacing w:line="240" w:lineRule="auto"/>
      <w:ind w:firstLine="0" w:firstLineChars="0"/>
      <w:jc w:val="center"/>
      <w:textAlignment w:val="baseline"/>
    </w:pPr>
    <w:rPr>
      <w:rFonts w:ascii="Arial" w:hAnsi="Arial"/>
      <w:kern w:val="2"/>
      <w:sz w:val="21"/>
      <w:szCs w:val="20"/>
    </w:rPr>
  </w:style>
  <w:style w:type="paragraph" w:customStyle="1" w:styleId="38">
    <w:name w:val="表格 文字"/>
    <w:basedOn w:val="2"/>
    <w:qFormat/>
    <w:uiPriority w:val="0"/>
    <w:pPr>
      <w:tabs>
        <w:tab w:val="center" w:pos="0"/>
        <w:tab w:val="left" w:pos="628"/>
        <w:tab w:val="left" w:pos="1727"/>
        <w:tab w:val="left" w:pos="1884"/>
      </w:tabs>
      <w:snapToGrid w:val="0"/>
      <w:spacing w:after="0" w:line="312" w:lineRule="auto"/>
      <w:ind w:firstLine="0" w:firstLineChars="0"/>
    </w:pPr>
    <w:rPr>
      <w:rFonts w:ascii="Times New Roman" w:hAnsi="Times New Roman"/>
      <w:bCs/>
      <w:kern w:val="0"/>
      <w:sz w:val="21"/>
      <w:szCs w:val="21"/>
    </w:rPr>
  </w:style>
  <w:style w:type="paragraph" w:customStyle="1" w:styleId="39">
    <w:name w:val="正文格式"/>
    <w:basedOn w:val="1"/>
    <w:next w:val="1"/>
    <w:qFormat/>
    <w:uiPriority w:val="0"/>
    <w:pPr>
      <w:ind w:firstLine="482"/>
    </w:pPr>
  </w:style>
  <w:style w:type="paragraph" w:customStyle="1" w:styleId="40">
    <w:name w:val="WW-纯文本"/>
    <w:qFormat/>
    <w:uiPriority w:val="0"/>
    <w:pPr>
      <w:widowControl w:val="0"/>
      <w:suppressAutoHyphens/>
      <w:spacing w:line="312" w:lineRule="atLeast"/>
      <w:jc w:val="both"/>
      <w:textAlignment w:val="baseline"/>
    </w:pPr>
    <w:rPr>
      <w:rFonts w:ascii="宋体" w:hAnsi="宋体" w:eastAsia="楷体_GB2312" w:cs="Courier New"/>
      <w:kern w:val="2"/>
      <w:sz w:val="21"/>
      <w:szCs w:val="21"/>
      <w:lang w:val="en-US" w:eastAsia="zh-CN" w:bidi="ar-SA"/>
    </w:rPr>
  </w:style>
  <w:style w:type="paragraph" w:customStyle="1" w:styleId="41">
    <w:name w:val="表体"/>
    <w:basedOn w:val="1"/>
    <w:qFormat/>
    <w:uiPriority w:val="0"/>
    <w:pPr>
      <w:overflowPunct w:val="0"/>
      <w:adjustRightInd w:val="0"/>
      <w:spacing w:line="300" w:lineRule="atLeast"/>
      <w:jc w:val="center"/>
      <w:textAlignment w:val="baseline"/>
    </w:pPr>
    <w:rPr>
      <w:color w:val="000000"/>
      <w:kern w:val="24"/>
      <w:sz w:val="18"/>
      <w:szCs w:val="20"/>
    </w:rPr>
  </w:style>
  <w:style w:type="paragraph" w:customStyle="1" w:styleId="42">
    <w:name w:val="报告书正文"/>
    <w:basedOn w:val="1"/>
    <w:qFormat/>
    <w:uiPriority w:val="0"/>
    <w:pPr>
      <w:adjustRightInd w:val="0"/>
      <w:snapToGrid w:val="0"/>
      <w:spacing w:line="360" w:lineRule="auto"/>
      <w:ind w:firstLine="425"/>
      <w:textAlignment w:val="baseline"/>
    </w:pPr>
    <w:rPr>
      <w:rFonts w:ascii="Arial" w:hAnsi="Arial" w:cs="Times New Roman"/>
      <w:kern w:val="0"/>
      <w:sz w:val="24"/>
      <w:szCs w:val="24"/>
    </w:rPr>
  </w:style>
  <w:style w:type="character" w:customStyle="1" w:styleId="43">
    <w:name w:val="font01"/>
    <w:basedOn w:val="21"/>
    <w:qFormat/>
    <w:uiPriority w:val="0"/>
    <w:rPr>
      <w:rFonts w:hint="default" w:ascii="Times New Roman" w:hAnsi="Times New Roman" w:cs="Times New Roman"/>
      <w:color w:val="000000"/>
      <w:sz w:val="21"/>
      <w:szCs w:val="21"/>
      <w:u w:val="none"/>
      <w:vertAlign w:val="superscript"/>
    </w:rPr>
  </w:style>
  <w:style w:type="character" w:customStyle="1" w:styleId="44">
    <w:name w:val="font51"/>
    <w:basedOn w:val="21"/>
    <w:qFormat/>
    <w:uiPriority w:val="0"/>
    <w:rPr>
      <w:rFonts w:hint="eastAsia" w:ascii="宋体" w:hAnsi="宋体" w:eastAsia="宋体" w:cs="宋体"/>
      <w:color w:val="000000"/>
      <w:sz w:val="21"/>
      <w:szCs w:val="21"/>
      <w:u w:val="none"/>
    </w:rPr>
  </w:style>
  <w:style w:type="character" w:customStyle="1" w:styleId="45">
    <w:name w:val="font41"/>
    <w:basedOn w:val="21"/>
    <w:qFormat/>
    <w:uiPriority w:val="0"/>
    <w:rPr>
      <w:rFonts w:hint="default" w:ascii="Times New Roman" w:hAnsi="Times New Roman" w:cs="Times New Roman"/>
      <w:color w:val="000000"/>
      <w:sz w:val="21"/>
      <w:szCs w:val="21"/>
      <w:u w:val="none"/>
      <w:vertAlign w:val="subscript"/>
    </w:rPr>
  </w:style>
  <w:style w:type="paragraph" w:customStyle="1" w:styleId="46">
    <w:name w:val="LY-表头"/>
    <w:next w:val="1"/>
    <w:qFormat/>
    <w:uiPriority w:val="0"/>
    <w:pPr>
      <w:jc w:val="center"/>
    </w:pPr>
    <w:rPr>
      <w:rFonts w:ascii="Times New Roman" w:hAnsi="Times New Roman" w:eastAsia="黑体" w:cs="Times New Roman"/>
      <w:b/>
      <w:sz w:val="24"/>
      <w:lang w:val="en-US" w:eastAsia="zh-CN" w:bidi="ar-SA"/>
    </w:rPr>
  </w:style>
  <w:style w:type="paragraph" w:customStyle="1" w:styleId="47">
    <w:name w:val="L表格文字"/>
    <w:basedOn w:val="11"/>
    <w:qFormat/>
    <w:uiPriority w:val="0"/>
    <w:pPr>
      <w:snapToGrid w:val="0"/>
      <w:spacing w:line="0" w:lineRule="atLeast"/>
      <w:ind w:firstLine="0" w:firstLineChars="0"/>
      <w:jc w:val="center"/>
    </w:pPr>
    <w:rPr>
      <w:sz w:val="21"/>
    </w:rPr>
  </w:style>
  <w:style w:type="character" w:customStyle="1" w:styleId="48">
    <w:name w:val="表格标题 Char Char"/>
    <w:link w:val="49"/>
    <w:qFormat/>
    <w:uiPriority w:val="0"/>
    <w:rPr>
      <w:snapToGrid w:val="0"/>
      <w:spacing w:val="0"/>
      <w:sz w:val="24"/>
      <w:szCs w:val="24"/>
    </w:rPr>
  </w:style>
  <w:style w:type="paragraph" w:customStyle="1" w:styleId="49">
    <w:name w:val="表格标题"/>
    <w:basedOn w:val="50"/>
    <w:next w:val="50"/>
    <w:link w:val="48"/>
    <w:qFormat/>
    <w:uiPriority w:val="0"/>
    <w:pPr>
      <w:adjustRightInd w:val="0"/>
      <w:snapToGrid w:val="0"/>
      <w:spacing w:line="240" w:lineRule="auto"/>
      <w:ind w:firstLine="0" w:firstLineChars="0"/>
      <w:jc w:val="center"/>
    </w:pPr>
    <w:rPr>
      <w:snapToGrid w:val="0"/>
      <w:spacing w:val="0"/>
      <w:sz w:val="24"/>
      <w:szCs w:val="24"/>
    </w:rPr>
  </w:style>
  <w:style w:type="paragraph" w:customStyle="1" w:styleId="50">
    <w:name w:val="【正文】"/>
    <w:basedOn w:val="1"/>
    <w:next w:val="1"/>
    <w:qFormat/>
    <w:uiPriority w:val="0"/>
    <w:pPr>
      <w:spacing w:line="440" w:lineRule="exact"/>
      <w:ind w:firstLine="544"/>
    </w:pPr>
    <w:rPr>
      <w:spacing w:val="16"/>
      <w:szCs w:val="20"/>
    </w:rPr>
  </w:style>
  <w:style w:type="paragraph" w:customStyle="1" w:styleId="51">
    <w:name w:val="表内字"/>
    <w:qFormat/>
    <w:uiPriority w:val="0"/>
    <w:pPr>
      <w:jc w:val="center"/>
    </w:pPr>
    <w:rPr>
      <w:rFonts w:ascii="Times New Roman" w:hAnsi="Times New Roman" w:eastAsia="宋体" w:cs="Times New Roman"/>
      <w:color w:val="000000"/>
      <w:sz w:val="21"/>
      <w:szCs w:val="22"/>
      <w:lang w:val="en-US" w:eastAsia="zh-CN" w:bidi="ar-SA"/>
    </w:rPr>
  </w:style>
  <w:style w:type="paragraph" w:customStyle="1" w:styleId="52">
    <w:name w:val="reader-word-layer reader-word-s1-10"/>
    <w:basedOn w:val="1"/>
    <w:qFormat/>
    <w:uiPriority w:val="0"/>
    <w:pPr>
      <w:widowControl/>
      <w:spacing w:before="100" w:beforeAutospacing="1" w:after="100" w:afterAutospacing="1"/>
      <w:jc w:val="left"/>
    </w:pPr>
    <w:rPr>
      <w:rFonts w:ascii="宋体" w:hAnsi="宋体" w:cs="宋体"/>
    </w:rPr>
  </w:style>
  <w:style w:type="paragraph" w:customStyle="1" w:styleId="53">
    <w:name w:val="表文"/>
    <w:basedOn w:val="1"/>
    <w:qFormat/>
    <w:uiPriority w:val="0"/>
    <w:pPr>
      <w:spacing w:line="240" w:lineRule="auto"/>
      <w:jc w:val="center"/>
      <w:textAlignment w:val="center"/>
    </w:pPr>
    <w:rPr>
      <w:rFonts w:ascii="宋体" w:hAnsi="宋体"/>
      <w:bCs/>
      <w:iCs/>
      <w:sz w:val="21"/>
      <w:szCs w:val="28"/>
    </w:rPr>
  </w:style>
  <w:style w:type="character" w:customStyle="1" w:styleId="54">
    <w:name w:val="表格文字居中 Char"/>
    <w:link w:val="55"/>
    <w:qFormat/>
    <w:uiPriority w:val="0"/>
    <w:rPr>
      <w:rFonts w:ascii="Calibri" w:hAnsi="Calibri"/>
      <w:sz w:val="21"/>
      <w:szCs w:val="20"/>
    </w:rPr>
  </w:style>
  <w:style w:type="paragraph" w:customStyle="1" w:styleId="55">
    <w:name w:val="表格文字居中"/>
    <w:basedOn w:val="1"/>
    <w:link w:val="54"/>
    <w:qFormat/>
    <w:uiPriority w:val="0"/>
    <w:pPr>
      <w:widowControl/>
      <w:tabs>
        <w:tab w:val="left" w:pos="1920"/>
      </w:tabs>
      <w:adjustRightInd w:val="0"/>
      <w:snapToGrid w:val="0"/>
      <w:ind w:firstLine="0" w:firstLineChars="0"/>
      <w:jc w:val="center"/>
    </w:pPr>
    <w:rPr>
      <w:rFonts w:ascii="Calibri" w:hAnsi="Calibri"/>
      <w:sz w:val="21"/>
      <w:szCs w:val="20"/>
    </w:rPr>
  </w:style>
  <w:style w:type="table" w:customStyle="1" w:styleId="56">
    <w:name w:val="Table Normal"/>
    <w:unhideWhenUsed/>
    <w:qFormat/>
    <w:uiPriority w:val="0"/>
    <w:tblPr>
      <w:tblStyle w:val="19"/>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wmf"/><Relationship Id="rId37" Type="http://schemas.openxmlformats.org/officeDocument/2006/relationships/oleObject" Target="embeddings/oleObject2.bin"/><Relationship Id="rId36" Type="http://schemas.openxmlformats.org/officeDocument/2006/relationships/image" Target="media/image30.wmf"/><Relationship Id="rId35" Type="http://schemas.openxmlformats.org/officeDocument/2006/relationships/oleObject" Target="embeddings/oleObject1.bin"/><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295</Pages>
  <Words>129604</Words>
  <Characters>151353</Characters>
  <Lines>0</Lines>
  <Paragraphs>0</Paragraphs>
  <TotalTime>30</TotalTime>
  <ScaleCrop>false</ScaleCrop>
  <LinksUpToDate>false</LinksUpToDate>
  <CharactersWithSpaces>152190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2022-05-20T05:58:00Z</dcterms:created>
  <dc:creator>Administrator</dc:creator>
  <cp:lastModifiedBy>dadaHE</cp:lastModifiedBy>
  <cp:lastPrinted>2022-07-11T06:00:00Z</cp:lastPrinted>
  <dcterms:modified xsi:type="dcterms:W3CDTF">2022-10-15T08:45:25Z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846230B6C2FC4549BFB7BFF5A810BB13</vt:lpwstr>
  </property>
</Properties>
</file>